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14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                        佛冈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1"/>
                <w:szCs w:val="21"/>
              </w:rPr>
              <w:t>县司法局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WRkZTA3NmZhYThhYjg4OThkMzZhNTQ0MjkyZTQifQ=="/>
  </w:docVars>
  <w:rsids>
    <w:rsidRoot w:val="0A3A599C"/>
    <w:rsid w:val="04904473"/>
    <w:rsid w:val="0A3A599C"/>
    <w:rsid w:val="27D9780E"/>
    <w:rsid w:val="4E241955"/>
    <w:rsid w:val="5EA5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2023-10-07T00:53:00Z</dcterms:created>
  <dc:creator>尼古拉斯.邓爷</dc:creator>
  <cp:lastModifiedBy>ASUS</cp:lastModifiedBy>
  <cp:lastPrinted>2023-10-17T09:06:28Z</cp:lastPrinted>
  <dcterms:modified xsi:type="dcterms:W3CDTF">2023-10-17T09:08:45Z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994FA5F1FDFA44C3AF243CBB34731262_11</vt:lpwstr>
  </property>
</Properties>
</file>