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附件20</w:t>
      </w:r>
    </w:p>
    <w:p>
      <w:pPr>
        <w:pageBreakBefore w:val="0"/>
        <w:overflowPunct/>
        <w:topLinePunct w:val="0"/>
        <w:bidi w:val="0"/>
        <w:adjustRightInd/>
        <w:snapToGrid/>
        <w:spacing w:line="560" w:lineRule="exact"/>
        <w:jc w:val="center"/>
        <w:rPr>
          <w:rFonts w:hint="eastAsia" w:ascii="Times New Roman" w:hAnsi="Times New Roman" w:eastAsia="方正小标宋简体" w:cs="方正小标宋简体"/>
          <w:color w:val="000000"/>
          <w:sz w:val="36"/>
          <w:szCs w:val="36"/>
          <w:highlight w:val="none"/>
          <w:lang w:eastAsia="zh-CN"/>
        </w:rPr>
      </w:pPr>
      <w:bookmarkStart w:id="0" w:name="_GoBack"/>
      <w:r>
        <w:rPr>
          <w:rFonts w:hint="eastAsia" w:ascii="方正小标宋_GBK" w:hAnsi="方正小标宋_GBK" w:eastAsia="方正小标宋_GBK" w:cs="方正小标宋_GBK"/>
          <w:color w:val="000000"/>
          <w:sz w:val="36"/>
          <w:szCs w:val="36"/>
          <w:highlight w:val="none"/>
          <w:lang w:eastAsia="zh-CN"/>
        </w:rPr>
        <w:t>佛冈县水泥产品质量监督抽查实施细</w:t>
      </w:r>
      <w:bookmarkEnd w:id="0"/>
      <w:r>
        <w:rPr>
          <w:rFonts w:hint="eastAsia" w:ascii="方正小标宋_GBK" w:hAnsi="方正小标宋_GBK" w:eastAsia="方正小标宋_GBK" w:cs="方正小标宋_GBK"/>
          <w:color w:val="000000"/>
          <w:sz w:val="36"/>
          <w:szCs w:val="36"/>
          <w:highlight w:val="none"/>
          <w:lang w:eastAsia="zh-CN"/>
        </w:rPr>
        <w:t>则</w:t>
      </w:r>
    </w:p>
    <w:p>
      <w:pPr>
        <w:pageBreakBefore w:val="0"/>
        <w:overflowPunct/>
        <w:topLinePunct w:val="0"/>
        <w:bidi w:val="0"/>
        <w:adjustRightInd/>
        <w:snapToGrid/>
        <w:spacing w:line="560" w:lineRule="exact"/>
        <w:ind w:firstLine="640" w:firstLineChars="200"/>
        <w:jc w:val="center"/>
        <w:rPr>
          <w:rFonts w:hint="eastAsia" w:ascii="Times New Roman" w:hAnsi="Times New Roman" w:eastAsia="仿宋_GB2312" w:cs="仿宋_GB2312"/>
          <w:color w:val="000000"/>
          <w:sz w:val="32"/>
          <w:szCs w:val="40"/>
          <w:highlight w:val="none"/>
          <w:lang w:eastAsia="zh-CN"/>
        </w:rPr>
      </w:pPr>
      <w:r>
        <w:rPr>
          <w:rFonts w:hint="eastAsia" w:ascii="楷体" w:hAnsi="楷体" w:eastAsia="楷体" w:cs="楷体"/>
          <w:color w:val="000000"/>
          <w:sz w:val="32"/>
          <w:szCs w:val="40"/>
          <w:highlight w:val="none"/>
        </w:rPr>
        <w:t>（2025年版）</w:t>
      </w:r>
    </w:p>
    <w:p>
      <w:pPr>
        <w:snapToGrid w:val="0"/>
        <w:spacing w:line="440" w:lineRule="exact"/>
        <w:rPr>
          <w:rFonts w:eastAsia="黑体"/>
          <w:szCs w:val="21"/>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以随机抽样的方式在被抽查市场主体的待销产品中抽取。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抽查数量：每款产品抽取2组样本，第1组用于检验，第2组用于备样。</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具体抽样数量如下：</w:t>
      </w:r>
    </w:p>
    <w:p>
      <w:pPr>
        <w:snapToGrid w:val="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  抽样数量</w:t>
      </w:r>
    </w:p>
    <w:tbl>
      <w:tblPr>
        <w:tblStyle w:val="3"/>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85"/>
        <w:gridCol w:w="2265"/>
        <w:gridCol w:w="233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84"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05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被抽查的产品品种</w:t>
            </w:r>
          </w:p>
        </w:tc>
        <w:tc>
          <w:tcPr>
            <w:tcW w:w="233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第1组数量（款）</w:t>
            </w:r>
          </w:p>
        </w:tc>
        <w:tc>
          <w:tcPr>
            <w:tcW w:w="233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第2组数量（款）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84"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5"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水泥</w:t>
            </w:r>
          </w:p>
        </w:tc>
        <w:tc>
          <w:tcPr>
            <w:tcW w:w="226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通用硅酸盐水泥</w:t>
            </w:r>
          </w:p>
        </w:tc>
        <w:tc>
          <w:tcPr>
            <w:tcW w:w="233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每份至少1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kg</w:t>
            </w:r>
          </w:p>
        </w:tc>
        <w:tc>
          <w:tcPr>
            <w:tcW w:w="233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每份至少1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 xml:space="preserve">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84"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5" w:type="dxa"/>
            <w:vMerge w:val="continue"/>
            <w:vAlign w:val="center"/>
          </w:tcPr>
          <w:p>
            <w:pPr>
              <w:jc w:val="center"/>
              <w:rPr>
                <w:rFonts w:hint="eastAsia" w:ascii="仿宋_GB2312" w:hAnsi="仿宋_GB2312" w:eastAsia="仿宋_GB2312" w:cs="仿宋_GB2312"/>
                <w:sz w:val="24"/>
                <w:szCs w:val="24"/>
              </w:rPr>
            </w:pPr>
          </w:p>
        </w:tc>
        <w:tc>
          <w:tcPr>
            <w:tcW w:w="226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砌筑水泥</w:t>
            </w:r>
          </w:p>
        </w:tc>
        <w:tc>
          <w:tcPr>
            <w:tcW w:w="233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每份至少8 kg</w:t>
            </w:r>
          </w:p>
        </w:tc>
        <w:tc>
          <w:tcPr>
            <w:tcW w:w="233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每份至少8 kg</w:t>
            </w:r>
          </w:p>
        </w:tc>
      </w:tr>
    </w:tbl>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本次抽查检验项目和检验方法依据见表2～表3。</w:t>
      </w:r>
    </w:p>
    <w:p>
      <w:pPr>
        <w:pageBreakBefore w:val="0"/>
        <w:overflowPunct/>
        <w:topLinePunct w:val="0"/>
        <w:bidi w:val="0"/>
        <w:adjustRightInd/>
        <w:snapToGrid/>
        <w:spacing w:line="560" w:lineRule="exact"/>
        <w:ind w:firstLine="640" w:firstLineChars="200"/>
        <w:rPr>
          <w:rFonts w:hint="eastAsia"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2.1通用硅酸盐水泥检验项目</w:t>
      </w:r>
    </w:p>
    <w:p>
      <w:pPr>
        <w:snapToGrid w:val="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表2  通用硅酸盐水泥检验项目</w:t>
      </w:r>
    </w:p>
    <w:tbl>
      <w:tblPr>
        <w:tblStyle w:val="3"/>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75"/>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2175" w:type="dxa"/>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检验项目</w:t>
            </w:r>
          </w:p>
        </w:tc>
        <w:tc>
          <w:tcPr>
            <w:tcW w:w="5300" w:type="dxa"/>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不溶物</w:t>
            </w:r>
          </w:p>
        </w:tc>
        <w:tc>
          <w:tcPr>
            <w:tcW w:w="5300" w:type="dxa"/>
            <w:vMerge w:val="restart"/>
            <w:vAlign w:val="center"/>
          </w:tcPr>
          <w:p>
            <w:pPr>
              <w:snapToGri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烧失量</w:t>
            </w:r>
          </w:p>
        </w:tc>
        <w:tc>
          <w:tcPr>
            <w:tcW w:w="53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三氧化硫</w:t>
            </w:r>
          </w:p>
        </w:tc>
        <w:tc>
          <w:tcPr>
            <w:tcW w:w="53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氧化镁</w:t>
            </w:r>
          </w:p>
        </w:tc>
        <w:tc>
          <w:tcPr>
            <w:tcW w:w="53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氯离子</w:t>
            </w:r>
          </w:p>
        </w:tc>
        <w:tc>
          <w:tcPr>
            <w:tcW w:w="53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水溶性铬(Ⅵ)</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31893-2015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凝结时间</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1346-2011（2025年7月1日之前）</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1346-2024（2025年7月1日及之后）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安定性</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1346-2011（2025年7月1日之前）</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1346-2024（2025年7月1日及之后）</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750-1992（2025年5月1日之前）</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750-2024（2025年5月1日及之后）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强度</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175-2023</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17671-2021</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2419-2005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细度</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175-2023</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8074-2008</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2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17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放射性</w:t>
            </w:r>
          </w:p>
        </w:tc>
        <w:tc>
          <w:tcPr>
            <w:tcW w:w="53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6566-2010</w:t>
            </w:r>
          </w:p>
        </w:tc>
      </w:tr>
    </w:tbl>
    <w:p>
      <w:pPr>
        <w:pageBreakBefore w:val="0"/>
        <w:overflowPunct/>
        <w:topLinePunct w:val="0"/>
        <w:bidi w:val="0"/>
        <w:adjustRightInd/>
        <w:snapToGrid/>
        <w:spacing w:line="560" w:lineRule="exact"/>
        <w:ind w:firstLine="640" w:firstLineChars="200"/>
        <w:rPr>
          <w:rFonts w:hint="eastAsia"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2.2砌筑水泥检验项目</w:t>
      </w:r>
    </w:p>
    <w:p>
      <w:pPr>
        <w:snapToGrid w:val="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表3  砌筑水泥检验项目</w:t>
      </w:r>
    </w:p>
    <w:tbl>
      <w:tblPr>
        <w:tblStyle w:val="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064"/>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blHeader/>
          <w:jc w:val="center"/>
        </w:trPr>
        <w:tc>
          <w:tcPr>
            <w:tcW w:w="112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序号</w:t>
            </w:r>
          </w:p>
        </w:tc>
        <w:tc>
          <w:tcPr>
            <w:tcW w:w="2064"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检验项目</w:t>
            </w:r>
          </w:p>
        </w:tc>
        <w:tc>
          <w:tcPr>
            <w:tcW w:w="5200" w:type="dxa"/>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三氧化硫</w:t>
            </w:r>
          </w:p>
        </w:tc>
        <w:tc>
          <w:tcPr>
            <w:tcW w:w="5200" w:type="dxa"/>
            <w:vMerge w:val="restart"/>
            <w:vAlign w:val="center"/>
          </w:tcPr>
          <w:p>
            <w:pPr>
              <w:snapToGri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氯离子</w:t>
            </w:r>
          </w:p>
        </w:tc>
        <w:tc>
          <w:tcPr>
            <w:tcW w:w="52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水泥中水溶性铬(Ⅵ)</w:t>
            </w:r>
          </w:p>
        </w:tc>
        <w:tc>
          <w:tcPr>
            <w:tcW w:w="52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31893-2015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细度</w:t>
            </w:r>
          </w:p>
        </w:tc>
        <w:tc>
          <w:tcPr>
            <w:tcW w:w="52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"javascript:__doPostBack('ctl00$ctl00$ContentPlaceHolder1$ContentPlaceHolder1$rptStandard$ctl00$lbtnDetail','')" \o "点击查看标准详细信息"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GB/T 1345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凝结时间</w:t>
            </w:r>
          </w:p>
        </w:tc>
        <w:tc>
          <w:tcPr>
            <w:tcW w:w="5200"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1346-2011（2025年7月1日之前）</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1346-2024（2025年7月1日及之后）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沸煮法安定性</w:t>
            </w:r>
          </w:p>
        </w:tc>
        <w:tc>
          <w:tcPr>
            <w:tcW w:w="5200" w:type="dxa"/>
            <w:vMerge w:val="continue"/>
            <w:vAlign w:val="center"/>
          </w:tcPr>
          <w:p>
            <w:pPr>
              <w:snapToGrid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保水率</w:t>
            </w:r>
          </w:p>
        </w:tc>
        <w:tc>
          <w:tcPr>
            <w:tcW w:w="5200" w:type="dxa"/>
            <w:vAlign w:val="center"/>
          </w:tcPr>
          <w:p>
            <w:pPr>
              <w:snapToGrid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"javascript:__doPostBack('ctl00$ctl00$ContentPlaceHolder1$ContentPlaceHolder1$rptStandard$ctl00$lbtnDetail','')" \o "点击查看标准详细信息"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GB/T 3183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强度</w:t>
            </w:r>
          </w:p>
        </w:tc>
        <w:tc>
          <w:tcPr>
            <w:tcW w:w="52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"javascript:__doPostBack('ctl00$ctl00$ContentPlaceHolder1$ContentPlaceHolder1$rptStandard$ctl00$lbtnDetail','')" \o "点击查看标准详细信息"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GB/T 3183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-2017</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17671-2021</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2419-2005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1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64"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放射性</w:t>
            </w:r>
          </w:p>
        </w:tc>
        <w:tc>
          <w:tcPr>
            <w:tcW w:w="520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6566-2010</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3.1.1强制性标准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175-2023 通用硅酸盐水泥</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6566-2010 建筑材料放射性核素限量</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31893-2015 水泥中水溶性铬（Ⅵ）的限量及测定方法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3.1.2推荐性标准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GB/T 3183-2017 砌筑水泥</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10DF4"/>
    <w:rsid w:val="7A110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2025-07-07T03:26:00Z</dcterms:created>
  <dc:creator>刘燕</dc:creator>
  <cp:lastModifiedBy>刘燕</cp:lastModifiedBy>
  <dcterms:modified xsi:type="dcterms:W3CDTF">2025-07-07T03:26:52Z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