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附件13</w:t>
      </w:r>
    </w:p>
    <w:p>
      <w:pPr>
        <w:spacing w:line="640" w:lineRule="exact"/>
        <w:jc w:val="center"/>
        <w:rPr>
          <w:rFonts w:eastAsia="方正小标宋简体" w:cs="方正小标宋简体"/>
          <w:color w:val="000000"/>
          <w:sz w:val="36"/>
          <w:szCs w:val="36"/>
        </w:rPr>
      </w:pPr>
      <w:bookmarkStart w:id="1" w:name="_GoBack"/>
      <w:r>
        <w:rPr>
          <w:rFonts w:hint="eastAsia" w:ascii="方正小标宋_GBK" w:hAnsi="方正小标宋_GBK" w:eastAsia="方正小标宋_GBK" w:cs="方正小标宋_GBK"/>
          <w:color w:val="000000"/>
          <w:sz w:val="36"/>
          <w:szCs w:val="36"/>
        </w:rPr>
        <w:t>佛冈县学生用品产品质量监督抽查实施细则</w:t>
      </w:r>
    </w:p>
    <w:bookmarkEnd w:id="1"/>
    <w:p>
      <w:pPr>
        <w:spacing w:line="640" w:lineRule="exact"/>
        <w:jc w:val="center"/>
        <w:rPr>
          <w:rFonts w:hint="eastAsia" w:ascii="楷体" w:hAnsi="楷体" w:eastAsia="楷体" w:cs="楷体"/>
          <w:color w:val="000000"/>
          <w:sz w:val="32"/>
          <w:szCs w:val="32"/>
        </w:rPr>
      </w:pPr>
      <w:r>
        <w:rPr>
          <w:rFonts w:hint="eastAsia" w:ascii="楷体" w:hAnsi="楷体" w:eastAsia="楷体" w:cs="楷体"/>
          <w:color w:val="000000"/>
          <w:sz w:val="32"/>
          <w:szCs w:val="32"/>
        </w:rPr>
        <w:t>（2025年版）</w:t>
      </w:r>
    </w:p>
    <w:p>
      <w:pPr>
        <w:spacing w:line="560" w:lineRule="exact"/>
        <w:rPr>
          <w:color w:val="000000"/>
          <w:szCs w:val="32"/>
        </w:rPr>
      </w:pP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1 抽样方法</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以随机抽样的方式在被抽样生产者、销售者的待销产品中抽取。</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随机数一般可使用随机数表等方法产生。</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每批次抽样数量详见表1。</w:t>
      </w:r>
    </w:p>
    <w:p>
      <w:pPr>
        <w:autoSpaceDE w:val="0"/>
        <w:jc w:val="center"/>
        <w:rPr>
          <w:rFonts w:ascii="仿宋_GB2312" w:cs="仿宋_GB2312" w:hAnsiTheme="minorEastAsia"/>
          <w:b/>
          <w:sz w:val="24"/>
        </w:rPr>
      </w:pPr>
      <w:r>
        <w:rPr>
          <w:rFonts w:hint="eastAsia" w:ascii="仿宋_GB2312" w:cs="仿宋_GB2312" w:hAnsiTheme="minorEastAsia"/>
          <w:b/>
          <w:sz w:val="24"/>
          <w:lang w:bidi="ar"/>
        </w:rPr>
        <w:t>表</w:t>
      </w:r>
      <w:r>
        <w:rPr>
          <w:rFonts w:hint="eastAsia" w:ascii="仿宋_GB2312" w:hAnsiTheme="minorEastAsia"/>
          <w:b/>
          <w:sz w:val="24"/>
          <w:lang w:bidi="ar"/>
        </w:rPr>
        <w:t xml:space="preserve">1 </w:t>
      </w:r>
      <w:r>
        <w:rPr>
          <w:rFonts w:hint="eastAsia" w:ascii="仿宋_GB2312" w:cs="仿宋_GB2312" w:hAnsiTheme="minorEastAsia"/>
          <w:b/>
          <w:sz w:val="24"/>
          <w:lang w:bidi="ar"/>
        </w:rPr>
        <w:t>抽取样品数量</w:t>
      </w:r>
    </w:p>
    <w:tbl>
      <w:tblPr>
        <w:tblStyle w:val="3"/>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840"/>
        <w:gridCol w:w="1843"/>
        <w:gridCol w:w="2126"/>
        <w:gridCol w:w="2139"/>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5"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序号</w:t>
            </w:r>
          </w:p>
        </w:tc>
        <w:tc>
          <w:tcPr>
            <w:tcW w:w="2683" w:type="dxa"/>
            <w:gridSpan w:val="2"/>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产品种类</w:t>
            </w:r>
          </w:p>
        </w:tc>
        <w:tc>
          <w:tcPr>
            <w:tcW w:w="2126"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抽样数量</w:t>
            </w:r>
          </w:p>
        </w:tc>
        <w:tc>
          <w:tcPr>
            <w:tcW w:w="2139"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检验样品数量</w:t>
            </w:r>
          </w:p>
        </w:tc>
        <w:tc>
          <w:tcPr>
            <w:tcW w:w="211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备用样品数量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805" w:type="dxa"/>
            <w:tcBorders>
              <w:top w:val="nil"/>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w:t>
            </w:r>
          </w:p>
        </w:tc>
        <w:tc>
          <w:tcPr>
            <w:tcW w:w="2683" w:type="dxa"/>
            <w:gridSpan w:val="2"/>
            <w:tcBorders>
              <w:top w:val="nil"/>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水彩画颜料</w:t>
            </w:r>
          </w:p>
        </w:tc>
        <w:tc>
          <w:tcPr>
            <w:tcW w:w="2126" w:type="dxa"/>
            <w:tcBorders>
              <w:top w:val="single" w:color="auto" w:sz="4" w:space="0"/>
              <w:left w:val="nil"/>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2盒</w:t>
            </w:r>
          </w:p>
        </w:tc>
        <w:tc>
          <w:tcPr>
            <w:tcW w:w="2139" w:type="dxa"/>
            <w:tcBorders>
              <w:top w:val="single" w:color="auto" w:sz="4" w:space="0"/>
              <w:left w:val="nil"/>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1盒</w:t>
            </w:r>
          </w:p>
        </w:tc>
        <w:tc>
          <w:tcPr>
            <w:tcW w:w="2114" w:type="dxa"/>
            <w:tcBorders>
              <w:top w:val="single" w:color="auto" w:sz="4" w:space="0"/>
              <w:left w:val="nil"/>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805" w:type="dxa"/>
            <w:tcBorders>
              <w:top w:val="nil"/>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2</w:t>
            </w:r>
          </w:p>
        </w:tc>
        <w:tc>
          <w:tcPr>
            <w:tcW w:w="2683" w:type="dxa"/>
            <w:gridSpan w:val="2"/>
            <w:tcBorders>
              <w:top w:val="nil"/>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中性墨水圆珠笔及笔芯</w:t>
            </w:r>
          </w:p>
        </w:tc>
        <w:tc>
          <w:tcPr>
            <w:tcW w:w="2126" w:type="dxa"/>
            <w:tcBorders>
              <w:top w:val="single" w:color="auto" w:sz="4" w:space="0"/>
              <w:left w:val="nil"/>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22支</w:t>
            </w:r>
          </w:p>
        </w:tc>
        <w:tc>
          <w:tcPr>
            <w:tcW w:w="2139" w:type="dxa"/>
            <w:tcBorders>
              <w:top w:val="single" w:color="auto" w:sz="4" w:space="0"/>
              <w:left w:val="nil"/>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12支</w:t>
            </w:r>
          </w:p>
        </w:tc>
        <w:tc>
          <w:tcPr>
            <w:tcW w:w="2114" w:type="dxa"/>
            <w:tcBorders>
              <w:top w:val="single" w:color="auto" w:sz="4" w:space="0"/>
              <w:left w:val="nil"/>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805" w:type="dxa"/>
            <w:tcBorders>
              <w:top w:val="nil"/>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3</w:t>
            </w:r>
          </w:p>
        </w:tc>
        <w:tc>
          <w:tcPr>
            <w:tcW w:w="2683" w:type="dxa"/>
            <w:gridSpan w:val="2"/>
            <w:tcBorders>
              <w:top w:val="nil"/>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彩泥（橡皮泥）</w:t>
            </w:r>
          </w:p>
        </w:tc>
        <w:tc>
          <w:tcPr>
            <w:tcW w:w="2126" w:type="dxa"/>
            <w:tcBorders>
              <w:top w:val="single" w:color="auto" w:sz="4" w:space="0"/>
              <w:left w:val="nil"/>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3套</w:t>
            </w:r>
          </w:p>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（单色不少于8g）</w:t>
            </w:r>
          </w:p>
        </w:tc>
        <w:tc>
          <w:tcPr>
            <w:tcW w:w="2139" w:type="dxa"/>
            <w:tcBorders>
              <w:top w:val="single" w:color="auto" w:sz="4" w:space="0"/>
              <w:left w:val="nil"/>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2套</w:t>
            </w:r>
          </w:p>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（单色不少于8g）</w:t>
            </w:r>
          </w:p>
        </w:tc>
        <w:tc>
          <w:tcPr>
            <w:tcW w:w="2114" w:type="dxa"/>
            <w:tcBorders>
              <w:top w:val="single" w:color="auto" w:sz="4" w:space="0"/>
              <w:left w:val="nil"/>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1套</w:t>
            </w:r>
          </w:p>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（单色不少于8g）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5" w:type="dxa"/>
            <w:vMerge w:val="restart"/>
            <w:tcBorders>
              <w:top w:val="nil"/>
              <w:left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840" w:type="dxa"/>
            <w:vMerge w:val="restart"/>
            <w:tcBorders>
              <w:top w:val="nil"/>
              <w:left w:val="nil"/>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bidi="ar"/>
              </w:rPr>
              <w:t>铅笔</w:t>
            </w:r>
          </w:p>
        </w:tc>
        <w:tc>
          <w:tcPr>
            <w:tcW w:w="184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石墨铅笔</w:t>
            </w:r>
          </w:p>
        </w:tc>
        <w:tc>
          <w:tcPr>
            <w:tcW w:w="2126"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22支</w:t>
            </w:r>
          </w:p>
        </w:tc>
        <w:tc>
          <w:tcPr>
            <w:tcW w:w="2139"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12支</w:t>
            </w:r>
          </w:p>
        </w:tc>
        <w:tc>
          <w:tcPr>
            <w:tcW w:w="211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5"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840" w:type="dxa"/>
            <w:vMerge w:val="continue"/>
            <w:tcBorders>
              <w:left w:val="nil"/>
              <w:right w:val="single" w:color="auto" w:sz="4" w:space="0"/>
            </w:tcBorders>
            <w:vAlign w:val="center"/>
          </w:tcPr>
          <w:p>
            <w:pPr>
              <w:rPr>
                <w:rFonts w:hint="eastAsia" w:ascii="仿宋_GB2312" w:hAnsi="仿宋_GB2312" w:eastAsia="仿宋_GB2312" w:cs="仿宋_GB2312"/>
                <w:color w:val="000000"/>
                <w:sz w:val="24"/>
                <w:szCs w:val="24"/>
                <w:lang w:bidi="ar"/>
              </w:rPr>
            </w:pPr>
          </w:p>
        </w:tc>
        <w:tc>
          <w:tcPr>
            <w:tcW w:w="184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活动铅笔</w:t>
            </w:r>
          </w:p>
        </w:tc>
        <w:tc>
          <w:tcPr>
            <w:tcW w:w="2126"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3支</w:t>
            </w:r>
          </w:p>
        </w:tc>
        <w:tc>
          <w:tcPr>
            <w:tcW w:w="2139"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2支</w:t>
            </w:r>
          </w:p>
        </w:tc>
        <w:tc>
          <w:tcPr>
            <w:tcW w:w="211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5"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840" w:type="dxa"/>
            <w:vMerge w:val="continue"/>
            <w:tcBorders>
              <w:left w:val="nil"/>
              <w:right w:val="single" w:color="auto" w:sz="4" w:space="0"/>
            </w:tcBorders>
            <w:vAlign w:val="center"/>
          </w:tcPr>
          <w:p>
            <w:pPr>
              <w:rPr>
                <w:rFonts w:hint="eastAsia" w:ascii="仿宋_GB2312" w:hAnsi="仿宋_GB2312" w:eastAsia="仿宋_GB2312" w:cs="仿宋_GB2312"/>
                <w:color w:val="000000"/>
                <w:sz w:val="24"/>
                <w:szCs w:val="24"/>
                <w:lang w:bidi="ar"/>
              </w:rPr>
            </w:pPr>
          </w:p>
        </w:tc>
        <w:tc>
          <w:tcPr>
            <w:tcW w:w="184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考试用铅笔</w:t>
            </w:r>
            <w:r>
              <w:rPr>
                <w:rFonts w:hint="eastAsia" w:ascii="仿宋_GB2312" w:hAnsi="仿宋_GB2312" w:eastAsia="仿宋_GB2312" w:cs="仿宋_GB2312"/>
                <w:color w:val="000000"/>
                <w:sz w:val="24"/>
                <w:szCs w:val="24"/>
                <w:vertAlign w:val="superscript"/>
                <w:lang w:bidi="ar"/>
              </w:rPr>
              <w:t>2</w:t>
            </w:r>
          </w:p>
        </w:tc>
        <w:tc>
          <w:tcPr>
            <w:tcW w:w="2126"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22支/3支</w:t>
            </w:r>
          </w:p>
        </w:tc>
        <w:tc>
          <w:tcPr>
            <w:tcW w:w="2139"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12支/2支</w:t>
            </w:r>
          </w:p>
        </w:tc>
        <w:tc>
          <w:tcPr>
            <w:tcW w:w="211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10支/1支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5"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840" w:type="dxa"/>
            <w:vMerge w:val="continue"/>
            <w:tcBorders>
              <w:left w:val="nil"/>
              <w:bottom w:val="single" w:color="auto" w:sz="4" w:space="0"/>
              <w:right w:val="single" w:color="auto" w:sz="4" w:space="0"/>
            </w:tcBorders>
            <w:vAlign w:val="center"/>
          </w:tcPr>
          <w:p>
            <w:pPr>
              <w:rPr>
                <w:rFonts w:hint="eastAsia" w:ascii="仿宋_GB2312" w:hAnsi="仿宋_GB2312" w:eastAsia="仿宋_GB2312" w:cs="仿宋_GB2312"/>
                <w:color w:val="000000"/>
                <w:sz w:val="24"/>
                <w:szCs w:val="24"/>
                <w:lang w:bidi="ar"/>
              </w:rPr>
            </w:pPr>
          </w:p>
        </w:tc>
        <w:tc>
          <w:tcPr>
            <w:tcW w:w="184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rPr>
              <w:t>彩色铅笔</w:t>
            </w:r>
          </w:p>
        </w:tc>
        <w:tc>
          <w:tcPr>
            <w:tcW w:w="2126"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2盒</w:t>
            </w:r>
          </w:p>
        </w:tc>
        <w:tc>
          <w:tcPr>
            <w:tcW w:w="2139"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1盒</w:t>
            </w:r>
          </w:p>
        </w:tc>
        <w:tc>
          <w:tcPr>
            <w:tcW w:w="211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5" w:type="dxa"/>
            <w:vMerge w:val="restart"/>
            <w:tcBorders>
              <w:top w:val="nil"/>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5</w:t>
            </w:r>
          </w:p>
        </w:tc>
        <w:tc>
          <w:tcPr>
            <w:tcW w:w="840" w:type="dxa"/>
            <w:vMerge w:val="restart"/>
            <w:tcBorders>
              <w:top w:val="nil"/>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涂改</w:t>
            </w:r>
          </w:p>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制品</w:t>
            </w:r>
          </w:p>
        </w:tc>
        <w:tc>
          <w:tcPr>
            <w:tcW w:w="184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修正液</w:t>
            </w:r>
          </w:p>
        </w:tc>
        <w:tc>
          <w:tcPr>
            <w:tcW w:w="2126"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70mL</w:t>
            </w:r>
          </w:p>
        </w:tc>
        <w:tc>
          <w:tcPr>
            <w:tcW w:w="2139"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40mL</w:t>
            </w:r>
          </w:p>
        </w:tc>
        <w:tc>
          <w:tcPr>
            <w:tcW w:w="211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30mL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840"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84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修正笔</w:t>
            </w:r>
          </w:p>
        </w:tc>
        <w:tc>
          <w:tcPr>
            <w:tcW w:w="2126"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20支</w:t>
            </w:r>
          </w:p>
        </w:tc>
        <w:tc>
          <w:tcPr>
            <w:tcW w:w="2139"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10支</w:t>
            </w:r>
          </w:p>
        </w:tc>
        <w:tc>
          <w:tcPr>
            <w:tcW w:w="211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840"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84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修正带</w:t>
            </w:r>
          </w:p>
        </w:tc>
        <w:tc>
          <w:tcPr>
            <w:tcW w:w="2126"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100m</w:t>
            </w:r>
          </w:p>
        </w:tc>
        <w:tc>
          <w:tcPr>
            <w:tcW w:w="2139"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60m</w:t>
            </w:r>
          </w:p>
        </w:tc>
        <w:tc>
          <w:tcPr>
            <w:tcW w:w="211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40m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840"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84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bookmarkStart w:id="0" w:name="_Hlk101878019"/>
            <w:r>
              <w:rPr>
                <w:rFonts w:hint="eastAsia" w:ascii="仿宋_GB2312" w:hAnsi="仿宋_GB2312" w:eastAsia="仿宋_GB2312" w:cs="仿宋_GB2312"/>
                <w:color w:val="000000"/>
                <w:sz w:val="24"/>
                <w:szCs w:val="24"/>
                <w:lang w:bidi="ar"/>
              </w:rPr>
              <w:t>修正贴</w:t>
            </w:r>
            <w:bookmarkEnd w:id="0"/>
          </w:p>
        </w:tc>
        <w:tc>
          <w:tcPr>
            <w:tcW w:w="2126"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100张</w:t>
            </w:r>
          </w:p>
        </w:tc>
        <w:tc>
          <w:tcPr>
            <w:tcW w:w="2139" w:type="dxa"/>
            <w:tcBorders>
              <w:top w:val="single" w:color="auto" w:sz="4" w:space="0"/>
              <w:left w:val="nil"/>
              <w:bottom w:val="single" w:color="auto" w:sz="4" w:space="0"/>
              <w:right w:val="single" w:color="auto" w:sz="4" w:space="0"/>
            </w:tcBorders>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50张</w:t>
            </w:r>
          </w:p>
        </w:tc>
        <w:tc>
          <w:tcPr>
            <w:tcW w:w="2114" w:type="dxa"/>
            <w:tcBorders>
              <w:top w:val="single" w:color="auto" w:sz="4" w:space="0"/>
              <w:left w:val="nil"/>
              <w:bottom w:val="single" w:color="auto" w:sz="4" w:space="0"/>
              <w:right w:val="single" w:color="auto" w:sz="4" w:space="0"/>
            </w:tcBorders>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50张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67" w:type="dxa"/>
            <w:gridSpan w:val="6"/>
            <w:tcBorders>
              <w:top w:val="single" w:color="auto" w:sz="4" w:space="0"/>
              <w:left w:val="single" w:color="auto" w:sz="4" w:space="0"/>
              <w:bottom w:val="single" w:color="auto" w:sz="4" w:space="0"/>
              <w:right w:val="single" w:color="auto" w:sz="4" w:space="0"/>
            </w:tcBorders>
            <w:vAlign w:val="center"/>
          </w:tcPr>
          <w:p>
            <w:pPr>
              <w:autoSpaceDE w:val="0"/>
              <w:jc w:val="left"/>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注：</w:t>
            </w:r>
          </w:p>
          <w:p>
            <w:pPr>
              <w:autoSpaceDE w:val="0"/>
              <w:jc w:val="left"/>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1.抽样时以最小独立包装为抽样单元，样品数满足上述抽样数量；</w:t>
            </w:r>
          </w:p>
          <w:p>
            <w:pPr>
              <w:autoSpaceDE w:val="0"/>
              <w:jc w:val="left"/>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bidi="ar"/>
              </w:rPr>
              <w:t xml:space="preserve">考试用铅笔，如果样品含笔套：检12支，备10支；如果样品不含笔套：检2支，备1支。 </w:t>
            </w:r>
          </w:p>
        </w:tc>
      </w:tr>
    </w:tbl>
    <w:p>
      <w:pPr>
        <w:spacing w:line="560" w:lineRule="exact"/>
        <w:rPr>
          <w:rFonts w:ascii="仿宋_GB2312" w:cs="仿宋_GB2312"/>
          <w:szCs w:val="32"/>
          <w:lang w:bidi="ar"/>
        </w:rPr>
      </w:pP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 xml:space="preserve">2 检验依据 </w:t>
      </w:r>
    </w:p>
    <w:p>
      <w:pPr>
        <w:rPr>
          <w:rFonts w:hint="eastAsia" w:ascii="仿宋_GB2312" w:cs="仿宋_GB2312"/>
          <w:b/>
          <w:sz w:val="24"/>
          <w:lang w:bidi="ar"/>
        </w:rPr>
      </w:pPr>
      <w:r>
        <w:rPr>
          <w:rFonts w:hint="eastAsia" w:ascii="仿宋_GB2312" w:cs="仿宋_GB2312"/>
          <w:b/>
          <w:sz w:val="24"/>
          <w:lang w:bidi="ar"/>
        </w:rPr>
        <w:br w:type="page"/>
      </w:r>
    </w:p>
    <w:p>
      <w:pPr>
        <w:autoSpaceDE w:val="0"/>
        <w:jc w:val="center"/>
        <w:rPr>
          <w:rFonts w:hint="eastAsia" w:ascii="仿宋_GB2312" w:hAnsi="仿宋_GB2312" w:eastAsia="仿宋_GB2312" w:cs="仿宋_GB2312"/>
          <w:b/>
          <w:sz w:val="24"/>
        </w:rPr>
      </w:pPr>
      <w:r>
        <w:rPr>
          <w:rFonts w:hint="eastAsia" w:ascii="仿宋_GB2312" w:hAnsi="仿宋_GB2312" w:eastAsia="仿宋_GB2312" w:cs="仿宋_GB2312"/>
          <w:b/>
          <w:sz w:val="24"/>
          <w:lang w:bidi="ar"/>
        </w:rPr>
        <w:t>表2 水彩画颜料</w:t>
      </w:r>
    </w:p>
    <w:tbl>
      <w:tblPr>
        <w:tblStyle w:val="3"/>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5119"/>
        <w:gridCol w:w="3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序号</w:t>
            </w:r>
          </w:p>
        </w:tc>
        <w:tc>
          <w:tcPr>
            <w:tcW w:w="5119"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检验项目</w:t>
            </w:r>
          </w:p>
        </w:tc>
        <w:tc>
          <w:tcPr>
            <w:tcW w:w="3456"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w:t>
            </w:r>
          </w:p>
        </w:tc>
        <w:tc>
          <w:tcPr>
            <w:tcW w:w="5119"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可迁移元素的限量</w:t>
            </w:r>
          </w:p>
        </w:tc>
        <w:tc>
          <w:tcPr>
            <w:tcW w:w="3456"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2</w:t>
            </w:r>
          </w:p>
        </w:tc>
        <w:tc>
          <w:tcPr>
            <w:tcW w:w="5119"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可触及的塑料件中邻苯二甲酸酯增塑剂的限量</w:t>
            </w:r>
          </w:p>
        </w:tc>
        <w:tc>
          <w:tcPr>
            <w:tcW w:w="3456"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GB/T 22048—2022</w:t>
            </w:r>
          </w:p>
        </w:tc>
      </w:tr>
    </w:tbl>
    <w:p>
      <w:pPr>
        <w:autoSpaceDE w:val="0"/>
        <w:jc w:val="center"/>
        <w:rPr>
          <w:rFonts w:hint="eastAsia" w:ascii="仿宋_GB2312" w:hAnsi="仿宋_GB2312" w:eastAsia="仿宋_GB2312" w:cs="仿宋_GB2312"/>
          <w:b/>
          <w:sz w:val="24"/>
        </w:rPr>
      </w:pPr>
      <w:r>
        <w:rPr>
          <w:rFonts w:hint="eastAsia" w:ascii="仿宋_GB2312" w:hAnsi="仿宋_GB2312" w:eastAsia="仿宋_GB2312" w:cs="仿宋_GB2312"/>
          <w:b/>
          <w:sz w:val="24"/>
          <w:lang w:bidi="ar"/>
        </w:rPr>
        <w:t>表3 中性墨水圆珠笔及笔芯</w:t>
      </w:r>
    </w:p>
    <w:tbl>
      <w:tblPr>
        <w:tblStyle w:val="3"/>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5129"/>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序号</w:t>
            </w:r>
          </w:p>
        </w:tc>
        <w:tc>
          <w:tcPr>
            <w:tcW w:w="5129"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检验项目</w:t>
            </w:r>
          </w:p>
        </w:tc>
        <w:tc>
          <w:tcPr>
            <w:tcW w:w="344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w:t>
            </w:r>
          </w:p>
        </w:tc>
        <w:tc>
          <w:tcPr>
            <w:tcW w:w="5129"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可迁移元素的限量</w:t>
            </w:r>
          </w:p>
        </w:tc>
        <w:tc>
          <w:tcPr>
            <w:tcW w:w="344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2</w:t>
            </w:r>
          </w:p>
        </w:tc>
        <w:tc>
          <w:tcPr>
            <w:tcW w:w="5129"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可触及的塑料件中邻苯二甲酸酯增塑剂的限量</w:t>
            </w:r>
          </w:p>
        </w:tc>
        <w:tc>
          <w:tcPr>
            <w:tcW w:w="344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GB/T 22048—2022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3</w:t>
            </w:r>
          </w:p>
        </w:tc>
        <w:tc>
          <w:tcPr>
            <w:tcW w:w="5129"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笔套安全</w:t>
            </w:r>
          </w:p>
        </w:tc>
        <w:tc>
          <w:tcPr>
            <w:tcW w:w="344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21027—2020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39" w:type="dxa"/>
            <w:gridSpan w:val="3"/>
            <w:tcBorders>
              <w:top w:val="single" w:color="auto" w:sz="4" w:space="0"/>
              <w:left w:val="single" w:color="auto" w:sz="4" w:space="0"/>
              <w:bottom w:val="single" w:color="auto" w:sz="4" w:space="0"/>
              <w:right w:val="single" w:color="auto" w:sz="4" w:space="0"/>
            </w:tcBorders>
            <w:vAlign w:val="center"/>
          </w:tcPr>
          <w:p>
            <w:pPr>
              <w:autoSpaceDE w:val="0"/>
              <w:jc w:val="left"/>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注：笔套安全仅适用于含有笔套的产品。</w:t>
            </w:r>
          </w:p>
        </w:tc>
      </w:tr>
    </w:tbl>
    <w:p>
      <w:pPr>
        <w:autoSpaceDE w:val="0"/>
        <w:jc w:val="center"/>
        <w:rPr>
          <w:rFonts w:hint="eastAsia" w:ascii="仿宋_GB2312" w:hAnsi="仿宋_GB2312" w:eastAsia="仿宋_GB2312" w:cs="仿宋_GB2312"/>
          <w:b/>
          <w:sz w:val="24"/>
        </w:rPr>
      </w:pPr>
      <w:r>
        <w:rPr>
          <w:rFonts w:hint="eastAsia" w:ascii="仿宋_GB2312" w:hAnsi="仿宋_GB2312" w:eastAsia="仿宋_GB2312" w:cs="仿宋_GB2312"/>
          <w:b/>
          <w:sz w:val="24"/>
          <w:lang w:bidi="ar"/>
        </w:rPr>
        <w:t>表4 彩泥（橡皮泥）</w:t>
      </w:r>
    </w:p>
    <w:tbl>
      <w:tblPr>
        <w:tblStyle w:val="3"/>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5125"/>
        <w:gridCol w:w="3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tcPr>
          <w:p>
            <w:pPr>
              <w:autoSpaceDE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序号</w:t>
            </w:r>
          </w:p>
        </w:tc>
        <w:tc>
          <w:tcPr>
            <w:tcW w:w="5125" w:type="dxa"/>
            <w:tcBorders>
              <w:top w:val="single" w:color="auto" w:sz="4" w:space="0"/>
              <w:left w:val="nil"/>
              <w:bottom w:val="single" w:color="auto" w:sz="4" w:space="0"/>
              <w:right w:val="single" w:color="auto" w:sz="4" w:space="0"/>
            </w:tcBorders>
          </w:tcPr>
          <w:p>
            <w:pPr>
              <w:autoSpaceDE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检验项目</w:t>
            </w:r>
          </w:p>
        </w:tc>
        <w:tc>
          <w:tcPr>
            <w:tcW w:w="3447" w:type="dxa"/>
            <w:tcBorders>
              <w:top w:val="single" w:color="auto" w:sz="4" w:space="0"/>
              <w:left w:val="nil"/>
              <w:bottom w:val="single" w:color="auto" w:sz="4" w:space="0"/>
              <w:right w:val="single" w:color="auto" w:sz="4" w:space="0"/>
            </w:tcBorders>
          </w:tcPr>
          <w:p>
            <w:pPr>
              <w:autoSpaceDE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w:t>
            </w:r>
          </w:p>
        </w:tc>
        <w:tc>
          <w:tcPr>
            <w:tcW w:w="5125"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可迁移元素的限量</w:t>
            </w:r>
          </w:p>
        </w:tc>
        <w:tc>
          <w:tcPr>
            <w:tcW w:w="3447"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2</w:t>
            </w:r>
          </w:p>
        </w:tc>
        <w:tc>
          <w:tcPr>
            <w:tcW w:w="5125"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可触及的塑料件中邻苯二甲酸酯增塑剂的限量</w:t>
            </w:r>
          </w:p>
        </w:tc>
        <w:tc>
          <w:tcPr>
            <w:tcW w:w="3447"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GB/T 22048—2022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3</w:t>
            </w:r>
          </w:p>
        </w:tc>
        <w:tc>
          <w:tcPr>
            <w:tcW w:w="5125"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游离甲醛的限量</w:t>
            </w:r>
          </w:p>
        </w:tc>
        <w:tc>
          <w:tcPr>
            <w:tcW w:w="3447"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GB/T 32606—2016</w:t>
            </w:r>
          </w:p>
        </w:tc>
      </w:tr>
    </w:tbl>
    <w:p>
      <w:pPr>
        <w:autoSpaceDE w:val="0"/>
        <w:jc w:val="center"/>
        <w:rPr>
          <w:rFonts w:hint="eastAsia" w:ascii="仿宋_GB2312" w:hAnsi="仿宋_GB2312" w:eastAsia="仿宋_GB2312" w:cs="仿宋_GB2312"/>
          <w:b/>
          <w:sz w:val="24"/>
        </w:rPr>
      </w:pPr>
      <w:r>
        <w:rPr>
          <w:rFonts w:hint="eastAsia" w:ascii="仿宋_GB2312" w:hAnsi="仿宋_GB2312" w:eastAsia="仿宋_GB2312" w:cs="仿宋_GB2312"/>
          <w:b/>
          <w:sz w:val="24"/>
          <w:lang w:bidi="ar"/>
        </w:rPr>
        <w:t>表5 铅笔</w:t>
      </w:r>
    </w:p>
    <w:tbl>
      <w:tblPr>
        <w:tblStyle w:val="3"/>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5129"/>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序号</w:t>
            </w:r>
          </w:p>
        </w:tc>
        <w:tc>
          <w:tcPr>
            <w:tcW w:w="5129"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检验项目</w:t>
            </w:r>
          </w:p>
        </w:tc>
        <w:tc>
          <w:tcPr>
            <w:tcW w:w="344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w:t>
            </w:r>
          </w:p>
        </w:tc>
        <w:tc>
          <w:tcPr>
            <w:tcW w:w="5129"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可迁移元素的限量</w:t>
            </w:r>
          </w:p>
        </w:tc>
        <w:tc>
          <w:tcPr>
            <w:tcW w:w="344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2</w:t>
            </w:r>
          </w:p>
        </w:tc>
        <w:tc>
          <w:tcPr>
            <w:tcW w:w="5129"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可触及的塑料件中邻苯二甲酸酯增塑剂的限量</w:t>
            </w:r>
          </w:p>
        </w:tc>
        <w:tc>
          <w:tcPr>
            <w:tcW w:w="344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GB/T 22048—2022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3</w:t>
            </w:r>
          </w:p>
        </w:tc>
        <w:tc>
          <w:tcPr>
            <w:tcW w:w="5129"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笔套安全</w:t>
            </w:r>
          </w:p>
        </w:tc>
        <w:tc>
          <w:tcPr>
            <w:tcW w:w="344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21027—2020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39" w:type="dxa"/>
            <w:gridSpan w:val="3"/>
            <w:tcBorders>
              <w:top w:val="single" w:color="auto" w:sz="4" w:space="0"/>
              <w:left w:val="single" w:color="auto" w:sz="4" w:space="0"/>
              <w:bottom w:val="single" w:color="auto" w:sz="4" w:space="0"/>
              <w:right w:val="single" w:color="auto" w:sz="4" w:space="0"/>
            </w:tcBorders>
            <w:vAlign w:val="center"/>
          </w:tcPr>
          <w:p>
            <w:pPr>
              <w:autoSpaceDE w:val="0"/>
              <w:jc w:val="left"/>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注：笔套安全仅适用于含有笔套的产品。</w:t>
            </w:r>
          </w:p>
        </w:tc>
      </w:tr>
    </w:tbl>
    <w:p>
      <w:pPr>
        <w:autoSpaceDE w:val="0"/>
        <w:jc w:val="center"/>
        <w:rPr>
          <w:rFonts w:hint="eastAsia" w:ascii="仿宋_GB2312" w:hAnsi="仿宋_GB2312" w:eastAsia="仿宋_GB2312" w:cs="仿宋_GB2312"/>
          <w:b/>
          <w:sz w:val="24"/>
        </w:rPr>
      </w:pPr>
      <w:r>
        <w:rPr>
          <w:rFonts w:hint="eastAsia" w:ascii="仿宋_GB2312" w:hAnsi="仿宋_GB2312" w:eastAsia="仿宋_GB2312" w:cs="仿宋_GB2312"/>
          <w:b/>
          <w:sz w:val="24"/>
          <w:lang w:bidi="ar"/>
        </w:rPr>
        <w:t>表6 涂改制品</w:t>
      </w:r>
    </w:p>
    <w:tbl>
      <w:tblPr>
        <w:tblStyle w:val="3"/>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5125"/>
        <w:gridCol w:w="3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序号</w:t>
            </w:r>
          </w:p>
        </w:tc>
        <w:tc>
          <w:tcPr>
            <w:tcW w:w="5125"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检验项目</w:t>
            </w:r>
          </w:p>
        </w:tc>
        <w:tc>
          <w:tcPr>
            <w:tcW w:w="3448"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w:t>
            </w:r>
          </w:p>
        </w:tc>
        <w:tc>
          <w:tcPr>
            <w:tcW w:w="5125"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可迁移元素的限量</w:t>
            </w:r>
          </w:p>
        </w:tc>
        <w:tc>
          <w:tcPr>
            <w:tcW w:w="3448"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2</w:t>
            </w:r>
          </w:p>
        </w:tc>
        <w:tc>
          <w:tcPr>
            <w:tcW w:w="5125"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苯的含量</w:t>
            </w:r>
          </w:p>
        </w:tc>
        <w:tc>
          <w:tcPr>
            <w:tcW w:w="3448"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21027—2020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3</w:t>
            </w:r>
          </w:p>
        </w:tc>
        <w:tc>
          <w:tcPr>
            <w:tcW w:w="5125"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氯代烃</w:t>
            </w:r>
          </w:p>
        </w:tc>
        <w:tc>
          <w:tcPr>
            <w:tcW w:w="3448"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GB/T 32613—2016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4</w:t>
            </w:r>
          </w:p>
        </w:tc>
        <w:tc>
          <w:tcPr>
            <w:tcW w:w="5125"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可触及的塑料件中邻苯二甲酸酯增塑剂的限量</w:t>
            </w:r>
          </w:p>
        </w:tc>
        <w:tc>
          <w:tcPr>
            <w:tcW w:w="3448"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GB/T 22048—2022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5</w:t>
            </w:r>
          </w:p>
        </w:tc>
        <w:tc>
          <w:tcPr>
            <w:tcW w:w="5125"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笔套安全</w:t>
            </w:r>
          </w:p>
        </w:tc>
        <w:tc>
          <w:tcPr>
            <w:tcW w:w="3448"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 xml:space="preserve">GB 21027—2020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39" w:type="dxa"/>
            <w:gridSpan w:val="3"/>
            <w:tcBorders>
              <w:top w:val="single" w:color="auto" w:sz="4" w:space="0"/>
              <w:left w:val="single" w:color="auto" w:sz="4" w:space="0"/>
              <w:bottom w:val="single" w:color="auto" w:sz="4" w:space="0"/>
              <w:right w:val="single" w:color="auto" w:sz="4" w:space="0"/>
            </w:tcBorders>
            <w:vAlign w:val="center"/>
          </w:tcPr>
          <w:p>
            <w:pPr>
              <w:autoSpaceDE w:val="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注：笔套安全仅适用于修正笔。</w:t>
            </w:r>
          </w:p>
        </w:tc>
      </w:tr>
    </w:tbl>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注：</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1.“可触及的塑料件中邻苯二甲酸酯增塑剂的限量”项目测试邻苯二甲酸二己酯（DEHP）、邻苯二甲酸二丁酯（DBP）、邻苯二甲酸丁苄酯（BBP）三种邻苯二甲酸酯总含量。</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2.执行企业标准、团体标准、地方标准的产品，检验项目参照上述内容执行。</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3 判定规则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3.1 依据标准</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GB 21027—2020《学生用品的安全通用要求》</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现行有效的企业标准、团体标准、地方标准及产品明示质量要求</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3.2 判定原则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经检验，检验项目全部合格，判定为被抽查产品所检项目未发现不合格；检验项目中任一项或一项以上不合格，判定为被抽查产品不合格。</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若被检产品明示的质量要求高于本细则中检验项目依据的标准要求时，应按被检产品明示的质量要求判定。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若被检产品明示的质量要求低于或包含本细则中检验项目依据的推荐性标准要求时，应以被检产品明示的质量要求判定。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若被检产品明示的质量要求缺少本细则中检验项目依据的强制性标准要求时，应按照强制性标准要求判定。</w:t>
      </w:r>
    </w:p>
    <w:p>
      <w:pPr>
        <w:rPr>
          <w:rFonts w:hint="default"/>
          <w:lang w:val="en-US" w:eastAsia="zh-CN"/>
        </w:rPr>
      </w:pPr>
      <w:r>
        <w:rPr>
          <w:rFonts w:hint="eastAsia" w:ascii="Times New Roman" w:hAnsi="Times New Roman" w:eastAsia="仿宋_GB2312" w:cs="仿宋_GB2312"/>
          <w:color w:val="000000"/>
          <w:sz w:val="32"/>
          <w:szCs w:val="40"/>
          <w:highlight w:val="none"/>
        </w:rPr>
        <w:t>若被检产品明示的质量要求缺少本细则中检验项目依据的推荐性标准要求时，该项目不参与判定。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仿宋_GB2312"/>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C50A4"/>
    <w:rsid w:val="773C50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2025-07-07T03:20:00Z</dcterms:created>
  <dc:creator>刘燕</dc:creator>
  <cp:lastModifiedBy>刘燕</cp:lastModifiedBy>
  <dcterms:modified xsi:type="dcterms:W3CDTF">2025-07-07T03:20:45Z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