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附件12</w:t>
      </w:r>
    </w:p>
    <w:p>
      <w:pPr>
        <w:spacing w:line="640" w:lineRule="exact"/>
        <w:jc w:val="center"/>
        <w:rPr>
          <w:rFonts w:eastAsia="方正小标宋简体" w:cs="方正小标宋简体"/>
          <w:color w:val="000000"/>
          <w:sz w:val="36"/>
          <w:szCs w:val="36"/>
        </w:rPr>
      </w:pPr>
      <w:bookmarkStart w:id="0" w:name="_GoBack"/>
      <w:r>
        <w:rPr>
          <w:rFonts w:hint="eastAsia" w:ascii="方正小标宋_GBK" w:hAnsi="方正小标宋_GBK" w:eastAsia="方正小标宋_GBK" w:cs="方正小标宋_GBK"/>
          <w:color w:val="000000"/>
          <w:sz w:val="36"/>
          <w:szCs w:val="36"/>
        </w:rPr>
        <w:t>佛冈县玩具产品质量监督抽查实施细则</w:t>
      </w:r>
      <w:bookmarkEnd w:id="0"/>
    </w:p>
    <w:p>
      <w:pPr>
        <w:spacing w:line="640" w:lineRule="exact"/>
        <w:jc w:val="center"/>
        <w:rPr>
          <w:rFonts w:eastAsia="楷体_GB2312" w:cs="楷体_GB2312"/>
          <w:color w:val="000000"/>
          <w:szCs w:val="40"/>
        </w:rPr>
      </w:pPr>
      <w:r>
        <w:rPr>
          <w:rFonts w:hint="eastAsia" w:ascii="楷体" w:hAnsi="楷体" w:eastAsia="楷体" w:cs="楷体"/>
          <w:color w:val="000000"/>
          <w:sz w:val="32"/>
          <w:szCs w:val="32"/>
        </w:rPr>
        <w:t>（2025年版）</w:t>
      </w:r>
    </w:p>
    <w:p>
      <w:pPr>
        <w:spacing w:line="560" w:lineRule="exact"/>
        <w:rPr>
          <w:color w:val="000000"/>
          <w:szCs w:val="32"/>
        </w:rPr>
      </w:pP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1 抽样方法</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以随机抽样的方式在被抽样生产者、销售者的待销产品中抽取。</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随机数一般可使用随机数表等方法产生。</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每批次抽样数量3个，其中2个作为检验样品、1个作为备用样品。</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 xml:space="preserve">2 检验依据 </w:t>
      </w:r>
    </w:p>
    <w:p>
      <w:pPr>
        <w:autoSpaceDE w:val="0"/>
        <w:jc w:val="center"/>
        <w:rPr>
          <w:rFonts w:ascii="仿宋_GB2312" w:cs="仿宋_GB2312"/>
          <w:b/>
          <w:sz w:val="24"/>
        </w:rPr>
      </w:pPr>
    </w:p>
    <w:tbl>
      <w:tblPr>
        <w:tblStyle w:val="3"/>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763"/>
        <w:gridCol w:w="4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序号</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检验项目</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74" w:type="dxa"/>
            <w:gridSpan w:val="3"/>
            <w:tcBorders>
              <w:top w:val="single" w:color="auto" w:sz="4" w:space="0"/>
              <w:left w:val="single" w:color="auto" w:sz="4" w:space="0"/>
              <w:bottom w:val="single" w:color="auto" w:sz="4" w:space="0"/>
              <w:right w:val="single" w:color="auto" w:sz="4" w:space="0"/>
            </w:tcBorders>
            <w:vAlign w:val="center"/>
          </w:tcPr>
          <w:p>
            <w:pPr>
              <w:autoSpaceDE w:val="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一、机械与物理性能（正常使用和可预见的合理滥用）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材料</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2</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小零件</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3</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挤压玩具、摇铃及类似玩具</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4</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小球</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5</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毛球</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6</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学前玩偶</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7</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玩具奶嘴</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8</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气球</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9</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弹珠</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10</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半球形玩具</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11</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可触及的金属或玻璃边缘</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12</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功能性锐利边缘</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13</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金属玩具边缘</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14</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模塑玩具边缘</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15</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外露螺栓或螺纹杆的边缘</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16</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可触及的锐利尖端</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17</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功能性锐利尖端</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18</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木制玩具</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19</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突出物</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20</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把手和其他类似的管子</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21</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金属丝和杆件</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22</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用于包装或玩具中的塑料袋或塑料薄膜</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23</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18个月以下儿童使用的玩具上的绳索和弹性绳</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24</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18个月以下儿童使用的玩具上的自回缩绳</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25</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36个月以下儿童使用的拖拉玩具上的绳索或弹性绳</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26</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玩具袋上的绳索</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27</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童床或游戏围栏上的悬挂玩具</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28</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童床上的健身玩具及类似玩具</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29</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飞行玩具的绳索、细绳或线</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30</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玩具推车、玩具婴儿车及类似玩具</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31</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带有折叠机构的其他玩具</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32</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铰链间隙</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33</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刚性材料上的圆孔</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34</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活动部件间的间隙</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35</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其他驱动机构</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36</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发条钥匙</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37</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弹簧</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38</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封闭式玩具的通风装置</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39</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封闭式玩具的关闭件</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40</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封闭头部的玩具</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41</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仿制防护玩具</w:t>
            </w:r>
          </w:p>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（头盔、帽子、护目镜）</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42</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弹射玩具的一般要求</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43</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蓄能弹射玩具</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44</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非蓄能弹射玩具</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45</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水上玩具</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46</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热源玩具</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47</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液体填充玩具</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48</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口动玩具</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49</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玩具滚轴溜冰鞋、单排滚轴溜冰鞋及玩具滑板</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50</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玩具火药帽</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51</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声响要求</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52</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磁体和磁性部件</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6675.2—2014（含第1号修改单）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74" w:type="dxa"/>
            <w:gridSpan w:val="3"/>
            <w:tcBorders>
              <w:top w:val="single" w:color="auto" w:sz="4" w:space="0"/>
              <w:left w:val="single" w:color="auto" w:sz="4" w:space="0"/>
              <w:bottom w:val="single" w:color="auto" w:sz="4" w:space="0"/>
              <w:right w:val="single" w:color="auto" w:sz="4" w:space="0"/>
            </w:tcBorders>
            <w:vAlign w:val="center"/>
          </w:tcPr>
          <w:p>
            <w:pPr>
              <w:autoSpaceDE w:val="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二、易燃性能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一般要求</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2</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头戴玩具</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3</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化妆服饰</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4</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供儿童进入的玩具</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5</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具有毛绒或纺织表面的软体填充</w:t>
            </w:r>
          </w:p>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玩具（动物和娃娃等）</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74" w:type="dxa"/>
            <w:gridSpan w:val="3"/>
            <w:tcBorders>
              <w:top w:val="single" w:color="auto" w:sz="4" w:space="0"/>
              <w:left w:val="single" w:color="auto" w:sz="4" w:space="0"/>
              <w:bottom w:val="single" w:color="auto" w:sz="4" w:space="0"/>
              <w:right w:val="single" w:color="auto" w:sz="4" w:space="0"/>
            </w:tcBorders>
            <w:vAlign w:val="center"/>
          </w:tcPr>
          <w:p>
            <w:pPr>
              <w:autoSpaceDE w:val="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三、特定元素的迁移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最大限量要求</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6675.4—2014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74" w:type="dxa"/>
            <w:gridSpan w:val="3"/>
            <w:tcBorders>
              <w:top w:val="single" w:color="auto" w:sz="4" w:space="0"/>
              <w:left w:val="single" w:color="auto" w:sz="4" w:space="0"/>
              <w:bottom w:val="single" w:color="auto" w:sz="4" w:space="0"/>
              <w:right w:val="single" w:color="auto" w:sz="4" w:space="0"/>
            </w:tcBorders>
            <w:vAlign w:val="center"/>
          </w:tcPr>
          <w:p>
            <w:pPr>
              <w:autoSpaceDE w:val="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四、增塑剂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限定增塑剂限量要求</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GB/T 22048—2022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74" w:type="dxa"/>
            <w:gridSpan w:val="3"/>
            <w:tcBorders>
              <w:top w:val="single" w:color="auto" w:sz="4" w:space="0"/>
              <w:left w:val="single" w:color="auto" w:sz="4" w:space="0"/>
              <w:bottom w:val="single" w:color="auto" w:sz="4" w:space="0"/>
              <w:right w:val="single" w:color="auto" w:sz="4" w:space="0"/>
            </w:tcBorders>
            <w:vAlign w:val="center"/>
          </w:tcPr>
          <w:p>
            <w:pPr>
              <w:autoSpaceDE w:val="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五、电性能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标识和说明</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19865—2005（含第1号修改单）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2</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输入功率</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19865—2005（含第1号修改单）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3</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发热和非正常工作</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19865—2005（含第1号修改单）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4</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工作温度下的电气强度</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19865—2005（含第1号修改单）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5</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耐潮湿</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19865—2005（含第1号修改单）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6</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室温下的电气强度</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19865—2005（含第1号修改单）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7</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机械强度</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19865—2005（含第1号修改单）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8</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结构</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19865—2005（含第1号修改单）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9</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软线和电线的保护</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19865—2005（含第1号修改单）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10</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螺钉和连接</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19865—2005（含第1号修改单）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11</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电气间隙和爬电距离</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19865—2005（含第1号修改单）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12</w:t>
            </w:r>
          </w:p>
        </w:tc>
        <w:tc>
          <w:tcPr>
            <w:tcW w:w="3763"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耐热和耐燃</w:t>
            </w:r>
          </w:p>
        </w:tc>
        <w:tc>
          <w:tcPr>
            <w:tcW w:w="4594" w:type="dxa"/>
            <w:tcBorders>
              <w:top w:val="single" w:color="auto" w:sz="4" w:space="0"/>
              <w:left w:val="nil"/>
              <w:bottom w:val="single" w:color="auto" w:sz="4" w:space="0"/>
              <w:right w:val="single" w:color="auto" w:sz="4" w:space="0"/>
            </w:tcBorders>
            <w:vAlign w:val="center"/>
          </w:tcPr>
          <w:p>
            <w:pPr>
              <w:autoSpaceDE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GB 19865—2005（含第1号修改单）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174" w:type="dxa"/>
            <w:gridSpan w:val="3"/>
            <w:tcBorders>
              <w:top w:val="single" w:color="auto" w:sz="4" w:space="0"/>
              <w:left w:val="single" w:color="auto" w:sz="4" w:space="0"/>
              <w:bottom w:val="single" w:color="auto" w:sz="4" w:space="0"/>
              <w:right w:val="single" w:color="auto" w:sz="4" w:space="0"/>
            </w:tcBorders>
            <w:vAlign w:val="center"/>
          </w:tcPr>
          <w:p>
            <w:pPr>
              <w:autoSpaceDE w:val="0"/>
              <w:jc w:val="left"/>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备注：</w:t>
            </w:r>
            <w:r>
              <w:rPr>
                <w:rFonts w:hint="eastAsia" w:ascii="仿宋_GB2312" w:hAnsi="仿宋_GB2312" w:eastAsia="仿宋_GB2312" w:cs="仿宋_GB2312"/>
                <w:sz w:val="24"/>
                <w:szCs w:val="24"/>
                <w:lang w:bidi="ar"/>
              </w:rPr>
              <w:t>进行GB 19865—2005测试前应按标准第5章进行预处理。</w:t>
            </w:r>
          </w:p>
        </w:tc>
      </w:tr>
    </w:tbl>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执行企业标准、团体标准、地方标准的产品，检验项目参照上述内容执行。</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3 判定规则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3.1 依据标准</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GB 6675.1—2014《玩具安全  第1部分：基本规范》</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GB 6675.2—2014《玩具安全  第2部分：机械与物理性能（含第1号修改单）</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GB 6675.3—2014《玩具安全  第3部分：易燃性能》</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GB 6675.4—2014《玩具安全  第4部分：特定元素的迁移》</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GB 19865—2005《电玩具的安全》（含第1号修改单）（适用于带电玩具）</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GB/T 22048—2022《玩具及儿童用品中特定邻苯二甲酸酯增塑剂的测定》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现行有效的企业标准、团体标准、地方标准及产品明示质量要求</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3.2 判定原则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经检验，检验项目全部合格，判定为被抽查产品所检项目未发现不合格；检验项目中任一项或一项以上不合格，判定为被抽查产品不合格。</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若被检产品明示的质量要求高于本细则中检验项目依据的标准要求时，应按被检产品明示的质量要求判定。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若被检产品明示的质量要求低于本细则中检验项目依据的强制性标准要求时，应按照强制性标准要求判定。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若被检产品明示的质量要求低于或包含本细则中检验项目依据的推荐性标准要求时，应以被检产品明示的质量要求判定。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若被检产品明示的质量要求缺少本细则中检验项目依据的强制性标准要求时，应按照强制性标准要求判定。</w:t>
      </w:r>
    </w:p>
    <w:p>
      <w:pPr>
        <w:rPr>
          <w:rFonts w:hint="default"/>
          <w:lang w:val="en-US" w:eastAsia="zh-CN"/>
        </w:rPr>
      </w:pPr>
      <w:r>
        <w:rPr>
          <w:rFonts w:hint="eastAsia" w:ascii="Times New Roman" w:hAnsi="Times New Roman" w:eastAsia="仿宋_GB2312" w:cs="仿宋_GB2312"/>
          <w:color w:val="000000"/>
          <w:sz w:val="32"/>
          <w:szCs w:val="40"/>
          <w:highlight w:val="none"/>
        </w:rPr>
        <w:t>若被检产品明示的质量要求缺少本细则中检验项目依据的推荐性标准要求时，该项目不参与判定。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仿宋_GB2312"/>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40BDF"/>
    <w:rsid w:val="69240B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2025-07-07T03:19:00Z</dcterms:created>
  <dc:creator>刘燕</dc:creator>
  <cp:lastModifiedBy>刘燕</cp:lastModifiedBy>
  <dcterms:modified xsi:type="dcterms:W3CDTF">2025-07-07T03:20:06Z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