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240" w:lineRule="auto"/>
        <w:ind w:left="0" w:right="0"/>
        <w:jc w:val="both"/>
        <w:rPr>
          <w:rFonts w:hint="default" w:ascii="方正小标宋_GBK" w:hAnsi="方正小标宋_GBK" w:eastAsia="方正小标宋_GBK" w:cs="方正小标宋_GBK"/>
          <w:color w:val="000000"/>
          <w:kern w:val="2"/>
          <w:sz w:val="36"/>
          <w:szCs w:val="36"/>
          <w:lang w:val="en-US" w:eastAsia="zh-CN" w:bidi="ar"/>
        </w:rPr>
      </w:pPr>
      <w:r>
        <w:rPr>
          <w:rFonts w:hint="eastAsia" w:ascii="黑体" w:hAnsi="黑体" w:eastAsia="黑体" w:cs="黑体"/>
          <w:color w:val="000000"/>
          <w:kern w:val="2"/>
          <w:sz w:val="32"/>
          <w:szCs w:val="32"/>
          <w:lang w:val="en-US" w:eastAsia="zh-CN" w:bidi="ar"/>
        </w:rPr>
        <w:t>附件7</w:t>
      </w:r>
    </w:p>
    <w:p>
      <w:pPr>
        <w:keepNext w:val="0"/>
        <w:keepLines w:val="0"/>
        <w:widowControl w:val="0"/>
        <w:suppressLineNumbers w:val="0"/>
        <w:spacing w:before="0" w:beforeAutospacing="0" w:after="0" w:afterAutospacing="0" w:line="240" w:lineRule="auto"/>
        <w:ind w:left="0" w:right="0"/>
        <w:jc w:val="center"/>
        <w:rPr>
          <w:rFonts w:hint="eastAsia" w:ascii="方正小标宋简体" w:hAnsi="方正小标宋简体" w:eastAsia="方正小标宋简体" w:cs="方正小标宋简体"/>
          <w:color w:val="000000"/>
          <w:kern w:val="2"/>
          <w:sz w:val="36"/>
          <w:szCs w:val="36"/>
          <w:lang w:val="en-US" w:eastAsia="zh-CN" w:bidi="ar"/>
        </w:rPr>
      </w:pPr>
      <w:bookmarkStart w:id="0" w:name="_GoBack"/>
      <w:r>
        <w:rPr>
          <w:rFonts w:hint="eastAsia" w:ascii="方正小标宋_GBK" w:hAnsi="方正小标宋_GBK" w:eastAsia="方正小标宋_GBK" w:cs="方正小标宋_GBK"/>
          <w:color w:val="000000"/>
          <w:kern w:val="2"/>
          <w:sz w:val="36"/>
          <w:szCs w:val="36"/>
          <w:lang w:val="en-US" w:eastAsia="zh-CN" w:bidi="ar"/>
        </w:rPr>
        <w:t>佛冈县燃气用具连接用不锈钢波纹软管</w:t>
      </w:r>
      <w:r>
        <w:rPr>
          <w:rFonts w:hint="eastAsia" w:ascii="方正小标宋_GBK" w:hAnsi="方正小标宋_GBK" w:eastAsia="方正小标宋_GBK" w:cs="方正小标宋_GBK"/>
          <w:color w:val="000000"/>
          <w:kern w:val="2"/>
          <w:sz w:val="36"/>
          <w:szCs w:val="36"/>
          <w:lang w:val="en-US" w:eastAsia="zh-CN" w:bidi="ar"/>
        </w:rPr>
        <w:br w:type="textWrapping"/>
      </w:r>
      <w:r>
        <w:rPr>
          <w:rFonts w:hint="eastAsia" w:ascii="方正小标宋_GBK" w:hAnsi="方正小标宋_GBK" w:eastAsia="方正小标宋_GBK" w:cs="方正小标宋_GBK"/>
          <w:color w:val="000000"/>
          <w:kern w:val="2"/>
          <w:sz w:val="36"/>
          <w:szCs w:val="36"/>
          <w:lang w:val="en-US" w:eastAsia="zh-CN" w:bidi="ar"/>
        </w:rPr>
        <w:t>产品质量监督抽查实施细则</w:t>
      </w:r>
      <w:bookmarkEnd w:id="0"/>
    </w:p>
    <w:p>
      <w:pPr>
        <w:keepNext w:val="0"/>
        <w:keepLines w:val="0"/>
        <w:widowControl w:val="0"/>
        <w:suppressLineNumbers w:val="0"/>
        <w:spacing w:before="0" w:beforeAutospacing="0" w:after="0" w:afterAutospacing="0" w:line="240" w:lineRule="auto"/>
        <w:ind w:left="0" w:right="0"/>
        <w:jc w:val="center"/>
        <w:rPr>
          <w:rFonts w:hint="eastAsia" w:ascii="楷体" w:hAnsi="楷体" w:eastAsia="楷体" w:cs="楷体"/>
          <w:color w:val="000000"/>
          <w:kern w:val="2"/>
          <w:sz w:val="32"/>
          <w:szCs w:val="32"/>
          <w:lang w:val="en-US" w:eastAsia="zh-CN" w:bidi="ar"/>
        </w:rPr>
      </w:pPr>
      <w:r>
        <w:rPr>
          <w:rFonts w:hint="eastAsia" w:ascii="楷体" w:hAnsi="楷体" w:eastAsia="楷体" w:cs="楷体"/>
          <w:color w:val="000000"/>
          <w:kern w:val="2"/>
          <w:sz w:val="32"/>
          <w:szCs w:val="32"/>
          <w:lang w:val="en-US" w:eastAsia="zh-CN" w:bidi="ar"/>
        </w:rPr>
        <w:t>（2025年版）</w:t>
      </w:r>
    </w:p>
    <w:p>
      <w:pPr>
        <w:pageBreakBefore w:val="0"/>
        <w:overflowPunct/>
        <w:topLinePunct w:val="0"/>
        <w:bidi w:val="0"/>
        <w:adjustRightInd/>
        <w:snapToGrid/>
        <w:spacing w:line="560" w:lineRule="exact"/>
        <w:ind w:firstLine="640" w:firstLineChars="200"/>
        <w:rPr>
          <w:rFonts w:hint="default" w:ascii="Times New Roman" w:hAnsi="Times New Roman" w:eastAsia="黑体" w:cs="黑体"/>
          <w:color w:val="000000"/>
          <w:sz w:val="32"/>
          <w:szCs w:val="40"/>
          <w:highlight w:val="none"/>
          <w:lang w:val="en-US" w:eastAsia="zh-CN"/>
        </w:rPr>
      </w:pPr>
    </w:p>
    <w:p>
      <w:pPr>
        <w:pageBreakBefore w:val="0"/>
        <w:overflowPunct/>
        <w:topLinePunct w:val="0"/>
        <w:bidi w:val="0"/>
        <w:adjustRightInd/>
        <w:snapToGrid/>
        <w:spacing w:line="560" w:lineRule="exact"/>
        <w:ind w:firstLine="640" w:firstLineChars="200"/>
        <w:rPr>
          <w:rFonts w:hint="default" w:ascii="Times New Roman" w:hAnsi="Times New Roman" w:eastAsia="黑体" w:cs="黑体"/>
          <w:color w:val="000000"/>
          <w:sz w:val="32"/>
          <w:szCs w:val="40"/>
          <w:highlight w:val="none"/>
        </w:rPr>
      </w:pPr>
      <w:r>
        <w:rPr>
          <w:rFonts w:hint="default" w:ascii="Times New Roman" w:hAnsi="Times New Roman" w:eastAsia="黑体" w:cs="黑体"/>
          <w:color w:val="000000"/>
          <w:sz w:val="32"/>
          <w:szCs w:val="40"/>
          <w:highlight w:val="none"/>
          <w:lang w:val="en-US" w:eastAsia="zh-CN"/>
        </w:rPr>
        <w:t xml:space="preserve">1 </w:t>
      </w:r>
      <w:r>
        <w:rPr>
          <w:rFonts w:hint="eastAsia" w:ascii="Times New Roman" w:hAnsi="Times New Roman" w:eastAsia="黑体" w:cs="黑体"/>
          <w:color w:val="000000"/>
          <w:sz w:val="32"/>
          <w:szCs w:val="40"/>
          <w:highlight w:val="none"/>
          <w:lang w:val="en-US" w:eastAsia="zh-CN"/>
        </w:rPr>
        <w:t>抽样方法</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以随机抽样的方式在被抽样生产者、销售者的待销产品中抽取。</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随机数一般可使用随机数表等方法产生。</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每批次产品抽取样品6根，其中3根作为检验样品、3根作为备用样品。</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lang w:val="en-US" w:eastAsia="zh-CN"/>
        </w:rPr>
      </w:pPr>
      <w:r>
        <w:rPr>
          <w:rFonts w:hint="eastAsia" w:ascii="Times New Roman" w:hAnsi="Times New Roman" w:eastAsia="黑体" w:cs="黑体"/>
          <w:color w:val="000000"/>
          <w:sz w:val="32"/>
          <w:szCs w:val="40"/>
          <w:highlight w:val="none"/>
          <w:lang w:val="en-US" w:eastAsia="zh-CN"/>
        </w:rPr>
        <w:t xml:space="preserve">2 检验依据 </w:t>
      </w:r>
    </w:p>
    <w:tbl>
      <w:tblPr>
        <w:tblStyle w:val="3"/>
        <w:tblW w:w="84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1"/>
        <w:gridCol w:w="4110"/>
        <w:gridCol w:w="3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6" w:hRule="exact"/>
          <w:jc w:val="center"/>
        </w:trPr>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序号</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检验项目</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1" w:hRule="exact"/>
          <w:jc w:val="center"/>
        </w:trPr>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1</w:t>
            </w:r>
          </w:p>
        </w:tc>
        <w:tc>
          <w:tcPr>
            <w:tcW w:w="41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lang w:val="en-US" w:eastAsia="zh-CN" w:bidi="ar"/>
              </w:rPr>
              <w:t>气密性</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highlight w:val="none"/>
                <w:lang w:val="en-US" w:eastAsia="zh-CN" w:bidi="ar"/>
              </w:rPr>
            </w:pPr>
            <w:r>
              <w:rPr>
                <w:rFonts w:hint="eastAsia" w:ascii="仿宋_GB2312" w:hAnsi="仿宋_GB2312" w:eastAsia="仿宋_GB2312" w:cs="仿宋_GB2312"/>
                <w:bCs/>
                <w:kern w:val="2"/>
                <w:sz w:val="24"/>
                <w:szCs w:val="24"/>
                <w:highlight w:val="none"/>
                <w:lang w:val="en-US" w:eastAsia="zh-CN" w:bidi="ar"/>
              </w:rPr>
              <w:t>GB 41317—2024</w:t>
            </w:r>
            <w:r>
              <w:rPr>
                <w:rFonts w:hint="eastAsia" w:ascii="仿宋_GB2312" w:hAnsi="仿宋_GB2312" w:eastAsia="仿宋_GB2312" w:cs="仿宋_GB2312"/>
                <w:bCs/>
                <w:kern w:val="2"/>
                <w:sz w:val="24"/>
                <w:szCs w:val="24"/>
                <w:highlight w:val="none"/>
                <w:lang w:val="en-US" w:eastAsia="zh-CN" w:bidi="ar"/>
              </w:rPr>
              <w:br w:type="textWrapping"/>
            </w:r>
            <w:r>
              <w:rPr>
                <w:rFonts w:hint="eastAsia" w:ascii="仿宋_GB2312" w:hAnsi="仿宋_GB2312" w:eastAsia="仿宋_GB2312" w:cs="仿宋_GB2312"/>
                <w:bCs/>
                <w:kern w:val="2"/>
                <w:sz w:val="24"/>
                <w:szCs w:val="24"/>
                <w:highlight w:val="none"/>
                <w:lang w:val="en-US" w:eastAsia="zh-CN" w:bidi="ar"/>
              </w:rPr>
              <w:t>CJ/T 197—2010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exact"/>
          <w:jc w:val="center"/>
        </w:trPr>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bidi="ar"/>
              </w:rPr>
              <w:t>2</w:t>
            </w:r>
          </w:p>
        </w:tc>
        <w:tc>
          <w:tcPr>
            <w:tcW w:w="411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lang w:val="en-US" w:eastAsia="zh-CN" w:bidi="ar"/>
              </w:rPr>
              <w:t>耐压性</w:t>
            </w:r>
          </w:p>
        </w:tc>
        <w:tc>
          <w:tcPr>
            <w:tcW w:w="30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highlight w:val="none"/>
                <w:lang w:val="en-US" w:eastAsia="zh-CN" w:bidi="ar"/>
              </w:rPr>
            </w:pPr>
            <w:r>
              <w:rPr>
                <w:rFonts w:hint="eastAsia" w:ascii="仿宋_GB2312" w:hAnsi="仿宋_GB2312" w:eastAsia="仿宋_GB2312" w:cs="仿宋_GB2312"/>
                <w:bCs/>
                <w:kern w:val="2"/>
                <w:sz w:val="24"/>
                <w:szCs w:val="24"/>
                <w:highlight w:val="none"/>
                <w:lang w:val="en-US" w:eastAsia="zh-CN" w:bidi="ar"/>
              </w:rPr>
              <w:t>GB 41317—2024</w:t>
            </w:r>
            <w:r>
              <w:rPr>
                <w:rFonts w:hint="eastAsia" w:ascii="仿宋_GB2312" w:hAnsi="仿宋_GB2312" w:eastAsia="仿宋_GB2312" w:cs="仿宋_GB2312"/>
                <w:bCs/>
                <w:kern w:val="2"/>
                <w:sz w:val="24"/>
                <w:szCs w:val="24"/>
                <w:highlight w:val="none"/>
                <w:lang w:val="en-US" w:eastAsia="zh-CN" w:bidi="ar"/>
              </w:rPr>
              <w:br w:type="textWrapping"/>
            </w:r>
            <w:r>
              <w:rPr>
                <w:rFonts w:hint="eastAsia" w:ascii="仿宋_GB2312" w:hAnsi="仿宋_GB2312" w:eastAsia="仿宋_GB2312" w:cs="仿宋_GB2312"/>
                <w:bCs/>
                <w:kern w:val="2"/>
                <w:sz w:val="24"/>
                <w:szCs w:val="24"/>
                <w:highlight w:val="none"/>
                <w:lang w:val="en-US" w:eastAsia="zh-CN" w:bidi="ar"/>
              </w:rPr>
              <w:t>CJ/T 197—2010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exact"/>
          <w:jc w:val="center"/>
        </w:trPr>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lang w:val="en-US" w:eastAsia="zh-CN" w:bidi="ar"/>
              </w:rPr>
              <w:t>3</w:t>
            </w:r>
          </w:p>
        </w:tc>
        <w:tc>
          <w:tcPr>
            <w:tcW w:w="411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lang w:val="en-US" w:eastAsia="zh-CN" w:bidi="ar"/>
              </w:rPr>
              <w:t>弯曲性</w:t>
            </w:r>
          </w:p>
        </w:tc>
        <w:tc>
          <w:tcPr>
            <w:tcW w:w="309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highlight w:val="none"/>
                <w:lang w:val="en-US" w:eastAsia="zh-CN" w:bidi="ar"/>
              </w:rPr>
            </w:pPr>
            <w:r>
              <w:rPr>
                <w:rFonts w:hint="eastAsia" w:ascii="仿宋_GB2312" w:hAnsi="仿宋_GB2312" w:eastAsia="仿宋_GB2312" w:cs="仿宋_GB2312"/>
                <w:bCs/>
                <w:kern w:val="2"/>
                <w:sz w:val="24"/>
                <w:szCs w:val="24"/>
                <w:highlight w:val="none"/>
                <w:lang w:val="en-US" w:eastAsia="zh-CN" w:bidi="ar"/>
              </w:rPr>
              <w:t>GB 41317—2024</w:t>
            </w:r>
            <w:r>
              <w:rPr>
                <w:rFonts w:hint="eastAsia" w:ascii="仿宋_GB2312" w:hAnsi="仿宋_GB2312" w:eastAsia="仿宋_GB2312" w:cs="仿宋_GB2312"/>
                <w:bCs/>
                <w:kern w:val="2"/>
                <w:sz w:val="24"/>
                <w:szCs w:val="24"/>
                <w:highlight w:val="none"/>
                <w:lang w:val="en-US" w:eastAsia="zh-CN" w:bidi="ar"/>
              </w:rPr>
              <w:br w:type="textWrapping"/>
            </w:r>
            <w:r>
              <w:rPr>
                <w:rFonts w:hint="eastAsia" w:ascii="仿宋_GB2312" w:hAnsi="仿宋_GB2312" w:eastAsia="仿宋_GB2312" w:cs="仿宋_GB2312"/>
                <w:bCs/>
                <w:kern w:val="2"/>
                <w:sz w:val="24"/>
                <w:szCs w:val="24"/>
                <w:highlight w:val="none"/>
                <w:lang w:val="en-US" w:eastAsia="zh-CN" w:bidi="ar"/>
              </w:rPr>
              <w:t>CJ/T 197—2010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exact"/>
          <w:jc w:val="center"/>
        </w:trPr>
        <w:tc>
          <w:tcPr>
            <w:tcW w:w="1211" w:type="dxa"/>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lang w:val="en-US" w:eastAsia="zh-CN" w:bidi="ar"/>
              </w:rPr>
              <w:t>4</w:t>
            </w:r>
          </w:p>
        </w:tc>
        <w:tc>
          <w:tcPr>
            <w:tcW w:w="41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lang w:val="en-US"/>
              </w:rPr>
            </w:pPr>
            <w:r>
              <w:rPr>
                <w:rFonts w:hint="eastAsia" w:ascii="仿宋_GB2312" w:hAnsi="仿宋_GB2312" w:eastAsia="仿宋_GB2312" w:cs="仿宋_GB2312"/>
                <w:bCs/>
                <w:kern w:val="2"/>
                <w:sz w:val="24"/>
                <w:szCs w:val="24"/>
                <w:lang w:val="en-US" w:eastAsia="zh-CN" w:bidi="ar"/>
              </w:rPr>
              <w:t>耐安装强度</w:t>
            </w:r>
          </w:p>
        </w:tc>
        <w:tc>
          <w:tcPr>
            <w:tcW w:w="3090"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highlight w:val="none"/>
                <w:lang w:val="en-US" w:eastAsia="zh-CN" w:bidi="ar"/>
              </w:rPr>
            </w:pPr>
            <w:r>
              <w:rPr>
                <w:rFonts w:hint="eastAsia" w:ascii="仿宋_GB2312" w:hAnsi="仿宋_GB2312" w:eastAsia="仿宋_GB2312" w:cs="仿宋_GB2312"/>
                <w:bCs/>
                <w:kern w:val="2"/>
                <w:sz w:val="24"/>
                <w:szCs w:val="24"/>
                <w:highlight w:val="none"/>
                <w:lang w:val="en-US" w:eastAsia="zh-CN" w:bidi="ar"/>
              </w:rPr>
              <w:t>GB 41317—2024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exact"/>
          <w:jc w:val="center"/>
        </w:trPr>
        <w:tc>
          <w:tcPr>
            <w:tcW w:w="121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lang w:val="en-US" w:eastAsia="zh-CN" w:bidi="ar"/>
              </w:rPr>
            </w:pPr>
          </w:p>
        </w:tc>
        <w:tc>
          <w:tcPr>
            <w:tcW w:w="411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bCs/>
                <w:kern w:val="2"/>
                <w:sz w:val="24"/>
                <w:szCs w:val="24"/>
                <w:lang w:val="en-US" w:eastAsia="zh-CN" w:bidi="ar"/>
              </w:rPr>
              <w:t>耐安装性</w:t>
            </w:r>
          </w:p>
        </w:tc>
        <w:tc>
          <w:tcPr>
            <w:tcW w:w="3090"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240" w:lineRule="auto"/>
              <w:ind w:left="0" w:right="0"/>
              <w:jc w:val="center"/>
              <w:rPr>
                <w:rFonts w:hint="eastAsia" w:ascii="仿宋_GB2312" w:hAnsi="仿宋_GB2312" w:eastAsia="仿宋_GB2312" w:cs="仿宋_GB2312"/>
                <w:bCs/>
                <w:kern w:val="2"/>
                <w:sz w:val="24"/>
                <w:szCs w:val="24"/>
                <w:highlight w:val="none"/>
                <w:lang w:val="en-US" w:eastAsia="zh-CN" w:bidi="ar"/>
              </w:rPr>
            </w:pPr>
            <w:r>
              <w:rPr>
                <w:rFonts w:hint="eastAsia" w:ascii="仿宋_GB2312" w:hAnsi="仿宋_GB2312" w:eastAsia="仿宋_GB2312" w:cs="仿宋_GB2312"/>
                <w:bCs/>
                <w:kern w:val="2"/>
                <w:sz w:val="24"/>
                <w:szCs w:val="24"/>
                <w:highlight w:val="none"/>
                <w:lang w:val="en-US" w:eastAsia="zh-CN" w:bidi="ar"/>
              </w:rPr>
              <w:t>CJ/T 197—2010</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lang w:val="en-US" w:eastAsia="zh-CN"/>
        </w:rPr>
      </w:pPr>
      <w:r>
        <w:rPr>
          <w:rFonts w:hint="eastAsia" w:ascii="Times New Roman" w:hAnsi="Times New Roman" w:eastAsia="黑体" w:cs="黑体"/>
          <w:color w:val="000000"/>
          <w:sz w:val="32"/>
          <w:szCs w:val="40"/>
          <w:highlight w:val="none"/>
          <w:lang w:val="en-US" w:eastAsia="zh-CN"/>
        </w:rPr>
        <w:t>3 判定规则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3.1 依据标准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GB 41317-2024《燃气用具连接用不锈钢波纹软管》</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3.2 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若被检产品明示的质量要求缺少本细则中检验项目依据的强制性标准要求时，应按照强制性标准要求判定。</w:t>
      </w:r>
    </w:p>
    <w:p>
      <w:r>
        <w:rPr>
          <w:rFonts w:hint="eastAsia" w:ascii="Times New Roman" w:hAnsi="Times New Roman" w:eastAsia="仿宋_GB2312" w:cs="仿宋_GB2312"/>
          <w:color w:val="000000"/>
          <w:sz w:val="32"/>
          <w:szCs w:val="40"/>
          <w:highlight w:val="none"/>
          <w:lang w:val="en-US" w:eastAsia="zh-CN"/>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94E25"/>
    <w:rsid w:val="03394E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2025-07-07T03:14:00Z</dcterms:created>
  <dc:creator>刘燕</dc:creator>
  <cp:lastModifiedBy>刘燕</cp:lastModifiedBy>
  <dcterms:modified xsi:type="dcterms:W3CDTF">2025-07-07T03:15:09Z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