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佛冈县电动自行车充电器</w:t>
      </w:r>
      <w:r>
        <w:rPr>
          <w:rFonts w:hint="eastAsia" w:ascii="方正小标宋_GBK" w:hAnsi="方正小标宋_GBK" w:eastAsia="方正小标宋_GBK" w:cs="方正小标宋_GBK"/>
          <w:color w:val="000000"/>
          <w:sz w:val="36"/>
          <w:szCs w:val="36"/>
          <w:highlight w:val="none"/>
        </w:rPr>
        <w:t>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 w:hAnsi="楷体" w:eastAsia="楷体" w:cs="楷体"/>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shd w:val="clear"/>
        <w:overflowPunct/>
        <w:topLinePunct w:val="0"/>
        <w:bidi w:val="0"/>
        <w:adjustRightInd/>
        <w:snapToGrid/>
        <w:spacing w:line="560" w:lineRule="exact"/>
        <w:ind w:firstLine="640" w:firstLineChars="200"/>
        <w:rPr>
          <w:rFonts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以随机抽样的方式在被抽查</w:t>
      </w:r>
      <w:r>
        <w:rPr>
          <w:rFonts w:hint="eastAsia" w:ascii="Times New Roman" w:hAnsi="Times New Roman" w:eastAsia="仿宋_GB2312" w:cs="仿宋_GB2312"/>
          <w:color w:val="auto"/>
          <w:sz w:val="32"/>
          <w:szCs w:val="40"/>
          <w:highlight w:val="none"/>
          <w:lang w:eastAsia="zh-CN"/>
        </w:rPr>
        <w:t>经营主体</w:t>
      </w:r>
      <w:r>
        <w:rPr>
          <w:rFonts w:hint="eastAsia" w:ascii="Times New Roman" w:hAnsi="Times New Roman" w:eastAsia="仿宋_GB2312" w:cs="仿宋_GB2312"/>
          <w:color w:val="auto"/>
          <w:sz w:val="32"/>
          <w:szCs w:val="40"/>
          <w:highlight w:val="none"/>
        </w:rPr>
        <w:t xml:space="preserve">的待销产品中抽取。   </w:t>
      </w:r>
    </w:p>
    <w:p>
      <w:pPr>
        <w:pageBreakBefore w:val="0"/>
        <w:shd w:val="clear"/>
        <w:overflowPunct/>
        <w:topLinePunct w:val="0"/>
        <w:bidi w:val="0"/>
        <w:adjustRightInd/>
        <w:snapToGrid/>
        <w:spacing w:line="560" w:lineRule="exact"/>
        <w:ind w:firstLine="640" w:firstLineChars="200"/>
        <w:rPr>
          <w:rFonts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随机数一般可使用随机数表等方法产生。</w:t>
      </w:r>
    </w:p>
    <w:p>
      <w:pPr>
        <w:pageBreakBefore w:val="0"/>
        <w:shd w:val="clear"/>
        <w:overflowPunct/>
        <w:topLinePunct w:val="0"/>
        <w:bidi w:val="0"/>
        <w:adjustRightInd/>
        <w:snapToGrid/>
        <w:spacing w:line="560" w:lineRule="exact"/>
        <w:ind w:firstLine="640" w:firstLineChars="200"/>
        <w:rPr>
          <w:rFonts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每批次产品抽取样品</w:t>
      </w:r>
      <w:r>
        <w:rPr>
          <w:rFonts w:hint="eastAsia" w:cs="仿宋_GB2312"/>
          <w:color w:val="auto"/>
          <w:sz w:val="32"/>
          <w:szCs w:val="40"/>
          <w:highlight w:val="none"/>
          <w:lang w:val="en-US" w:eastAsia="zh-CN"/>
        </w:rPr>
        <w:t>4只</w:t>
      </w:r>
      <w:r>
        <w:rPr>
          <w:rFonts w:hint="eastAsia" w:ascii="Times New Roman" w:hAnsi="Times New Roman" w:eastAsia="仿宋_GB2312" w:cs="仿宋_GB2312"/>
          <w:color w:val="auto"/>
          <w:sz w:val="32"/>
          <w:szCs w:val="40"/>
          <w:highlight w:val="none"/>
        </w:rPr>
        <w:t>，其中</w:t>
      </w:r>
      <w:r>
        <w:rPr>
          <w:rFonts w:hint="eastAsia" w:cs="仿宋_GB2312"/>
          <w:color w:val="auto"/>
          <w:sz w:val="32"/>
          <w:szCs w:val="40"/>
          <w:highlight w:val="none"/>
          <w:lang w:val="en-US" w:eastAsia="zh-CN"/>
        </w:rPr>
        <w:t>2只</w:t>
      </w:r>
      <w:r>
        <w:rPr>
          <w:rFonts w:hint="eastAsia" w:ascii="Times New Roman" w:hAnsi="Times New Roman" w:eastAsia="仿宋_GB2312" w:cs="仿宋_GB2312"/>
          <w:color w:val="auto"/>
          <w:sz w:val="32"/>
          <w:szCs w:val="40"/>
          <w:highlight w:val="none"/>
        </w:rPr>
        <w:t>作为检验样品</w:t>
      </w:r>
      <w:r>
        <w:rPr>
          <w:rFonts w:hint="eastAsia" w:ascii="Times New Roman" w:hAnsi="Times New Roman" w:eastAsia="仿宋_GB2312" w:cs="仿宋_GB2312"/>
          <w:color w:val="auto"/>
          <w:sz w:val="32"/>
          <w:szCs w:val="40"/>
          <w:highlight w:val="none"/>
          <w:lang w:eastAsia="zh-CN"/>
        </w:rPr>
        <w:t>、</w:t>
      </w:r>
      <w:r>
        <w:rPr>
          <w:rFonts w:hint="eastAsia" w:cs="仿宋_GB2312"/>
          <w:color w:val="auto"/>
          <w:sz w:val="32"/>
          <w:szCs w:val="40"/>
          <w:highlight w:val="none"/>
          <w:lang w:val="en-US" w:eastAsia="zh-CN"/>
        </w:rPr>
        <w:t>2只</w:t>
      </w:r>
      <w:r>
        <w:rPr>
          <w:rFonts w:hint="eastAsia" w:ascii="Times New Roman" w:hAnsi="Times New Roman" w:eastAsia="仿宋_GB2312" w:cs="仿宋_GB2312"/>
          <w:color w:val="auto"/>
          <w:sz w:val="32"/>
          <w:szCs w:val="40"/>
          <w:highlight w:val="none"/>
        </w:rPr>
        <w:t>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851"/>
        <w:gridCol w:w="4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overflowPunct/>
              <w:topLinePunct w:val="0"/>
              <w:bidi w:val="0"/>
              <w:adjustRightInd/>
              <w:snapToGrid/>
              <w:spacing w:line="560" w:lineRule="exact"/>
              <w:jc w:val="center"/>
              <w:rPr>
                <w:rFonts w:hint="eastAsia" w:ascii="仿宋_GB2312" w:hAnsi="仿宋_GB2312" w:eastAsia="仿宋_GB2312" w:cs="仿宋_GB2312"/>
                <w:b/>
                <w:bCs/>
                <w:color w:val="auto"/>
                <w:sz w:val="24"/>
                <w:szCs w:val="24"/>
                <w:highlight w:val="none"/>
                <w:lang w:bidi="ar"/>
              </w:rPr>
            </w:pPr>
            <w:r>
              <w:rPr>
                <w:rFonts w:hint="eastAsia" w:ascii="仿宋_GB2312" w:hAnsi="仿宋_GB2312" w:eastAsia="仿宋_GB2312" w:cs="仿宋_GB2312"/>
                <w:b/>
                <w:bCs/>
                <w:color w:val="auto"/>
                <w:sz w:val="24"/>
                <w:szCs w:val="24"/>
                <w:highlight w:val="none"/>
                <w:lang w:bidi="ar"/>
              </w:rPr>
              <w:t>序号</w:t>
            </w:r>
          </w:p>
        </w:tc>
        <w:tc>
          <w:tcPr>
            <w:tcW w:w="3851"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overflowPunct/>
              <w:topLinePunct w:val="0"/>
              <w:bidi w:val="0"/>
              <w:adjustRightInd/>
              <w:snapToGrid/>
              <w:spacing w:line="560" w:lineRule="exact"/>
              <w:jc w:val="center"/>
              <w:rPr>
                <w:rFonts w:hint="eastAsia" w:ascii="仿宋_GB2312" w:hAnsi="仿宋_GB2312" w:eastAsia="仿宋_GB2312" w:cs="仿宋_GB2312"/>
                <w:b/>
                <w:bCs/>
                <w:color w:val="auto"/>
                <w:sz w:val="24"/>
                <w:szCs w:val="24"/>
                <w:highlight w:val="none"/>
                <w:lang w:bidi="ar"/>
              </w:rPr>
            </w:pPr>
            <w:r>
              <w:rPr>
                <w:rFonts w:hint="eastAsia" w:ascii="仿宋_GB2312" w:hAnsi="仿宋_GB2312" w:eastAsia="仿宋_GB2312" w:cs="仿宋_GB2312"/>
                <w:b/>
                <w:bCs/>
                <w:color w:val="auto"/>
                <w:sz w:val="24"/>
                <w:szCs w:val="24"/>
                <w:highlight w:val="none"/>
                <w:lang w:bidi="ar"/>
              </w:rPr>
              <w:t>检验项目</w:t>
            </w:r>
          </w:p>
        </w:tc>
        <w:tc>
          <w:tcPr>
            <w:tcW w:w="4041"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overflowPunct/>
              <w:topLinePunct w:val="0"/>
              <w:bidi w:val="0"/>
              <w:adjustRightInd/>
              <w:snapToGrid/>
              <w:spacing w:line="560" w:lineRule="exact"/>
              <w:jc w:val="center"/>
              <w:rPr>
                <w:rFonts w:hint="eastAsia" w:ascii="仿宋_GB2312" w:hAnsi="仿宋_GB2312" w:eastAsia="仿宋_GB2312" w:cs="仿宋_GB2312"/>
                <w:b/>
                <w:bCs/>
                <w:color w:val="auto"/>
                <w:sz w:val="24"/>
                <w:szCs w:val="24"/>
                <w:highlight w:val="none"/>
                <w:lang w:bidi="ar"/>
              </w:rPr>
            </w:pPr>
            <w:r>
              <w:rPr>
                <w:rFonts w:hint="eastAsia" w:ascii="仿宋_GB2312" w:hAnsi="仿宋_GB2312" w:eastAsia="仿宋_GB2312" w:cs="仿宋_GB2312"/>
                <w:b/>
                <w:bCs/>
                <w:color w:val="auto"/>
                <w:sz w:val="24"/>
                <w:szCs w:val="24"/>
                <w:highlight w:val="none"/>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1</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外壳冲击</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 xml:space="preserve">GB 42296—2022及第1号修改单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2</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跌落</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3</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工作温度下的泄漏电流</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4</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电气强度</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5</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防触电保护</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6</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非正常工作</w:t>
            </w:r>
          </w:p>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（仅测5.2.5.1、5.2.5.2）</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7</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超温保护</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8</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过充切断</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9</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延时切断</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10</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耐热</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11</w:t>
            </w:r>
          </w:p>
        </w:tc>
        <w:tc>
          <w:tcPr>
            <w:tcW w:w="3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灼热丝</w:t>
            </w:r>
          </w:p>
        </w:tc>
        <w:tc>
          <w:tcPr>
            <w:tcW w:w="4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GB 42296—2022及第1号修改单</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ascii="Times New Roman" w:hAnsi="Times New Roman" w:eastAsia="楷体_GB2312" w:cs="楷体_GB2312"/>
          <w:color w:val="000000"/>
          <w:sz w:val="32"/>
          <w:szCs w:val="40"/>
          <w:highlight w:val="none"/>
        </w:rPr>
      </w:pPr>
      <w:r>
        <w:rPr>
          <w:rFonts w:hint="eastAsia" w:ascii="Times New Roman" w:hAnsi="Times New Roman" w:eastAsia="楷体_GB2312" w:cs="楷体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42296</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2022 </w:t>
      </w:r>
      <w:r>
        <w:rPr>
          <w:rFonts w:hint="eastAsia" w:ascii="Times New Roman" w:hAnsi="Times New Roman" w:eastAsia="仿宋_GB2312" w:cs="仿宋_GB2312"/>
          <w:color w:val="000000"/>
          <w:sz w:val="32"/>
          <w:szCs w:val="40"/>
          <w:highlight w:val="none"/>
          <w:lang w:val="en-US" w:eastAsia="zh-CN"/>
        </w:rPr>
        <w:t>《电动自行车用充电器安全技术要求》及第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号修改单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B491E"/>
    <w:rsid w:val="70AB4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2025-07-07T03:11:00Z</dcterms:created>
  <dc:creator>刘燕</dc:creator>
  <cp:lastModifiedBy>刘燕</cp:lastModifiedBy>
  <dcterms:modified xsi:type="dcterms:W3CDTF">2025-07-07T03:11:40Z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