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line="700" w:lineRule="exact"/>
        <w:jc w:val="center"/>
        <w:textAlignment w:val="baseline"/>
        <w:rPr>
          <w:rFonts w:hint="eastAsia" w:ascii="方正小标宋_GBK" w:hAnsi="方正小标宋_GBK" w:eastAsia="方正小标宋_GBK" w:cs="方正小标宋_GBK"/>
          <w:color w:val="auto"/>
          <w:sz w:val="56"/>
          <w:szCs w:val="56"/>
          <w:lang w:val="en-US" w:eastAsia="zh-CN"/>
        </w:rPr>
      </w:pPr>
      <w:r>
        <w:rPr>
          <w:rFonts w:hint="eastAsia" w:ascii="方正小标宋_GBK" w:hAnsi="方正小标宋_GBK" w:eastAsia="方正小标宋_GBK" w:cs="方正小标宋_GBK"/>
          <w:color w:val="auto"/>
          <w:sz w:val="56"/>
          <w:szCs w:val="56"/>
          <w:lang w:val="en-US" w:eastAsia="zh-CN"/>
        </w:rPr>
        <w:t xml:space="preserve"> </w:t>
      </w:r>
    </w:p>
    <w:p>
      <w:pPr>
        <w:widowControl/>
        <w:wordWrap/>
        <w:adjustRightInd/>
        <w:snapToGrid/>
        <w:spacing w:line="700" w:lineRule="exact"/>
        <w:jc w:val="center"/>
        <w:textAlignment w:val="baseline"/>
        <w:rPr>
          <w:rFonts w:hint="eastAsia" w:ascii="方正小标宋_GBK" w:hAnsi="方正小标宋_GBK" w:eastAsia="方正小标宋_GBK" w:cs="方正小标宋_GBK"/>
          <w:color w:val="auto"/>
          <w:sz w:val="56"/>
          <w:szCs w:val="56"/>
          <w:lang w:eastAsia="zh-CN"/>
        </w:rPr>
      </w:pPr>
    </w:p>
    <w:p>
      <w:pPr>
        <w:widowControl/>
        <w:wordWrap/>
        <w:adjustRightInd/>
        <w:snapToGrid/>
        <w:spacing w:line="700" w:lineRule="exact"/>
        <w:jc w:val="center"/>
        <w:textAlignment w:val="baseline"/>
        <w:rPr>
          <w:rFonts w:hint="eastAsia" w:ascii="方正小标宋_GBK" w:hAnsi="方正小标宋_GBK" w:eastAsia="方正小标宋_GBK" w:cs="方正小标宋_GBK"/>
          <w:color w:val="auto"/>
          <w:sz w:val="56"/>
          <w:szCs w:val="56"/>
          <w:lang w:eastAsia="zh-CN"/>
        </w:rPr>
      </w:pPr>
      <w:r>
        <w:rPr>
          <w:rFonts w:hint="eastAsia" w:ascii="方正小标宋_GBK" w:hAnsi="方正小标宋_GBK" w:eastAsia="方正小标宋_GBK" w:cs="方正小标宋_GBK"/>
          <w:color w:val="auto"/>
          <w:sz w:val="56"/>
          <w:szCs w:val="56"/>
          <w:lang w:eastAsia="zh-CN"/>
        </w:rPr>
        <w:t>佛冈县教育发展“十四五”规划（</w:t>
      </w:r>
      <w:r>
        <w:rPr>
          <w:rFonts w:hint="eastAsia" w:ascii="方正小标宋_GBK" w:hAnsi="方正小标宋_GBK" w:eastAsia="方正小标宋_GBK" w:cs="方正小标宋_GBK"/>
          <w:color w:val="auto"/>
          <w:sz w:val="56"/>
          <w:szCs w:val="56"/>
          <w:lang w:val="en-US" w:eastAsia="zh-CN"/>
        </w:rPr>
        <w:t>2021-2025年</w:t>
      </w:r>
      <w:r>
        <w:rPr>
          <w:rFonts w:hint="eastAsia" w:ascii="方正小标宋_GBK" w:hAnsi="方正小标宋_GBK" w:eastAsia="方正小标宋_GBK" w:cs="方正小标宋_GBK"/>
          <w:color w:val="auto"/>
          <w:sz w:val="56"/>
          <w:szCs w:val="56"/>
          <w:lang w:eastAsia="zh-CN"/>
        </w:rPr>
        <w:t>）</w:t>
      </w:r>
    </w:p>
    <w:p>
      <w:pPr>
        <w:widowControl/>
        <w:wordWrap/>
        <w:adjustRightInd/>
        <w:snapToGrid/>
        <w:spacing w:line="560" w:lineRule="exact"/>
        <w:ind w:firstLine="1036" w:firstLineChars="200"/>
        <w:jc w:val="center"/>
        <w:textAlignment w:val="baseline"/>
        <w:rPr>
          <w:rFonts w:hint="eastAsia" w:ascii="方正小标宋_GBK" w:hAnsi="方正小标宋_GBK" w:eastAsia="方正小标宋_GBK" w:cs="方正小标宋_GBK"/>
          <w:color w:val="auto"/>
          <w:sz w:val="52"/>
          <w:szCs w:val="52"/>
          <w:lang w:eastAsia="zh-CN"/>
        </w:rPr>
      </w:pPr>
    </w:p>
    <w:p>
      <w:pPr>
        <w:adjustRightInd w:val="0"/>
        <w:snapToGrid w:val="0"/>
        <w:spacing w:line="360" w:lineRule="auto"/>
        <w:jc w:val="center"/>
        <w:rPr>
          <w:rFonts w:hint="eastAsia" w:ascii="Times New Roman" w:hAnsi="Times New Roman" w:eastAsia="仿宋" w:cs="Times New Roman"/>
          <w:b/>
          <w:bCs/>
          <w:color w:val="auto"/>
          <w:sz w:val="44"/>
          <w:szCs w:val="44"/>
          <w:lang w:eastAsia="zh-CN"/>
        </w:rPr>
      </w:pPr>
      <w:r>
        <w:rPr>
          <w:rFonts w:hint="eastAsia" w:ascii="Times New Roman" w:hAnsi="Times New Roman" w:eastAsia="仿宋" w:cs="Times New Roman"/>
          <w:b/>
          <w:bCs/>
          <w:color w:val="auto"/>
          <w:sz w:val="44"/>
          <w:szCs w:val="44"/>
          <w:lang w:eastAsia="zh-CN"/>
        </w:rPr>
        <w:t>（征求意见稿）</w:t>
      </w:r>
    </w:p>
    <w:p>
      <w:pPr>
        <w:widowControl/>
        <w:wordWrap/>
        <w:adjustRightInd/>
        <w:snapToGrid/>
        <w:spacing w:line="560" w:lineRule="exact"/>
        <w:ind w:firstLine="1036" w:firstLineChars="200"/>
        <w:jc w:val="center"/>
        <w:textAlignment w:val="baseline"/>
        <w:rPr>
          <w:rFonts w:hint="eastAsia" w:ascii="方正小标宋_GBK" w:hAnsi="方正小标宋_GBK" w:eastAsia="方正小标宋_GBK" w:cs="方正小标宋_GBK"/>
          <w:color w:val="auto"/>
          <w:sz w:val="52"/>
          <w:szCs w:val="52"/>
          <w:lang w:eastAsia="zh-CN"/>
        </w:rPr>
      </w:pPr>
    </w:p>
    <w:p>
      <w:pPr>
        <w:widowControl/>
        <w:wordWrap/>
        <w:adjustRightInd/>
        <w:snapToGrid/>
        <w:spacing w:line="560" w:lineRule="exact"/>
        <w:ind w:firstLine="636" w:firstLineChars="200"/>
        <w:jc w:val="both"/>
        <w:textAlignment w:val="baseline"/>
        <w:rPr>
          <w:rFonts w:hint="eastAsia" w:ascii="仿宋_GB2312" w:hAnsi="仿宋_GB2312" w:eastAsia="仿宋_GB2312" w:cs="仿宋_GB2312"/>
          <w:color w:val="auto"/>
          <w:sz w:val="32"/>
          <w:szCs w:val="32"/>
          <w:lang w:eastAsia="zh-CN"/>
        </w:rPr>
      </w:pPr>
    </w:p>
    <w:p>
      <w:pPr>
        <w:widowControl/>
        <w:wordWrap/>
        <w:adjustRightInd/>
        <w:snapToGrid/>
        <w:spacing w:line="560" w:lineRule="exact"/>
        <w:ind w:firstLine="636" w:firstLineChars="200"/>
        <w:jc w:val="both"/>
        <w:textAlignment w:val="baseline"/>
        <w:rPr>
          <w:rFonts w:hint="eastAsia" w:ascii="仿宋_GB2312" w:hAnsi="仿宋_GB2312" w:eastAsia="仿宋_GB2312" w:cs="仿宋_GB2312"/>
          <w:color w:val="auto"/>
          <w:sz w:val="32"/>
          <w:szCs w:val="32"/>
          <w:lang w:eastAsia="zh-CN"/>
        </w:rPr>
      </w:pPr>
    </w:p>
    <w:p>
      <w:pPr>
        <w:widowControl/>
        <w:wordWrap/>
        <w:adjustRightInd/>
        <w:snapToGrid/>
        <w:spacing w:line="560" w:lineRule="exact"/>
        <w:ind w:firstLine="636" w:firstLineChars="200"/>
        <w:jc w:val="both"/>
        <w:textAlignment w:val="baseline"/>
        <w:rPr>
          <w:rFonts w:hint="eastAsia" w:ascii="仿宋_GB2312" w:hAnsi="仿宋_GB2312" w:eastAsia="仿宋_GB2312" w:cs="仿宋_GB2312"/>
          <w:color w:val="auto"/>
          <w:sz w:val="32"/>
          <w:szCs w:val="32"/>
          <w:lang w:eastAsia="zh-CN"/>
        </w:rPr>
      </w:pPr>
    </w:p>
    <w:p>
      <w:pPr>
        <w:widowControl/>
        <w:wordWrap/>
        <w:adjustRightInd/>
        <w:snapToGrid/>
        <w:spacing w:line="560" w:lineRule="exact"/>
        <w:ind w:firstLine="636" w:firstLineChars="200"/>
        <w:jc w:val="both"/>
        <w:textAlignment w:val="baseline"/>
        <w:rPr>
          <w:rFonts w:hint="eastAsia" w:ascii="仿宋_GB2312" w:hAnsi="仿宋_GB2312" w:eastAsia="仿宋_GB2312" w:cs="仿宋_GB2312"/>
          <w:color w:val="auto"/>
          <w:sz w:val="32"/>
          <w:szCs w:val="32"/>
          <w:lang w:eastAsia="zh-CN"/>
        </w:rPr>
      </w:pPr>
    </w:p>
    <w:p>
      <w:pPr>
        <w:widowControl/>
        <w:wordWrap/>
        <w:adjustRightInd/>
        <w:snapToGrid/>
        <w:spacing w:line="560" w:lineRule="exact"/>
        <w:ind w:firstLine="636" w:firstLineChars="200"/>
        <w:jc w:val="both"/>
        <w:textAlignment w:val="baseline"/>
        <w:rPr>
          <w:rFonts w:hint="eastAsia" w:ascii="仿宋_GB2312" w:hAnsi="仿宋_GB2312" w:eastAsia="仿宋_GB2312" w:cs="仿宋_GB2312"/>
          <w:color w:val="auto"/>
          <w:sz w:val="32"/>
          <w:szCs w:val="32"/>
          <w:lang w:eastAsia="zh-CN"/>
        </w:rPr>
      </w:pPr>
    </w:p>
    <w:p>
      <w:pPr>
        <w:widowControl/>
        <w:wordWrap/>
        <w:adjustRightInd/>
        <w:snapToGrid/>
        <w:spacing w:line="560" w:lineRule="exact"/>
        <w:ind w:firstLine="636" w:firstLineChars="200"/>
        <w:jc w:val="both"/>
        <w:textAlignment w:val="baseline"/>
        <w:rPr>
          <w:rFonts w:hint="eastAsia" w:ascii="仿宋_GB2312" w:hAnsi="仿宋_GB2312" w:eastAsia="仿宋_GB2312" w:cs="仿宋_GB2312"/>
          <w:color w:val="auto"/>
          <w:sz w:val="32"/>
          <w:szCs w:val="32"/>
          <w:lang w:eastAsia="zh-CN"/>
        </w:rPr>
      </w:pPr>
    </w:p>
    <w:p>
      <w:pPr>
        <w:widowControl/>
        <w:wordWrap/>
        <w:adjustRightInd/>
        <w:snapToGrid/>
        <w:spacing w:line="560" w:lineRule="exact"/>
        <w:jc w:val="both"/>
        <w:textAlignment w:val="baseline"/>
        <w:rPr>
          <w:rFonts w:hint="eastAsia" w:ascii="仿宋_GB2312" w:hAnsi="仿宋_GB2312" w:eastAsia="仿宋_GB2312" w:cs="仿宋_GB2312"/>
          <w:color w:val="auto"/>
          <w:sz w:val="32"/>
          <w:szCs w:val="32"/>
          <w:lang w:eastAsia="zh-CN"/>
        </w:rPr>
      </w:pPr>
    </w:p>
    <w:p>
      <w:pPr>
        <w:widowControl/>
        <w:wordWrap/>
        <w:adjustRightInd/>
        <w:snapToGrid/>
        <w:spacing w:line="560" w:lineRule="exact"/>
        <w:ind w:firstLine="636" w:firstLineChars="200"/>
        <w:jc w:val="center"/>
        <w:textAlignment w:val="baseline"/>
        <w:rPr>
          <w:rFonts w:hint="eastAsia" w:ascii="仿宋_GB2312" w:hAnsi="仿宋_GB2312" w:eastAsia="仿宋_GB2312" w:cs="仿宋_GB2312"/>
          <w:color w:val="auto"/>
          <w:sz w:val="32"/>
          <w:szCs w:val="32"/>
          <w:lang w:eastAsia="zh-CN"/>
        </w:rPr>
      </w:pPr>
    </w:p>
    <w:p>
      <w:pPr>
        <w:widowControl/>
        <w:wordWrap/>
        <w:adjustRightInd/>
        <w:snapToGrid/>
        <w:spacing w:line="560" w:lineRule="exact"/>
        <w:jc w:val="center"/>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佛冈</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教育局</w:t>
      </w:r>
    </w:p>
    <w:p>
      <w:pPr>
        <w:widowControl/>
        <w:wordWrap/>
        <w:adjustRightInd/>
        <w:snapToGrid/>
        <w:spacing w:line="560" w:lineRule="exact"/>
        <w:jc w:val="center"/>
        <w:textAlignment w:val="baseline"/>
        <w:rPr>
          <w:rFonts w:hint="eastAsia" w:ascii="仿宋_GB2312" w:hAnsi="仿宋_GB2312" w:eastAsia="仿宋_GB2312" w:cs="仿宋_GB2312"/>
          <w:color w:val="auto"/>
          <w:sz w:val="32"/>
          <w:szCs w:val="32"/>
          <w:lang w:val="en-US" w:eastAsia="zh-CN"/>
        </w:rPr>
        <w:sectPr>
          <w:footerReference r:id="rId7" w:type="first"/>
          <w:footerReference r:id="rId5" w:type="default"/>
          <w:headerReference r:id="rId4" w:type="even"/>
          <w:footerReference r:id="rId6" w:type="even"/>
          <w:pgSz w:w="11906" w:h="16838"/>
          <w:pgMar w:top="1440" w:right="1701" w:bottom="1440" w:left="1701" w:header="851" w:footer="1474" w:gutter="0"/>
          <w:pgNumType w:fmt="numberInDash" w:start="1"/>
          <w:cols w:space="720" w:num="1"/>
          <w:docGrid w:type="linesAndChars" w:linePitch="582" w:charSpace="-614"/>
        </w:sect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kern w:val="2"/>
          <w:sz w:val="32"/>
          <w:szCs w:val="32"/>
          <w:lang w:val="en-US" w:eastAsia="zh-CN" w:bidi="ar-SA"/>
        </w:rPr>
        <w:pict>
          <v:rect id="矩形 1" o:spid="_x0000_s1031" style="position:absolute;left:0;margin-left:130.5pt;margin-top:320.65pt;height:30pt;width:169.6pt;rotation:0f;z-index:251658240;" o:ole="f" fillcolor="#FFFFFF" filled="f" o:preferrelative="t" stroked="f" coordsize="21600,21600">
            <v:fill on="f" color2="#FFFFFF" focus="0%"/>
            <v:imagedata gain="65536f" blacklevel="0f" gamma="0"/>
            <o:lock v:ext="edit" position="f" selection="f" grouping="f" rotation="f" cropping="f" text="f" aspectratio="f"/>
            <v:textbox>
              <w:txbxContent>
                <w:p>
                  <w:pPr>
                    <w:rPr>
                      <w:rFonts w:ascii="汉仪颜楷W" w:hAnsi="汉仪颜楷W" w:eastAsia="汉仪颜楷W" w:cs="汉仪颜楷W"/>
                      <w:sz w:val="36"/>
                      <w:szCs w:val="44"/>
                    </w:rPr>
                  </w:pPr>
                </w:p>
              </w:txbxContent>
            </v:textbox>
          </v:rect>
        </w:pict>
      </w:r>
      <w:r>
        <w:rPr>
          <w:rFonts w:hint="eastAsia" w:ascii="仿宋_GB2312" w:hAnsi="仿宋_GB2312" w:eastAsia="仿宋_GB2312" w:cs="仿宋_GB2312"/>
          <w:color w:val="auto"/>
          <w:kern w:val="2"/>
          <w:sz w:val="32"/>
          <w:szCs w:val="32"/>
          <w:lang w:val="en-US" w:eastAsia="zh-CN" w:bidi="ar-SA"/>
        </w:rPr>
        <w:pict>
          <v:rect id="矩形 3" o:spid="_x0000_s1032" style="position:absolute;left:0;margin-left:68.8pt;margin-top:300pt;height:88.1pt;width:381.65pt;rotation:0f;z-index:251659264;" o:ole="f" fillcolor="#FFFFFF" filled="f" o:preferrelative="t" stroked="f" coordsize="21600,21600">
            <v:fill on="f" color2="#FFFFFF" focus="0%"/>
            <v:imagedata gain="65536f" blacklevel="0f" gamma="0"/>
            <o:lock v:ext="edit" position="f" selection="f" grouping="f" rotation="f" cropping="f" text="f" aspectratio="f"/>
            <v:textbox>
              <w:txbxContent>
                <w:p/>
              </w:txbxContent>
            </v:textbox>
          </v:rect>
        </w:pict>
      </w:r>
      <w:r>
        <w:rPr>
          <w:rFonts w:hint="eastAsia" w:ascii="仿宋_GB2312" w:hAnsi="仿宋_GB2312" w:eastAsia="仿宋_GB2312" w:cs="仿宋_GB2312"/>
          <w:color w:val="auto"/>
          <w:kern w:val="2"/>
          <w:sz w:val="32"/>
          <w:szCs w:val="32"/>
          <w:lang w:val="en-US" w:eastAsia="zh-CN" w:bidi="ar-SA"/>
        </w:rPr>
        <w:pict>
          <v:rect id="矩形 2" o:spid="_x0000_s1033" style="position:absolute;left:0;margin-left:21.15pt;margin-top:310.45pt;height:118.15pt;width:468.75pt;rotation:0f;z-index:251660288;" o:ole="f" fillcolor="#FFFFFF" filled="f" o:preferrelative="t" stroked="f" coordsize="21600,21600">
            <v:fill on="f" color2="#FFFFFF" focus="0%"/>
            <v:imagedata gain="65536f" blacklevel="0f" gamma="0"/>
            <o:lock v:ext="edit" position="f" selection="f" grouping="f" rotation="f" cropping="f" text="f" aspectratio="f"/>
            <v:textbox>
              <w:txbxContent>
                <w:p>
                  <w:pPr>
                    <w:rPr>
                      <w:rFonts w:ascii="华康宋体W12" w:hAnsi="华康宋体W12" w:eastAsia="华康宋体W12" w:cs="华康宋体W12"/>
                      <w:sz w:val="96"/>
                      <w:szCs w:val="160"/>
                    </w:rPr>
                  </w:pPr>
                </w:p>
              </w:txbxContent>
            </v:textbox>
          </v:rect>
        </w:pict>
      </w:r>
      <w:r>
        <w:rPr>
          <w:rFonts w:hint="eastAsia" w:ascii="仿宋_GB2312" w:hAnsi="仿宋_GB2312" w:eastAsia="仿宋_GB2312" w:cs="仿宋_GB2312"/>
          <w:color w:val="auto"/>
          <w:kern w:val="2"/>
          <w:sz w:val="32"/>
          <w:szCs w:val="32"/>
          <w:lang w:val="en-US" w:eastAsia="zh-CN" w:bidi="ar-SA"/>
        </w:rPr>
        <w:pict>
          <v:rect id="矩形 4" o:spid="_x0000_s1034" style="position:absolute;left:0;margin-left:99.55pt;margin-top:333.65pt;height:55pt;width:284.1pt;rotation:0f;z-index:251661312;" o:ole="f" fillcolor="#FFFFFF" filled="f" o:preferrelative="t" stroked="f" coordsize="21600,21600">
            <v:fill on="f" color2="#FFFFFF" focus="0%"/>
            <v:imagedata gain="65536f" blacklevel="0f" gamma="0"/>
            <o:lock v:ext="edit" position="f" selection="f" grouping="f" rotation="f" cropping="f" text="f" aspectratio="f"/>
            <v:textbox>
              <w:txbxContent>
                <w:p>
                  <w:pPr>
                    <w:rPr>
                      <w:rFonts w:ascii="汉仪颜楷W" w:hAnsi="汉仪颜楷W" w:eastAsia="汉仪颜楷W" w:cs="汉仪颜楷W"/>
                      <w:sz w:val="36"/>
                      <w:szCs w:val="44"/>
                    </w:rPr>
                  </w:pPr>
                </w:p>
              </w:txbxContent>
            </v:textbox>
          </v:rect>
        </w:pict>
      </w:r>
    </w:p>
    <w:p>
      <w:pPr>
        <w:widowControl/>
        <w:wordWrap/>
        <w:adjustRightInd/>
        <w:snapToGrid/>
        <w:spacing w:line="700" w:lineRule="exact"/>
        <w:jc w:val="center"/>
        <w:textAlignment w:val="baseline"/>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目</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录</w:t>
      </w:r>
    </w:p>
    <w:p>
      <w:pPr>
        <w:pStyle w:val="12"/>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方正小标宋_GBK" w:hAnsi="方正小标宋_GBK" w:eastAsia="方正小标宋_GBK" w:cs="方正小标宋_GBK"/>
          <w:color w:val="auto"/>
          <w:sz w:val="44"/>
          <w:szCs w:val="44"/>
          <w:highlight w:val="none"/>
          <w:lang w:eastAsia="zh-CN"/>
        </w:rPr>
        <w:fldChar w:fldCharType="begin"/>
      </w:r>
      <w:r>
        <w:rPr>
          <w:rFonts w:hint="eastAsia" w:ascii="方正小标宋_GBK" w:hAnsi="方正小标宋_GBK" w:eastAsia="方正小标宋_GBK" w:cs="方正小标宋_GBK"/>
          <w:color w:val="auto"/>
          <w:sz w:val="44"/>
          <w:szCs w:val="44"/>
          <w:highlight w:val="none"/>
          <w:lang w:eastAsia="zh-CN"/>
        </w:rPr>
        <w:instrText xml:space="preserve">TOC \o "1-2" \h \u </w:instrText>
      </w:r>
      <w:r>
        <w:rPr>
          <w:rFonts w:hint="eastAsia" w:ascii="方正小标宋_GBK" w:hAnsi="方正小标宋_GBK" w:eastAsia="方正小标宋_GBK" w:cs="方正小标宋_GBK"/>
          <w:color w:val="auto"/>
          <w:sz w:val="44"/>
          <w:szCs w:val="44"/>
          <w:highlight w:val="none"/>
          <w:lang w:eastAsia="zh-CN"/>
        </w:rPr>
        <w:fldChar w:fldCharType="separate"/>
      </w:r>
      <w:r>
        <w:rPr>
          <w:rFonts w:hint="eastAsia" w:ascii="黑体" w:hAnsi="黑体" w:eastAsia="黑体" w:cs="黑体"/>
          <w:color w:val="auto"/>
          <w:kern w:val="2"/>
          <w:sz w:val="32"/>
          <w:szCs w:val="32"/>
          <w:highlight w:val="none"/>
          <w:lang w:val="en-US" w:eastAsia="zh-CN" w:bidi="ar-SA"/>
        </w:rPr>
        <w:fldChar w:fldCharType="begin"/>
      </w:r>
      <w:r>
        <w:rPr>
          <w:rFonts w:hint="eastAsia" w:ascii="黑体" w:hAnsi="黑体" w:eastAsia="黑体" w:cs="黑体"/>
          <w:color w:val="auto"/>
          <w:kern w:val="2"/>
          <w:sz w:val="32"/>
          <w:szCs w:val="32"/>
          <w:highlight w:val="none"/>
          <w:lang w:val="en-US" w:eastAsia="zh-CN" w:bidi="ar-SA"/>
        </w:rPr>
        <w:instrText xml:space="preserve"> HYPERLINK \l _Toc15060 </w:instrText>
      </w:r>
      <w:r>
        <w:rPr>
          <w:rFonts w:hint="eastAsia" w:ascii="黑体" w:hAnsi="黑体" w:eastAsia="黑体" w:cs="黑体"/>
          <w:color w:val="auto"/>
          <w:kern w:val="2"/>
          <w:sz w:val="32"/>
          <w:szCs w:val="32"/>
          <w:highlight w:val="none"/>
          <w:lang w:val="en-US" w:eastAsia="zh-CN" w:bidi="ar-SA"/>
        </w:rPr>
        <w:fldChar w:fldCharType="separate"/>
      </w:r>
      <w:r>
        <w:rPr>
          <w:rFonts w:hint="eastAsia" w:ascii="黑体" w:hAnsi="黑体" w:eastAsia="黑体" w:cs="黑体"/>
          <w:bCs/>
          <w:color w:val="auto"/>
          <w:kern w:val="2"/>
          <w:sz w:val="32"/>
          <w:szCs w:val="32"/>
          <w:highlight w:val="none"/>
          <w:lang w:val="en-US" w:eastAsia="zh-CN" w:bidi="ar-SA"/>
        </w:rPr>
        <w:t>一、“十三五”时期教育事业发展成效</w:t>
      </w:r>
      <w:r>
        <w:rPr>
          <w:rFonts w:hint="eastAsia" w:ascii="黑体" w:hAnsi="黑体" w:eastAsia="黑体" w:cs="黑体"/>
          <w:color w:val="auto"/>
          <w:kern w:val="2"/>
          <w:sz w:val="32"/>
          <w:szCs w:val="32"/>
          <w:highlight w:val="none"/>
          <w:lang w:val="en-US" w:eastAsia="zh-CN" w:bidi="ar-SA"/>
        </w:rPr>
        <w:tab/>
      </w:r>
      <w:r>
        <w:rPr>
          <w:rFonts w:hint="eastAsia" w:ascii="黑体" w:hAnsi="黑体" w:eastAsia="黑体" w:cs="黑体"/>
          <w:color w:val="auto"/>
          <w:kern w:val="2"/>
          <w:sz w:val="32"/>
          <w:szCs w:val="32"/>
          <w:highlight w:val="none"/>
          <w:lang w:val="en-US" w:eastAsia="zh-CN" w:bidi="ar-SA"/>
        </w:rPr>
        <w:fldChar w:fldCharType="begin"/>
      </w:r>
      <w:r>
        <w:rPr>
          <w:rFonts w:hint="eastAsia" w:ascii="黑体" w:hAnsi="黑体" w:eastAsia="黑体" w:cs="黑体"/>
          <w:color w:val="auto"/>
          <w:kern w:val="2"/>
          <w:sz w:val="32"/>
          <w:szCs w:val="32"/>
          <w:highlight w:val="none"/>
          <w:lang w:val="en-US" w:eastAsia="zh-CN" w:bidi="ar-SA"/>
        </w:rPr>
        <w:instrText xml:space="preserve"> PAGEREF _Toc15060 </w:instrText>
      </w:r>
      <w:r>
        <w:rPr>
          <w:rFonts w:hint="eastAsia" w:ascii="黑体" w:hAnsi="黑体" w:eastAsia="黑体" w:cs="黑体"/>
          <w:color w:val="auto"/>
          <w:kern w:val="2"/>
          <w:sz w:val="32"/>
          <w:szCs w:val="32"/>
          <w:highlight w:val="none"/>
          <w:lang w:val="en-US" w:eastAsia="zh-CN" w:bidi="ar-SA"/>
        </w:rPr>
        <w:fldChar w:fldCharType="separate"/>
      </w:r>
      <w:r>
        <w:rPr>
          <w:rFonts w:hint="eastAsia" w:ascii="黑体" w:hAnsi="黑体" w:eastAsia="黑体" w:cs="黑体"/>
          <w:color w:val="auto"/>
          <w:kern w:val="2"/>
          <w:sz w:val="32"/>
          <w:szCs w:val="32"/>
          <w:highlight w:val="none"/>
          <w:lang w:val="en-US" w:eastAsia="zh-CN" w:bidi="ar-SA"/>
        </w:rPr>
        <w:t>- 1 -</w:t>
      </w:r>
      <w:r>
        <w:rPr>
          <w:rFonts w:hint="eastAsia" w:ascii="黑体" w:hAnsi="黑体" w:eastAsia="黑体" w:cs="黑体"/>
          <w:color w:val="auto"/>
          <w:kern w:val="2"/>
          <w:sz w:val="32"/>
          <w:szCs w:val="32"/>
          <w:highlight w:val="none"/>
          <w:lang w:val="en-US" w:eastAsia="zh-CN" w:bidi="ar-SA"/>
        </w:rPr>
        <w:fldChar w:fldCharType="end"/>
      </w:r>
      <w:r>
        <w:rPr>
          <w:rFonts w:hint="eastAsia" w:ascii="黑体" w:hAnsi="黑体" w:eastAsia="黑体" w:cs="黑体"/>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_Toc19684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（一）党对教育工作的领导得到全面加强</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_Toc19684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- 1 -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_Toc12319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（二）立德树人根本任务得到全面落实</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_Toc12319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- 2 -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_Toc25819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（三）各级各类教育事业稳步发展</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_Toc25819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- 3 -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_Toc27467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（四）公平而有质量的教育有效提升</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_Toc27467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- 3 -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_Toc27203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（五）教育体制机制改革初显成效</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_Toc27203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- 6 -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_Toc30192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bCs/>
          <w:color w:val="auto"/>
          <w:kern w:val="2"/>
          <w:sz w:val="32"/>
          <w:szCs w:val="32"/>
          <w:highlight w:val="none"/>
          <w:lang w:val="en-US" w:eastAsia="zh-CN" w:bidi="ar-SA"/>
        </w:rPr>
        <w:t>（六）存在的问题和短板</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_Toc30192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- 7 -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2"/>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_Toc15067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黑体" w:hAnsi="黑体" w:eastAsia="黑体" w:cs="黑体"/>
          <w:bCs/>
          <w:color w:val="auto"/>
          <w:kern w:val="2"/>
          <w:sz w:val="32"/>
          <w:szCs w:val="32"/>
          <w:highlight w:val="none"/>
          <w:lang w:val="en-US" w:eastAsia="zh-CN" w:bidi="ar-SA"/>
        </w:rPr>
        <w:t>二、“十四五”发展思路和目标</w:t>
      </w:r>
      <w:r>
        <w:rPr>
          <w:rFonts w:hint="eastAsia" w:ascii="黑体" w:hAnsi="黑体" w:eastAsia="黑体" w:cs="黑体"/>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_Toc15067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- 8 -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_Toc28468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（一）发展思路</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_Toc28468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- 8 -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_Toc22539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（二）发展目标</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_Toc22539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- 8 -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2"/>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_Toc7761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黑体" w:hAnsi="黑体" w:eastAsia="黑体" w:cs="黑体"/>
          <w:bCs/>
          <w:color w:val="auto"/>
          <w:kern w:val="2"/>
          <w:sz w:val="32"/>
          <w:szCs w:val="32"/>
          <w:highlight w:val="none"/>
          <w:lang w:val="en-US" w:eastAsia="zh-CN" w:bidi="ar-SA"/>
        </w:rPr>
        <w:t>三、“十四五”时期重点工作</w:t>
      </w:r>
      <w:r>
        <w:rPr>
          <w:rFonts w:hint="eastAsia" w:ascii="黑体" w:hAnsi="黑体" w:eastAsia="黑体" w:cs="黑体"/>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_Toc7761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- 12 -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_Toc20945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（一）全面加强党对教育工作的领导</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_Toc20945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- 12 -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_Toc19022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（二）全面落实立德树人根本任务</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_Toc19022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- 13 -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_Toc30221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（三）持续推进基础教育高质量发展</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_Toc30221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- 15 -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_Toc2205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（四）着力加强基础设施建设</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_Toc2205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- 18 -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_Toc20281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（五）全面加强教师队伍建设</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_Toc20281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- 21 -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_Toc370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（六）着力提高教育教学质量</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_Toc370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- 22 -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_Toc5582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（七）深化新时代教育领域综合改革</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_Toc5582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- 23 -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2"/>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_Toc24595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黑体" w:hAnsi="黑体" w:eastAsia="黑体" w:cs="黑体"/>
          <w:bCs/>
          <w:color w:val="auto"/>
          <w:kern w:val="2"/>
          <w:sz w:val="32"/>
          <w:szCs w:val="32"/>
          <w:highlight w:val="none"/>
          <w:lang w:val="en-US" w:eastAsia="zh-CN" w:bidi="ar-SA"/>
        </w:rPr>
        <w:t>四、保障措施</w:t>
      </w:r>
      <w:r>
        <w:rPr>
          <w:rFonts w:hint="eastAsia" w:ascii="黑体" w:hAnsi="黑体" w:eastAsia="黑体" w:cs="黑体"/>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_Toc24595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- 25 -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_Toc4582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（一）加强组织领导建设</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_Toc4582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- 25 -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_Toc5749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（二）加强经费投入管理</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_Toc5749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- 25 -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_Toc5853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（三）加强教育科研建设</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_Toc5853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- 26 -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pStyle w:val="15"/>
        <w:widowControl w:val="0"/>
        <w:shd w:val="clear" w:color="auto" w:fill="auto"/>
        <w:tabs>
          <w:tab w:val="right" w:leader="dot" w:pos="8306"/>
        </w:tabs>
        <w:wordWrap/>
        <w:adjustRightInd/>
        <w:snapToGrid/>
        <w:spacing w:line="560" w:lineRule="exact"/>
        <w:ind w:right="0" w:firstLine="0" w:firstLineChars="0"/>
        <w:jc w:val="both"/>
        <w:textAlignment w:val="auto"/>
        <w:outlineLvl w:val="9"/>
        <w:rPr>
          <w:rFonts w:ascii="Times New Roman" w:hAnsi="Times New Roman" w:eastAsia="宋体" w:cs="Times New Roman"/>
          <w:color w:val="auto"/>
          <w:kern w:val="2"/>
          <w:szCs w:val="24"/>
          <w:highlight w:val="none"/>
          <w:lang w:val="en-US" w:eastAsia="zh-CN" w:bidi="ar-SA"/>
        </w:rPr>
      </w:pP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\l _Toc5850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（四）加强教育结对帮扶</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PAGEREF _Toc5850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- 26 -</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fldChar w:fldCharType="end"/>
      </w:r>
    </w:p>
    <w:p>
      <w:pPr>
        <w:widowControl/>
        <w:shd w:val="clear" w:color="auto" w:fill="auto"/>
        <w:wordWrap/>
        <w:adjustRightInd/>
        <w:snapToGrid/>
        <w:spacing w:line="700" w:lineRule="exact"/>
        <w:jc w:val="both"/>
        <w:textAlignment w:val="baseline"/>
        <w:rPr>
          <w:rFonts w:hint="eastAsia" w:ascii="方正小标宋_GBK" w:hAnsi="方正小标宋_GBK" w:eastAsia="方正小标宋_GBK" w:cs="方正小标宋_GBK"/>
          <w:color w:val="auto"/>
          <w:kern w:val="2"/>
          <w:szCs w:val="44"/>
          <w:highlight w:val="none"/>
          <w:lang w:val="en-US" w:eastAsia="zh-CN" w:bidi="ar-SA"/>
        </w:rPr>
        <w:sectPr>
          <w:footerReference r:id="rId8" w:type="default"/>
          <w:pgSz w:w="11906" w:h="16838"/>
          <w:pgMar w:top="1440" w:right="1800" w:bottom="1440" w:left="1800" w:header="851" w:footer="992" w:gutter="0"/>
          <w:pgNumType w:fmt="numberInDash" w:start="1"/>
          <w:cols w:space="720" w:num="1"/>
          <w:docGrid w:type="lines" w:linePitch="312" w:charSpace="0"/>
        </w:sectPr>
      </w:pPr>
    </w:p>
    <w:p>
      <w:pPr>
        <w:widowControl/>
        <w:shd w:val="clear" w:color="auto" w:fill="auto"/>
        <w:wordWrap/>
        <w:adjustRightInd/>
        <w:snapToGrid/>
        <w:spacing w:line="700" w:lineRule="exact"/>
        <w:jc w:val="both"/>
        <w:textAlignment w:val="baseline"/>
        <w:rPr>
          <w:rFonts w:hint="eastAsia" w:ascii="方正小标宋_GBK" w:hAnsi="方正小标宋_GBK" w:eastAsia="方正小标宋_GBK" w:cs="方正小标宋_GBK"/>
          <w:color w:val="auto"/>
          <w:kern w:val="2"/>
          <w:szCs w:val="44"/>
          <w:lang w:val="en-US" w:eastAsia="zh-CN" w:bidi="ar-SA"/>
        </w:rPr>
      </w:pPr>
      <w:r>
        <w:rPr>
          <w:rFonts w:hint="eastAsia" w:ascii="方正小标宋_GBK" w:hAnsi="方正小标宋_GBK" w:eastAsia="方正小标宋_GBK" w:cs="方正小标宋_GBK"/>
          <w:color w:val="auto"/>
          <w:kern w:val="2"/>
          <w:szCs w:val="44"/>
          <w:highlight w:val="none"/>
          <w:lang w:val="en-US" w:eastAsia="zh-CN" w:bidi="ar-SA"/>
        </w:rPr>
        <w:fldChar w:fldCharType="end"/>
      </w:r>
    </w:p>
    <w:p>
      <w:pPr>
        <w:widowControl/>
        <w:wordWrap/>
        <w:adjustRightInd/>
        <w:snapToGrid/>
        <w:spacing w:line="700" w:lineRule="exact"/>
        <w:jc w:val="center"/>
        <w:textAlignment w:val="baseline"/>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佛冈县教育发展“十四五”规划</w:t>
      </w:r>
    </w:p>
    <w:p>
      <w:pPr>
        <w:widowControl/>
        <w:wordWrap/>
        <w:adjustRightInd/>
        <w:snapToGrid/>
        <w:spacing w:line="700" w:lineRule="exact"/>
        <w:jc w:val="center"/>
        <w:textAlignment w:val="baseline"/>
        <w:rPr>
          <w:rFonts w:hint="eastAsia" w:ascii="仿宋_GB2312" w:hAnsi="仿宋_GB2312" w:eastAsia="仿宋_GB2312" w:cs="仿宋_GB2312"/>
          <w:b/>
          <w:bCs/>
          <w:color w:val="auto"/>
          <w:sz w:val="44"/>
          <w:szCs w:val="44"/>
          <w:lang w:eastAsia="zh-CN"/>
        </w:rPr>
      </w:pPr>
      <w:r>
        <w:rPr>
          <w:rFonts w:hint="eastAsia" w:ascii="仿宋_GB2312" w:hAnsi="仿宋_GB2312" w:eastAsia="仿宋_GB2312" w:cs="仿宋_GB2312"/>
          <w:b/>
          <w:bCs/>
          <w:color w:val="auto"/>
          <w:sz w:val="44"/>
          <w:szCs w:val="44"/>
          <w:lang w:eastAsia="zh-CN"/>
        </w:rPr>
        <w:t>（</w:t>
      </w:r>
      <w:r>
        <w:rPr>
          <w:rFonts w:hint="eastAsia" w:ascii="仿宋_GB2312" w:hAnsi="仿宋_GB2312" w:eastAsia="仿宋_GB2312" w:cs="仿宋_GB2312"/>
          <w:b/>
          <w:bCs/>
          <w:color w:val="auto"/>
          <w:sz w:val="44"/>
          <w:szCs w:val="44"/>
          <w:lang w:val="en-US" w:eastAsia="zh-CN"/>
        </w:rPr>
        <w:t>2021-2025年</w:t>
      </w:r>
      <w:r>
        <w:rPr>
          <w:rFonts w:hint="eastAsia" w:ascii="仿宋_GB2312" w:hAnsi="仿宋_GB2312" w:eastAsia="仿宋_GB2312" w:cs="仿宋_GB2312"/>
          <w:b/>
          <w:bCs/>
          <w:color w:val="auto"/>
          <w:sz w:val="44"/>
          <w:szCs w:val="44"/>
          <w:lang w:eastAsia="zh-CN"/>
        </w:rPr>
        <w:t>）</w:t>
      </w:r>
    </w:p>
    <w:p>
      <w:pPr>
        <w:widowControl/>
        <w:wordWrap/>
        <w:adjustRightInd/>
        <w:snapToGrid/>
        <w:spacing w:line="560" w:lineRule="exact"/>
        <w:ind w:firstLine="640" w:firstLineChars="20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left="0" w:leftChars="0" w:right="0" w:firstLine="640" w:firstLineChars="200"/>
        <w:jc w:val="both"/>
        <w:textAlignment w:val="baseline"/>
        <w:outlineLvl w:val="9"/>
        <w:rPr>
          <w:rFonts w:ascii="仿宋_GB2312" w:hAnsi="仿宋_GB2312" w:eastAsia="仿宋_GB2312" w:cs="仿宋_GB2312"/>
          <w:color w:val="auto"/>
          <w:sz w:val="32"/>
          <w:szCs w:val="32"/>
        </w:rPr>
      </w:pPr>
      <w:bookmarkStart w:id="0" w:name="_Toc18593_WPSOffice_Level1"/>
      <w:r>
        <w:rPr>
          <w:rFonts w:hint="eastAsia" w:ascii="仿宋_GB2312" w:hAnsi="仿宋_GB2312" w:eastAsia="仿宋_GB2312" w:cs="仿宋_GB2312"/>
          <w:color w:val="auto"/>
          <w:sz w:val="32"/>
          <w:szCs w:val="32"/>
        </w:rPr>
        <w:t>“十四五”是在我国“两个百年”历史交汇点上，由全面建成小康社会向全面建设社会主义现代化国家迈进的关键时期。为加快推进教育现代化，建设教育强</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，根据国家、省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教育事业发展第十四个五年规划等有关文件精神，结合</w:t>
      </w:r>
      <w:r>
        <w:rPr>
          <w:rFonts w:hint="eastAsia" w:ascii="仿宋_GB2312" w:hAnsi="仿宋_GB2312" w:eastAsia="仿宋_GB2312" w:cs="仿宋_GB2312"/>
          <w:color w:val="auto"/>
          <w:sz w:val="32"/>
          <w:szCs w:val="32"/>
          <w:lang w:eastAsia="zh-CN"/>
        </w:rPr>
        <w:t>佛冈的</w:t>
      </w:r>
      <w:r>
        <w:rPr>
          <w:rFonts w:hint="eastAsia" w:ascii="仿宋_GB2312" w:hAnsi="仿宋_GB2312" w:eastAsia="仿宋_GB2312" w:cs="仿宋_GB2312"/>
          <w:color w:val="auto"/>
          <w:sz w:val="32"/>
          <w:szCs w:val="32"/>
        </w:rPr>
        <w:t>实际情况制定本规划。</w:t>
      </w:r>
    </w:p>
    <w:p>
      <w:pPr>
        <w:pStyle w:val="2"/>
        <w:wordWrap/>
        <w:adjustRightInd/>
        <w:snapToGrid/>
        <w:spacing w:line="560" w:lineRule="exact"/>
        <w:ind w:left="0" w:leftChars="0" w:right="0" w:firstLine="643" w:firstLineChars="200"/>
        <w:rPr>
          <w:rFonts w:hint="eastAsia" w:ascii="黑体" w:hAnsi="黑体" w:eastAsia="黑体" w:cs="黑体"/>
          <w:b w:val="0"/>
          <w:bCs/>
          <w:color w:val="auto"/>
          <w:szCs w:val="32"/>
          <w:lang w:eastAsia="zh-CN"/>
        </w:rPr>
      </w:pPr>
      <w:bookmarkStart w:id="1" w:name="_Toc19033"/>
      <w:bookmarkStart w:id="2" w:name="_Toc15060"/>
      <w:r>
        <w:rPr>
          <w:rFonts w:hint="eastAsia"/>
          <w:b w:val="0"/>
          <w:bCs/>
          <w:color w:val="auto"/>
          <w:lang w:eastAsia="zh-CN"/>
        </w:rPr>
        <w:t>一、“十三五”</w:t>
      </w:r>
      <w:r>
        <w:rPr>
          <w:rFonts w:hint="eastAsia"/>
          <w:b w:val="0"/>
          <w:bCs/>
          <w:color w:val="auto"/>
          <w:lang w:val="en-US" w:eastAsia="zh-CN"/>
        </w:rPr>
        <w:t>时期教育事业</w:t>
      </w:r>
      <w:r>
        <w:rPr>
          <w:rFonts w:hint="eastAsia"/>
          <w:b w:val="0"/>
          <w:bCs/>
          <w:color w:val="auto"/>
          <w:lang w:eastAsia="zh-CN"/>
        </w:rPr>
        <w:t>发展成效</w:t>
      </w:r>
      <w:bookmarkEnd w:id="0"/>
      <w:bookmarkEnd w:id="1"/>
      <w:bookmarkEnd w:id="2"/>
    </w:p>
    <w:p>
      <w:pPr>
        <w:widowControl/>
        <w:wordWrap/>
        <w:adjustRightInd/>
        <w:snapToGrid/>
        <w:spacing w:line="560" w:lineRule="exact"/>
        <w:ind w:left="0" w:leftChars="0" w:right="0"/>
        <w:jc w:val="left"/>
        <w:outlineLvl w:val="9"/>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“十三五”期间，</w:t>
      </w:r>
      <w:r>
        <w:rPr>
          <w:rFonts w:hint="eastAsia" w:ascii="仿宋_GB2312" w:hAnsi="仿宋_GB2312" w:eastAsia="仿宋_GB2312" w:cs="仿宋_GB2312"/>
          <w:color w:val="auto"/>
          <w:sz w:val="32"/>
          <w:szCs w:val="32"/>
          <w:highlight w:val="none"/>
          <w:lang w:eastAsia="zh-CN"/>
        </w:rPr>
        <w:t>佛冈</w:t>
      </w:r>
      <w:r>
        <w:rPr>
          <w:rFonts w:hint="eastAsia" w:ascii="仿宋_GB2312" w:hAnsi="仿宋_GB2312" w:eastAsia="仿宋_GB2312" w:cs="仿宋_GB2312"/>
          <w:color w:val="auto"/>
          <w:sz w:val="32"/>
          <w:szCs w:val="32"/>
          <w:highlight w:val="none"/>
        </w:rPr>
        <w:t>教育事业</w:t>
      </w:r>
      <w:r>
        <w:rPr>
          <w:rFonts w:hint="eastAsia" w:ascii="仿宋_GB2312" w:hAnsi="仿宋_GB2312" w:eastAsia="仿宋_GB2312" w:cs="仿宋_GB2312"/>
          <w:color w:val="auto"/>
          <w:sz w:val="32"/>
          <w:szCs w:val="32"/>
          <w:highlight w:val="none"/>
          <w:lang w:eastAsia="zh-CN"/>
        </w:rPr>
        <w:t>取得</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lang w:eastAsia="zh-CN"/>
        </w:rPr>
        <w:t>长足发展，</w:t>
      </w:r>
      <w:r>
        <w:rPr>
          <w:rFonts w:hint="eastAsia" w:ascii="仿宋_GB2312" w:hAnsi="仿宋_GB2312" w:eastAsia="仿宋_GB2312" w:cs="仿宋_GB2312"/>
          <w:color w:val="auto"/>
          <w:sz w:val="32"/>
          <w:szCs w:val="32"/>
          <w:highlight w:val="none"/>
        </w:rPr>
        <w:t>特别是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十九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大以来，全</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教育系统以习近平新时代中国特色社会主义思想为指导，全面落实教育优先发展战略，准确把握</w:t>
      </w:r>
      <w:r>
        <w:rPr>
          <w:rFonts w:hint="eastAsia" w:ascii="仿宋_GB2312" w:hAnsi="仿宋_GB2312" w:eastAsia="仿宋_GB2312" w:cs="仿宋_GB2312"/>
          <w:color w:val="auto"/>
          <w:sz w:val="32"/>
          <w:szCs w:val="32"/>
          <w:highlight w:val="none"/>
          <w:lang w:eastAsia="zh-CN"/>
        </w:rPr>
        <w:t>佛冈</w:t>
      </w:r>
      <w:r>
        <w:rPr>
          <w:rFonts w:hint="eastAsia" w:ascii="仿宋_GB2312" w:hAnsi="仿宋_GB2312" w:eastAsia="仿宋_GB2312" w:cs="仿宋_GB2312"/>
          <w:color w:val="auto"/>
          <w:sz w:val="32"/>
          <w:szCs w:val="32"/>
          <w:highlight w:val="none"/>
        </w:rPr>
        <w:t>教育事业发展面临的新形势新任务，聚焦</w:t>
      </w:r>
      <w:r>
        <w:rPr>
          <w:rFonts w:hint="eastAsia" w:ascii="仿宋_GB2312" w:hAnsi="仿宋_GB2312" w:eastAsia="仿宋_GB2312" w:cs="仿宋_GB2312"/>
          <w:color w:val="auto"/>
          <w:sz w:val="32"/>
          <w:szCs w:val="32"/>
          <w:highlight w:val="none"/>
          <w:lang w:eastAsia="zh-CN"/>
        </w:rPr>
        <w:t>基础设施建设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整合教育</w:t>
      </w:r>
      <w:r>
        <w:rPr>
          <w:rFonts w:hint="eastAsia" w:ascii="仿宋_GB2312" w:hAnsi="仿宋_GB2312" w:eastAsia="仿宋_GB2312" w:cs="仿宋_GB2312"/>
          <w:color w:val="auto"/>
          <w:sz w:val="32"/>
          <w:szCs w:val="32"/>
          <w:highlight w:val="none"/>
        </w:rPr>
        <w:t>资源，</w:t>
      </w:r>
      <w:r>
        <w:rPr>
          <w:rFonts w:hint="eastAsia" w:ascii="仿宋_GB2312" w:hAnsi="仿宋_GB2312" w:eastAsia="仿宋_GB2312" w:cs="仿宋_GB2312"/>
          <w:color w:val="auto"/>
          <w:sz w:val="32"/>
          <w:szCs w:val="32"/>
          <w:highlight w:val="none"/>
          <w:lang w:eastAsia="zh-CN"/>
        </w:rPr>
        <w:t>提高师资队伍素质</w:t>
      </w:r>
      <w:r>
        <w:rPr>
          <w:rFonts w:hint="eastAsia" w:ascii="仿宋_GB2312" w:hAnsi="仿宋_GB2312" w:eastAsia="仿宋_GB2312" w:cs="仿宋_GB2312"/>
          <w:color w:val="auto"/>
          <w:sz w:val="32"/>
          <w:szCs w:val="32"/>
          <w:highlight w:val="none"/>
        </w:rPr>
        <w:t>，教育教学质量</w:t>
      </w:r>
      <w:r>
        <w:rPr>
          <w:rFonts w:hint="eastAsia" w:ascii="仿宋_GB2312" w:hAnsi="仿宋_GB2312" w:eastAsia="仿宋_GB2312" w:cs="仿宋_GB2312"/>
          <w:color w:val="auto"/>
          <w:sz w:val="32"/>
          <w:szCs w:val="32"/>
          <w:highlight w:val="none"/>
          <w:lang w:eastAsia="zh-CN"/>
        </w:rPr>
        <w:t>稳步</w:t>
      </w:r>
      <w:r>
        <w:rPr>
          <w:rFonts w:hint="eastAsia" w:ascii="仿宋_GB2312" w:hAnsi="仿宋_GB2312" w:eastAsia="仿宋_GB2312" w:cs="仿宋_GB2312"/>
          <w:color w:val="auto"/>
          <w:sz w:val="32"/>
          <w:szCs w:val="32"/>
          <w:highlight w:val="none"/>
        </w:rPr>
        <w:t>提</w:t>
      </w:r>
      <w:r>
        <w:rPr>
          <w:rFonts w:hint="eastAsia" w:ascii="仿宋_GB2312" w:hAnsi="仿宋_GB2312" w:eastAsia="仿宋_GB2312" w:cs="仿宋_GB2312"/>
          <w:color w:val="auto"/>
          <w:sz w:val="32"/>
          <w:szCs w:val="32"/>
          <w:highlight w:val="none"/>
          <w:lang w:eastAsia="zh-CN"/>
        </w:rPr>
        <w:t>高</w:t>
      </w:r>
      <w:r>
        <w:rPr>
          <w:rFonts w:hint="eastAsia" w:ascii="仿宋_GB2312" w:hAnsi="仿宋_GB2312" w:eastAsia="仿宋_GB2312" w:cs="仿宋_GB2312"/>
          <w:color w:val="auto"/>
          <w:sz w:val="32"/>
          <w:szCs w:val="32"/>
          <w:highlight w:val="none"/>
        </w:rPr>
        <w:t>，教育发展水平</w:t>
      </w:r>
      <w:r>
        <w:rPr>
          <w:rFonts w:hint="eastAsia" w:ascii="仿宋_GB2312" w:hAnsi="仿宋_GB2312" w:eastAsia="仿宋_GB2312" w:cs="仿宋_GB2312"/>
          <w:color w:val="auto"/>
          <w:sz w:val="32"/>
          <w:szCs w:val="32"/>
          <w:highlight w:val="none"/>
          <w:lang w:eastAsia="zh-CN"/>
        </w:rPr>
        <w:t>逐年提升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2016年</w:t>
      </w:r>
      <w:r>
        <w:rPr>
          <w:rFonts w:hint="eastAsia" w:ascii="仿宋_GB2312" w:hAnsi="仿宋_GB2312" w:eastAsia="仿宋_GB2312" w:cs="仿宋_GB2312"/>
          <w:sz w:val="32"/>
          <w:szCs w:val="32"/>
          <w:highlight w:val="none"/>
          <w:lang w:val="en-US" w:eastAsia="zh-CN"/>
        </w:rPr>
        <w:t>成功创建为全国义务教育发展基本均衡县，2018年顺利获得“广东省推进教育现代化先进县”称号，开启了义务教育优质均衡发展的新征程。</w:t>
      </w:r>
    </w:p>
    <w:p>
      <w:pPr>
        <w:pStyle w:val="3"/>
        <w:wordWrap/>
        <w:adjustRightInd/>
        <w:snapToGrid/>
        <w:spacing w:line="560" w:lineRule="exact"/>
        <w:ind w:left="0" w:leftChars="0" w:right="0"/>
        <w:rPr>
          <w:rFonts w:hint="eastAsia"/>
          <w:color w:val="auto"/>
        </w:rPr>
      </w:pPr>
      <w:bookmarkStart w:id="3" w:name="_Toc67038412"/>
      <w:bookmarkStart w:id="4" w:name="_Toc17820"/>
      <w:bookmarkStart w:id="5" w:name="_Toc11882"/>
      <w:bookmarkStart w:id="6" w:name="_Toc18904"/>
      <w:bookmarkStart w:id="7" w:name="_Toc28774"/>
      <w:bookmarkStart w:id="8" w:name="_Toc32369_WPSOffice_Level2"/>
      <w:bookmarkStart w:id="9" w:name="_Toc15029"/>
      <w:bookmarkStart w:id="10" w:name="_Toc26015"/>
      <w:bookmarkStart w:id="11" w:name="_Toc19684"/>
      <w:r>
        <w:rPr>
          <w:rFonts w:hint="eastAsia"/>
          <w:color w:val="auto"/>
        </w:rPr>
        <w:t>（一）党对教育工作的领导</w:t>
      </w:r>
      <w:bookmarkEnd w:id="3"/>
      <w:bookmarkEnd w:id="4"/>
      <w:bookmarkEnd w:id="5"/>
      <w:bookmarkEnd w:id="6"/>
      <w:bookmarkEnd w:id="7"/>
      <w:bookmarkEnd w:id="8"/>
      <w:bookmarkEnd w:id="9"/>
      <w:r>
        <w:rPr>
          <w:rFonts w:hint="eastAsia"/>
          <w:color w:val="auto"/>
          <w:lang w:eastAsia="zh-CN"/>
        </w:rPr>
        <w:t>得到全面加强</w:t>
      </w:r>
      <w:bookmarkEnd w:id="10"/>
      <w:bookmarkEnd w:id="11"/>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政府全面贯彻党的教育方针、坚持社会主义办学方向、落实立德树人根本任务、全力办好人民满意的教育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扎实推进教育改革发展和现代化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先后成立了县委教育工作领导小组和教育系统党委，</w:t>
      </w:r>
      <w:r>
        <w:rPr>
          <w:rFonts w:hint="eastAsia" w:ascii="仿宋_GB2312" w:hAnsi="仿宋_GB2312" w:eastAsia="仿宋_GB2312" w:cs="仿宋_GB2312"/>
          <w:color w:val="auto"/>
          <w:sz w:val="32"/>
          <w:szCs w:val="32"/>
        </w:rPr>
        <w:t>按照与教育管理体制相适应、管党建管业务相结合的原则，全面加强各级各类学校党的建设，不断推进全面从严治党向纵深发展。</w:t>
      </w:r>
      <w:r>
        <w:rPr>
          <w:rFonts w:hint="eastAsia" w:ascii="仿宋_GB2312" w:hAnsi="仿宋_GB2312" w:eastAsia="仿宋_GB2312" w:cs="仿宋_GB2312"/>
          <w:color w:val="auto"/>
          <w:sz w:val="32"/>
          <w:szCs w:val="32"/>
          <w:lang w:val="en-US" w:eastAsia="zh-CN"/>
        </w:rPr>
        <w:t>2019年起</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lang w:val="en-US" w:eastAsia="zh-CN"/>
        </w:rPr>
        <w:t>67所学校</w:t>
      </w:r>
      <w:r>
        <w:rPr>
          <w:rFonts w:hint="eastAsia" w:ascii="仿宋_GB2312" w:hAnsi="仿宋_GB2312" w:eastAsia="仿宋_GB2312" w:cs="仿宋_GB2312"/>
          <w:color w:val="auto"/>
          <w:sz w:val="32"/>
          <w:szCs w:val="32"/>
        </w:rPr>
        <w:t>党组织归</w:t>
      </w:r>
      <w:r>
        <w:rPr>
          <w:rFonts w:hint="eastAsia" w:ascii="仿宋_GB2312" w:hAnsi="仿宋_GB2312" w:eastAsia="仿宋_GB2312" w:cs="仿宋_GB2312"/>
          <w:color w:val="auto"/>
          <w:sz w:val="32"/>
          <w:szCs w:val="32"/>
          <w:lang w:eastAsia="zh-CN"/>
        </w:rPr>
        <w:t>口县</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系统党委管理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实现全县中小学校党组织覆盖率达100%。</w:t>
      </w:r>
      <w:r>
        <w:rPr>
          <w:rFonts w:hint="eastAsia" w:ascii="仿宋_GB2312" w:hAnsi="仿宋_GB2312" w:eastAsia="仿宋_GB2312" w:cs="仿宋_GB2312"/>
          <w:b w:val="0"/>
          <w:bCs w:val="0"/>
          <w:sz w:val="32"/>
          <w:szCs w:val="32"/>
          <w:lang w:val="en-US" w:eastAsia="zh-CN"/>
        </w:rPr>
        <w:t>2020年</w:t>
      </w:r>
      <w:r>
        <w:rPr>
          <w:rFonts w:hint="eastAsia" w:ascii="仿宋_GB2312" w:hAnsi="仿宋_GB2312" w:eastAsia="仿宋_GB2312" w:cs="仿宋_GB2312"/>
          <w:sz w:val="32"/>
          <w:szCs w:val="32"/>
          <w:lang w:val="en-US" w:eastAsia="zh-CN"/>
        </w:rPr>
        <w:t>教育局党支部被评为清远市教育系统先进基层党支部，党建品牌被佛冈县直属工委评为“优秀党建品牌”。</w:t>
      </w:r>
    </w:p>
    <w:p>
      <w:pPr>
        <w:pStyle w:val="3"/>
        <w:wordWrap/>
        <w:adjustRightInd/>
        <w:snapToGrid/>
        <w:spacing w:line="560" w:lineRule="exact"/>
        <w:ind w:left="0" w:leftChars="0" w:right="0"/>
        <w:rPr>
          <w:rFonts w:hint="eastAsia"/>
          <w:color w:val="auto"/>
        </w:rPr>
      </w:pPr>
      <w:bookmarkStart w:id="12" w:name="_Toc2459_WPSOffice_Level2"/>
      <w:r>
        <w:rPr>
          <w:rFonts w:hint="eastAsia" w:ascii="仿宋_GB2312" w:hAnsi="仿宋_GB2312" w:eastAsia="仿宋_GB2312" w:cs="仿宋_GB2312"/>
          <w:color w:val="0000FF"/>
          <w:sz w:val="32"/>
          <w:szCs w:val="32"/>
          <w:lang w:val="en-US" w:eastAsia="zh-CN"/>
        </w:rPr>
        <w:t xml:space="preserve"> </w:t>
      </w:r>
      <w:bookmarkStart w:id="13" w:name="_Toc12379"/>
      <w:bookmarkStart w:id="14" w:name="_Toc12319"/>
      <w:r>
        <w:rPr>
          <w:rFonts w:hint="eastAsia"/>
          <w:color w:val="auto"/>
          <w:lang w:eastAsia="zh-CN"/>
        </w:rPr>
        <w:t>（二）</w:t>
      </w:r>
      <w:r>
        <w:rPr>
          <w:rFonts w:hint="eastAsia"/>
          <w:color w:val="auto"/>
        </w:rPr>
        <w:t>立德树人根本任务</w:t>
      </w:r>
      <w:bookmarkEnd w:id="12"/>
      <w:r>
        <w:rPr>
          <w:rFonts w:hint="eastAsia"/>
          <w:color w:val="auto"/>
          <w:lang w:eastAsia="zh-CN"/>
        </w:rPr>
        <w:t>得到全面落实</w:t>
      </w:r>
      <w:bookmarkEnd w:id="13"/>
      <w:bookmarkEnd w:id="14"/>
    </w:p>
    <w:p>
      <w:pPr>
        <w:wordWrap/>
        <w:adjustRightInd/>
        <w:snapToGrid/>
        <w:spacing w:line="560" w:lineRule="exact"/>
        <w:ind w:left="0" w:leftChars="0" w:right="0" w:firstLine="641"/>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未成年人思想道德建设成效显著。</w:t>
      </w:r>
      <w:r>
        <w:rPr>
          <w:rFonts w:hint="eastAsia" w:ascii="仿宋_GB2312" w:hAnsi="仿宋_GB2312" w:eastAsia="仿宋_GB2312" w:cs="仿宋_GB2312"/>
          <w:sz w:val="32"/>
          <w:szCs w:val="32"/>
          <w:lang w:val="en-US" w:eastAsia="zh-CN"/>
        </w:rPr>
        <w:t>积极完善以“党建带队建”“党建带团建”等未成年人思想道德教育工作机制，发挥各部门对未成年人思想道德建设工作的指导作用，不断健全未成年人思想道德建设工作的领导管理体系，始终把未成年人思想道德建设工作摆在素质教育</w:t>
      </w:r>
      <w:r>
        <w:rPr>
          <w:rFonts w:hint="eastAsia" w:ascii="仿宋_GB2312" w:hAnsi="仿宋_GB2312" w:eastAsia="仿宋_GB2312" w:cs="仿宋_GB2312"/>
          <w:color w:val="auto"/>
          <w:sz w:val="32"/>
          <w:szCs w:val="32"/>
          <w:lang w:val="en-US" w:eastAsia="zh-CN"/>
        </w:rPr>
        <w:t>的首要位置。201</w:t>
      </w:r>
      <w:r>
        <w:rPr>
          <w:rFonts w:hint="default"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年</w:t>
      </w:r>
      <w:r>
        <w:rPr>
          <w:rFonts w:hint="default"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color w:val="auto"/>
          <w:sz w:val="32"/>
          <w:szCs w:val="32"/>
          <w:lang w:val="en-US" w:eastAsia="zh-CN"/>
        </w:rPr>
        <w:t>未成年人思想道德建设测评排名第</w:t>
      </w:r>
      <w:r>
        <w:rPr>
          <w:rFonts w:hint="default"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文明校园创建工作</w:t>
      </w:r>
      <w:r>
        <w:rPr>
          <w:rFonts w:hint="default" w:ascii="仿宋_GB2312" w:hAnsi="仿宋_GB2312" w:eastAsia="仿宋_GB2312" w:cs="仿宋_GB2312"/>
          <w:sz w:val="32"/>
          <w:szCs w:val="32"/>
          <w:lang w:val="en-US" w:eastAsia="zh-CN"/>
        </w:rPr>
        <w:t>成绩喜人</w:t>
      </w:r>
      <w:r>
        <w:rPr>
          <w:rFonts w:hint="eastAsia" w:ascii="仿宋_GB2312" w:hAnsi="仿宋_GB2312" w:eastAsia="仿宋_GB2312" w:cs="仿宋_GB2312"/>
          <w:sz w:val="32"/>
          <w:szCs w:val="32"/>
          <w:lang w:val="en-US" w:eastAsia="zh-CN"/>
        </w:rPr>
        <w:t>，创建市级文明校园</w:t>
      </w:r>
      <w:r>
        <w:rPr>
          <w:rFonts w:hint="default"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lang w:val="en-US" w:eastAsia="zh-CN"/>
        </w:rPr>
        <w:t>所，</w:t>
      </w:r>
      <w:r>
        <w:rPr>
          <w:rFonts w:hint="default"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zh-CN"/>
        </w:rPr>
        <w:t>级文明校园</w:t>
      </w:r>
      <w:r>
        <w:rPr>
          <w:rFonts w:hint="default" w:ascii="仿宋_GB2312" w:hAnsi="仿宋_GB2312" w:eastAsia="仿宋_GB2312" w:cs="仿宋_GB2312"/>
          <w:sz w:val="32"/>
          <w:szCs w:val="32"/>
          <w:lang w:val="en-US" w:eastAsia="zh-CN"/>
        </w:rPr>
        <w:t>51所，</w:t>
      </w:r>
      <w:r>
        <w:rPr>
          <w:rFonts w:hint="eastAsia" w:ascii="仿宋_GB2312" w:hAnsi="仿宋_GB2312" w:eastAsia="仿宋_GB2312" w:cs="仿宋_GB2312"/>
          <w:sz w:val="32"/>
          <w:szCs w:val="32"/>
          <w:lang w:val="en-US" w:eastAsia="zh-CN"/>
        </w:rPr>
        <w:t>创建率达100%。创建毒品预防教育示范校</w:t>
      </w:r>
      <w:r>
        <w:rPr>
          <w:rFonts w:hint="default"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color w:val="auto"/>
          <w:sz w:val="32"/>
          <w:szCs w:val="32"/>
        </w:rPr>
        <w:t>实现了毒品预防教育全覆盖。</w:t>
      </w:r>
      <w:r>
        <w:rPr>
          <w:rFonts w:hint="eastAsia" w:ascii="仿宋_GB2312" w:hAnsi="仿宋_GB2312" w:eastAsia="仿宋_GB2312" w:cs="仿宋_GB2312"/>
          <w:sz w:val="32"/>
          <w:szCs w:val="32"/>
          <w:lang w:val="en-US" w:eastAsia="zh-CN"/>
        </w:rPr>
        <w:t>。</w:t>
      </w:r>
    </w:p>
    <w:p>
      <w:pPr>
        <w:widowControl/>
        <w:numPr>
          <w:numId w:val="0"/>
        </w:numPr>
        <w:wordWrap/>
        <w:adjustRightInd/>
        <w:snapToGrid/>
        <w:spacing w:line="560" w:lineRule="exact"/>
        <w:ind w:left="0" w:leftChars="0" w:right="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素质教育成绩斐然。</w:t>
      </w:r>
      <w:bookmarkStart w:id="15" w:name="_Toc16935"/>
      <w:bookmarkStart w:id="16" w:name="_Toc2080"/>
      <w:bookmarkStart w:id="17" w:name="_Toc21087"/>
      <w:r>
        <w:rPr>
          <w:rFonts w:hint="eastAsia" w:ascii="仿宋_GB2312" w:hAnsi="仿宋_GB2312" w:eastAsia="仿宋_GB2312" w:cs="仿宋_GB2312"/>
          <w:sz w:val="32"/>
          <w:szCs w:val="32"/>
          <w:lang w:val="en-US" w:eastAsia="zh-CN"/>
        </w:rPr>
        <w:t>积极推进校园足球推广活动，</w:t>
      </w:r>
      <w:r>
        <w:rPr>
          <w:rFonts w:hint="default" w:ascii="仿宋_GB2312" w:hAnsi="仿宋_GB2312" w:eastAsia="仿宋_GB2312" w:cs="仿宋_GB2312"/>
          <w:sz w:val="32"/>
          <w:szCs w:val="32"/>
          <w:lang w:val="en-US" w:eastAsia="zh-CN"/>
        </w:rPr>
        <w:t>振兴小学</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eastAsia="zh-CN"/>
        </w:rPr>
        <w:t>所学校创建为“全国青少年校园足球特色学校”，</w:t>
      </w:r>
      <w:r>
        <w:rPr>
          <w:rFonts w:hint="default" w:ascii="仿宋_GB2312" w:hAnsi="仿宋_GB2312" w:eastAsia="仿宋_GB2312" w:cs="仿宋_GB2312"/>
          <w:sz w:val="32"/>
          <w:szCs w:val="32"/>
          <w:lang w:val="en-US" w:eastAsia="zh-CN"/>
        </w:rPr>
        <w:t>石角中学</w:t>
      </w:r>
      <w:r>
        <w:rPr>
          <w:rFonts w:hint="eastAsia" w:ascii="仿宋_GB2312" w:hAnsi="仿宋_GB2312" w:eastAsia="仿宋_GB2312" w:cs="仿宋_GB2312"/>
          <w:sz w:val="32"/>
          <w:szCs w:val="32"/>
          <w:lang w:val="en-US" w:eastAsia="zh-CN"/>
        </w:rPr>
        <w:t>被评为“广东省足球推广学校”。佛冈县第四小学（书法）、水头镇中心小学（猫头狮）、城北中学（书法）成功</w:t>
      </w:r>
      <w:r>
        <w:rPr>
          <w:rFonts w:hint="default" w:ascii="仿宋_GB2312" w:hAnsi="仿宋_GB2312" w:eastAsia="仿宋_GB2312" w:cs="仿宋_GB2312"/>
          <w:sz w:val="32"/>
          <w:szCs w:val="32"/>
          <w:lang w:val="en-US" w:eastAsia="zh-CN"/>
        </w:rPr>
        <w:t>创建为</w:t>
      </w:r>
      <w:r>
        <w:rPr>
          <w:rFonts w:hint="eastAsia" w:ascii="仿宋_GB2312" w:hAnsi="仿宋_GB2312" w:eastAsia="仿宋_GB2312" w:cs="仿宋_GB2312"/>
          <w:sz w:val="32"/>
          <w:szCs w:val="32"/>
          <w:lang w:val="en-US" w:eastAsia="zh-CN"/>
        </w:rPr>
        <w:t>广东省第二批中华优秀文化传承学校，佛冈县第一中学（舞蹈）成功</w:t>
      </w:r>
      <w:r>
        <w:rPr>
          <w:rFonts w:hint="default" w:ascii="仿宋_GB2312" w:hAnsi="仿宋_GB2312" w:eastAsia="仿宋_GB2312" w:cs="仿宋_GB2312"/>
          <w:sz w:val="32"/>
          <w:szCs w:val="32"/>
          <w:lang w:val="en-US" w:eastAsia="zh-CN"/>
        </w:rPr>
        <w:t>创建为</w:t>
      </w:r>
      <w:r>
        <w:rPr>
          <w:rFonts w:hint="eastAsia" w:ascii="仿宋_GB2312" w:hAnsi="仿宋_GB2312" w:eastAsia="仿宋_GB2312" w:cs="仿宋_GB2312"/>
          <w:sz w:val="32"/>
          <w:szCs w:val="32"/>
          <w:lang w:val="en-US" w:eastAsia="zh-CN"/>
        </w:rPr>
        <w:t>广东省第四批省中小学艺术教育特色学校。</w:t>
      </w:r>
    </w:p>
    <w:p>
      <w:pPr>
        <w:widowControl/>
        <w:wordWrap/>
        <w:adjustRightInd/>
        <w:snapToGrid/>
        <w:spacing w:beforeAutospacing="0" w:afterAutospacing="0" w:line="560" w:lineRule="exact"/>
        <w:ind w:left="0" w:leftChars="0" w:right="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bookmarkEnd w:id="15"/>
      <w:bookmarkEnd w:id="16"/>
      <w:bookmarkEnd w:id="17"/>
      <w:r>
        <w:rPr>
          <w:rFonts w:hint="eastAsia" w:ascii="仿宋_GB2312" w:hAnsi="仿宋_GB2312" w:eastAsia="仿宋_GB2312" w:cs="仿宋_GB2312"/>
          <w:b/>
          <w:bCs/>
          <w:color w:val="auto"/>
          <w:sz w:val="32"/>
          <w:szCs w:val="32"/>
        </w:rPr>
        <w:t>文化育人结硕果。</w:t>
      </w:r>
      <w:r>
        <w:rPr>
          <w:rFonts w:hint="eastAsia" w:ascii="仿宋_GB2312" w:hAnsi="仿宋_GB2312" w:eastAsia="仿宋_GB2312" w:cs="仿宋_GB2312"/>
          <w:color w:val="auto"/>
          <w:sz w:val="32"/>
          <w:szCs w:val="32"/>
        </w:rPr>
        <w:t>全面推进学校文化建设工作，2016年至2020年，我县城东中学、城北幼儿园、</w:t>
      </w:r>
      <w:r>
        <w:rPr>
          <w:rFonts w:hint="eastAsia" w:ascii="仿宋_GB2312" w:hAnsi="仿宋_GB2312" w:eastAsia="仿宋_GB2312" w:cs="仿宋_GB2312"/>
          <w:color w:val="auto"/>
          <w:sz w:val="32"/>
          <w:szCs w:val="32"/>
          <w:lang w:eastAsia="zh-CN"/>
        </w:rPr>
        <w:t>第四小学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佛冈一中</w:t>
      </w:r>
      <w:r>
        <w:rPr>
          <w:rFonts w:hint="eastAsia" w:ascii="仿宋_GB2312" w:hAnsi="仿宋_GB2312" w:eastAsia="仿宋_GB2312" w:cs="仿宋_GB2312"/>
          <w:color w:val="auto"/>
          <w:sz w:val="32"/>
          <w:szCs w:val="32"/>
        </w:rPr>
        <w:t>、潖江中学 、振兴小学、龙山</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黄塱小学7所学校</w:t>
      </w:r>
      <w:r>
        <w:rPr>
          <w:rFonts w:hint="eastAsia" w:ascii="仿宋_GB2312" w:hAnsi="仿宋_GB2312" w:eastAsia="仿宋_GB2312" w:cs="仿宋_GB2312"/>
          <w:color w:val="auto"/>
          <w:sz w:val="32"/>
          <w:szCs w:val="32"/>
          <w:lang w:eastAsia="zh-CN"/>
        </w:rPr>
        <w:t>先后</w:t>
      </w:r>
      <w:r>
        <w:rPr>
          <w:rFonts w:hint="eastAsia" w:ascii="仿宋_GB2312" w:hAnsi="仿宋_GB2312" w:eastAsia="仿宋_GB2312" w:cs="仿宋_GB2312"/>
          <w:color w:val="auto"/>
          <w:sz w:val="32"/>
          <w:szCs w:val="32"/>
        </w:rPr>
        <w:t>成功申报为清远市学校文化建设示范学校，打造了一批个性鲜明、理念先进、环境优雅、内涵丰富的高品位学校</w:t>
      </w:r>
      <w:r>
        <w:rPr>
          <w:rFonts w:hint="eastAsia" w:ascii="仿宋_GB2312" w:hAnsi="仿宋_GB2312" w:eastAsia="仿宋_GB2312" w:cs="仿宋_GB2312"/>
          <w:color w:val="auto"/>
          <w:sz w:val="32"/>
          <w:szCs w:val="32"/>
          <w:lang w:eastAsia="zh-CN"/>
        </w:rPr>
        <w:t>。</w:t>
      </w:r>
    </w:p>
    <w:p>
      <w:pPr>
        <w:pStyle w:val="3"/>
        <w:wordWrap/>
        <w:adjustRightInd/>
        <w:snapToGrid/>
        <w:spacing w:line="560" w:lineRule="exact"/>
        <w:ind w:left="0" w:leftChars="0" w:right="0"/>
        <w:rPr>
          <w:rFonts w:hint="eastAsia"/>
          <w:color w:val="auto"/>
        </w:rPr>
      </w:pPr>
      <w:bookmarkStart w:id="18" w:name="_Toc6983"/>
      <w:bookmarkStart w:id="19" w:name="_Toc4123"/>
      <w:bookmarkStart w:id="20" w:name="_Toc10668"/>
      <w:bookmarkStart w:id="21" w:name="_Toc4346_WPSOffice_Level2"/>
      <w:bookmarkStart w:id="22" w:name="_Toc25587"/>
      <w:bookmarkStart w:id="23" w:name="_Toc25819"/>
      <w:r>
        <w:rPr>
          <w:rFonts w:hint="eastAsia"/>
          <w:color w:val="auto"/>
        </w:rPr>
        <w:t>（三）各级各类教育</w:t>
      </w:r>
      <w:bookmarkEnd w:id="18"/>
      <w:bookmarkEnd w:id="19"/>
      <w:bookmarkEnd w:id="20"/>
      <w:r>
        <w:rPr>
          <w:rFonts w:hint="eastAsia"/>
          <w:color w:val="auto"/>
          <w:lang w:eastAsia="zh-CN"/>
        </w:rPr>
        <w:t>事业稳步发展</w:t>
      </w:r>
      <w:bookmarkEnd w:id="21"/>
      <w:bookmarkEnd w:id="22"/>
      <w:bookmarkEnd w:id="23"/>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bookmarkStart w:id="24" w:name="_Toc18776"/>
      <w:bookmarkStart w:id="25" w:name="_Toc18992"/>
      <w:bookmarkStart w:id="26" w:name="_Toc11980"/>
      <w:bookmarkStart w:id="27" w:name="_Toc67038415"/>
      <w:bookmarkStart w:id="28" w:name="_Toc8032"/>
      <w:bookmarkStart w:id="29" w:name="_Toc27215"/>
      <w:bookmarkStart w:id="30" w:name="_Toc27883"/>
      <w:bookmarkStart w:id="31" w:name="_Toc13368_WPSOffice_Level2"/>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推进“5080”攻坚行动，学前教育毛入园率达</w:t>
      </w:r>
      <w:r>
        <w:rPr>
          <w:rFonts w:hint="eastAsia" w:ascii="仿宋_GB2312" w:hAnsi="仿宋_GB2312" w:eastAsia="仿宋_GB2312" w:cs="仿宋_GB2312"/>
          <w:color w:val="auto"/>
          <w:sz w:val="32"/>
          <w:szCs w:val="32"/>
          <w:lang w:val="en-US" w:eastAsia="zh-CN"/>
        </w:rPr>
        <w:t>98.09</w:t>
      </w:r>
      <w:r>
        <w:rPr>
          <w:rFonts w:hint="eastAsia" w:ascii="仿宋_GB2312" w:hAnsi="仿宋_GB2312" w:eastAsia="仿宋_GB2312" w:cs="仿宋_GB2312"/>
          <w:color w:val="auto"/>
          <w:sz w:val="32"/>
          <w:szCs w:val="32"/>
        </w:rPr>
        <w:t>%，公办幼儿园在园幼儿占比达</w:t>
      </w:r>
      <w:r>
        <w:rPr>
          <w:rFonts w:hint="eastAsia" w:ascii="仿宋_GB2312" w:hAnsi="仿宋_GB2312" w:eastAsia="仿宋_GB2312" w:cs="仿宋_GB2312"/>
          <w:color w:val="auto"/>
          <w:sz w:val="32"/>
          <w:szCs w:val="32"/>
          <w:lang w:val="en-US" w:eastAsia="zh-CN"/>
        </w:rPr>
        <w:t>50.32</w:t>
      </w:r>
      <w:r>
        <w:rPr>
          <w:rFonts w:hint="eastAsia" w:ascii="仿宋_GB2312" w:hAnsi="仿宋_GB2312" w:eastAsia="仿宋_GB2312" w:cs="仿宋_GB2312"/>
          <w:color w:val="auto"/>
          <w:sz w:val="32"/>
          <w:szCs w:val="32"/>
        </w:rPr>
        <w:t>%，公办幼儿园和普惠性民办幼儿园在园幼儿数占比达85.</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全县6个乡镇均建有一所规范化中心幼儿园，78个行政村中常住人口规模达4000人以上的行政村均建成规范化村级幼儿园，比例达100%；小学附设幼儿班29所，实现全县行政村幼儿教育服务全覆盖。全县义务教育标准化学校100%全覆盖。</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九年义务教育巩固率达</w:t>
      </w:r>
      <w:r>
        <w:rPr>
          <w:rFonts w:hint="eastAsia" w:ascii="仿宋_GB2312" w:hAnsi="仿宋_GB2312" w:eastAsia="仿宋_GB2312" w:cs="仿宋_GB2312"/>
          <w:color w:val="auto"/>
          <w:sz w:val="32"/>
          <w:szCs w:val="32"/>
          <w:lang w:val="en-US" w:eastAsia="zh-CN"/>
        </w:rPr>
        <w:t>98.50%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高中阶段教育毛入学率由2015年的95.29%提高到目前的96.22%。高考成绩逐年稳步提升。2018年完成县启智学校异地搬迁，目前有特殊教育学校1所、特教资源中心7个、特殊教育资源教室7间，残疾儿童少年义务教育入学率达100%。职业教育、成人教育和社区教育特色发展，2018年佛冈县成功创建为广东省社区教育实验区。</w:t>
      </w:r>
    </w:p>
    <w:p>
      <w:pPr>
        <w:pStyle w:val="3"/>
        <w:wordWrap/>
        <w:adjustRightInd/>
        <w:snapToGrid/>
        <w:spacing w:line="560" w:lineRule="exact"/>
        <w:ind w:left="0" w:leftChars="0" w:right="0"/>
        <w:rPr>
          <w:rFonts w:hint="eastAsia"/>
          <w:color w:val="auto"/>
          <w:lang w:val="en-US"/>
        </w:rPr>
      </w:pPr>
      <w:bookmarkStart w:id="32" w:name="_Toc4467"/>
      <w:bookmarkStart w:id="33" w:name="_Toc27467"/>
      <w:r>
        <w:rPr>
          <w:rFonts w:hint="eastAsia"/>
          <w:color w:val="auto"/>
        </w:rPr>
        <w:t>（四）公平而有质量的教育</w:t>
      </w:r>
      <w:bookmarkEnd w:id="24"/>
      <w:bookmarkEnd w:id="25"/>
      <w:bookmarkEnd w:id="26"/>
      <w:bookmarkEnd w:id="27"/>
      <w:bookmarkEnd w:id="28"/>
      <w:bookmarkEnd w:id="29"/>
      <w:bookmarkEnd w:id="30"/>
      <w:bookmarkEnd w:id="31"/>
      <w:r>
        <w:rPr>
          <w:rFonts w:hint="eastAsia"/>
          <w:color w:val="auto"/>
          <w:lang w:eastAsia="zh-CN"/>
        </w:rPr>
        <w:t>有效提升</w:t>
      </w:r>
      <w:bookmarkEnd w:id="32"/>
      <w:bookmarkEnd w:id="33"/>
      <w:r>
        <w:rPr>
          <w:rFonts w:hint="eastAsia"/>
          <w:color w:val="auto"/>
          <w:lang w:val="en-US" w:eastAsia="zh-CN"/>
        </w:rPr>
        <w:t xml:space="preserve"> </w:t>
      </w:r>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val="en-US" w:eastAsia="zh-CN"/>
        </w:rPr>
      </w:pPr>
      <w:bookmarkStart w:id="34" w:name="_Toc18091"/>
      <w:bookmarkStart w:id="35" w:name="_Toc29012"/>
      <w:r>
        <w:rPr>
          <w:rFonts w:hint="eastAsia" w:ascii="仿宋_GB2312" w:hAnsi="仿宋_GB2312" w:eastAsia="仿宋_GB2312" w:cs="仿宋_GB2312"/>
          <w:b/>
          <w:bCs/>
          <w:color w:val="auto"/>
          <w:sz w:val="32"/>
          <w:szCs w:val="32"/>
          <w:lang w:eastAsia="zh-CN"/>
        </w:rPr>
        <w:t>基础设施建设成效显著</w:t>
      </w:r>
      <w:r>
        <w:rPr>
          <w:rFonts w:hint="eastAsia" w:ascii="仿宋_GB2312" w:hAnsi="仿宋_GB2312" w:eastAsia="仿宋_GB2312" w:cs="仿宋_GB2312"/>
          <w:b/>
          <w:bCs/>
          <w:color w:val="auto"/>
          <w:sz w:val="32"/>
          <w:szCs w:val="32"/>
        </w:rPr>
        <w:t>。</w:t>
      </w:r>
      <w:bookmarkEnd w:id="34"/>
      <w:bookmarkEnd w:id="35"/>
      <w:bookmarkStart w:id="36" w:name="_Toc16666"/>
      <w:bookmarkStart w:id="37" w:name="_Toc4889"/>
      <w:bookmarkStart w:id="38" w:name="_Toc31407"/>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十三五</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时期，</w:t>
      </w:r>
      <w:r>
        <w:rPr>
          <w:rFonts w:hint="default"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eastAsia="zh-CN"/>
        </w:rPr>
        <w:t>投入</w:t>
      </w:r>
      <w:r>
        <w:rPr>
          <w:rFonts w:hint="default" w:ascii="仿宋_GB2312" w:hAnsi="仿宋_GB2312" w:eastAsia="仿宋_GB2312" w:cs="仿宋_GB2312"/>
          <w:color w:val="auto"/>
          <w:sz w:val="32"/>
          <w:szCs w:val="32"/>
          <w:lang w:eastAsia="zh-CN"/>
        </w:rPr>
        <w:t>18.72</w:t>
      </w:r>
      <w:r>
        <w:rPr>
          <w:rFonts w:hint="eastAsia" w:ascii="仿宋_GB2312" w:hAnsi="仿宋_GB2312" w:eastAsia="仿宋_GB2312" w:cs="仿宋_GB2312"/>
          <w:color w:val="auto"/>
          <w:sz w:val="32"/>
          <w:szCs w:val="32"/>
          <w:lang w:val="en-US" w:eastAsia="zh-CN"/>
        </w:rPr>
        <w:t>亿元</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完成</w:t>
      </w:r>
      <w:r>
        <w:rPr>
          <w:rFonts w:hint="default" w:ascii="仿宋_GB2312" w:hAnsi="仿宋_GB2312" w:eastAsia="仿宋_GB2312" w:cs="仿宋_GB2312"/>
          <w:color w:val="auto"/>
          <w:sz w:val="32"/>
          <w:szCs w:val="32"/>
          <w:lang w:eastAsia="zh-CN"/>
        </w:rPr>
        <w:t>异地搬迁启智学校、</w:t>
      </w:r>
      <w:r>
        <w:rPr>
          <w:rFonts w:hint="eastAsia" w:ascii="仿宋_GB2312" w:hAnsi="仿宋_GB2312" w:eastAsia="仿宋_GB2312" w:cs="仿宋_GB2312"/>
          <w:color w:val="auto"/>
          <w:sz w:val="32"/>
          <w:szCs w:val="32"/>
          <w:lang w:val="en-US" w:eastAsia="zh-CN"/>
        </w:rPr>
        <w:t>新建城南小学</w:t>
      </w:r>
      <w:r>
        <w:rPr>
          <w:rFonts w:hint="default" w:ascii="仿宋_GB2312" w:hAnsi="仿宋_GB2312" w:eastAsia="仿宋_GB2312" w:cs="仿宋_GB2312"/>
          <w:color w:val="auto"/>
          <w:sz w:val="32"/>
          <w:szCs w:val="32"/>
          <w:lang w:eastAsia="zh-CN"/>
        </w:rPr>
        <w:t>、改扩建汤塘镇中心小学、龙山镇从化围小学、汤塘镇四九中心小学、迳头镇迳头小学、迳头镇燕岭希望小学、汤塘分园、龙山分园</w:t>
      </w:r>
      <w:r>
        <w:rPr>
          <w:rFonts w:hint="eastAsia" w:ascii="仿宋_GB2312" w:hAnsi="仿宋_GB2312" w:eastAsia="仿宋_GB2312" w:cs="仿宋_GB2312"/>
          <w:color w:val="auto"/>
          <w:sz w:val="32"/>
          <w:szCs w:val="32"/>
          <w:lang w:eastAsia="zh-CN"/>
        </w:rPr>
        <w:t>等校园基础设施建设</w:t>
      </w:r>
      <w:r>
        <w:rPr>
          <w:rFonts w:hint="eastAsia" w:ascii="仿宋_GB2312" w:hAnsi="仿宋_GB2312" w:eastAsia="仿宋_GB2312" w:cs="仿宋_GB2312"/>
          <w:color w:val="auto"/>
          <w:sz w:val="32"/>
          <w:szCs w:val="32"/>
          <w:lang w:val="en-US" w:eastAsia="zh-CN"/>
        </w:rPr>
        <w:t>，增加学位7177个，其中城南小学（城南幼儿园）投入1.467亿元，增加小学学位2160个，有效缓解县城小学学位不足问题。投入资金1.13</w:t>
      </w:r>
      <w:r>
        <w:rPr>
          <w:rFonts w:hint="eastAsia" w:ascii="仿宋_GB2312" w:hAnsi="仿宋_GB2312" w:eastAsia="仿宋_GB2312" w:cs="仿宋_GB2312"/>
          <w:color w:val="auto"/>
          <w:sz w:val="32"/>
          <w:szCs w:val="32"/>
          <w:lang w:eastAsia="zh-CN"/>
        </w:rPr>
        <w:t>亿元，新建一批学校教学楼、宿舍楼、饭堂、运动场升级改造建设，农村义务教育薄弱学校改造建设、标准化学校建设水平得到提升。</w:t>
      </w:r>
    </w:p>
    <w:p>
      <w:pPr>
        <w:widowControl w:val="0"/>
        <w:wordWrap/>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城乡教育一体化</w:t>
      </w:r>
      <w:r>
        <w:rPr>
          <w:rFonts w:hint="eastAsia" w:ascii="仿宋_GB2312" w:hAnsi="仿宋_GB2312" w:eastAsia="仿宋_GB2312" w:cs="仿宋_GB2312"/>
          <w:b/>
          <w:bCs/>
          <w:color w:val="auto"/>
          <w:sz w:val="32"/>
          <w:szCs w:val="32"/>
          <w:lang w:eastAsia="zh-CN"/>
        </w:rPr>
        <w:t>建设得到强化</w:t>
      </w:r>
      <w:r>
        <w:rPr>
          <w:rFonts w:hint="eastAsia" w:ascii="仿宋_GB2312" w:hAnsi="仿宋_GB2312" w:eastAsia="仿宋_GB2312" w:cs="仿宋_GB2312"/>
          <w:b/>
          <w:bCs/>
          <w:color w:val="auto"/>
          <w:sz w:val="32"/>
          <w:szCs w:val="32"/>
        </w:rPr>
        <w:t>。</w:t>
      </w:r>
      <w:bookmarkEnd w:id="36"/>
      <w:bookmarkEnd w:id="37"/>
      <w:bookmarkEnd w:id="38"/>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十三五</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时期，</w:t>
      </w:r>
      <w:r>
        <w:rPr>
          <w:rFonts w:hint="eastAsia" w:ascii="仿宋_GB2312" w:hAnsi="仿宋_GB2312" w:eastAsia="仿宋_GB2312" w:cs="仿宋_GB2312"/>
          <w:color w:val="auto"/>
          <w:sz w:val="32"/>
          <w:szCs w:val="32"/>
          <w:highlight w:val="none"/>
        </w:rPr>
        <w:t>进一步优化</w:t>
      </w:r>
      <w:r>
        <w:rPr>
          <w:rFonts w:hint="eastAsia" w:ascii="仿宋_GB2312" w:hAnsi="仿宋_GB2312" w:eastAsia="仿宋_GB2312" w:cs="仿宋_GB2312"/>
          <w:color w:val="auto"/>
          <w:sz w:val="32"/>
          <w:szCs w:val="32"/>
          <w:highlight w:val="none"/>
          <w:lang w:eastAsia="zh-CN"/>
        </w:rPr>
        <w:t>了</w:t>
      </w:r>
      <w:r>
        <w:rPr>
          <w:rFonts w:hint="eastAsia" w:ascii="仿宋_GB2312" w:hAnsi="仿宋_GB2312" w:eastAsia="仿宋_GB2312" w:cs="仿宋_GB2312"/>
          <w:color w:val="auto"/>
          <w:sz w:val="32"/>
          <w:szCs w:val="32"/>
          <w:highlight w:val="none"/>
        </w:rPr>
        <w:t>教育资源配置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提高</w:t>
      </w:r>
      <w:r>
        <w:rPr>
          <w:rFonts w:hint="eastAsia" w:ascii="仿宋_GB2312" w:hAnsi="仿宋_GB2312" w:eastAsia="仿宋_GB2312" w:cs="仿宋_GB2312"/>
          <w:b w:val="0"/>
          <w:bCs w:val="0"/>
          <w:color w:val="auto"/>
          <w:sz w:val="32"/>
          <w:szCs w:val="32"/>
          <w:highlight w:val="none"/>
          <w:lang w:eastAsia="zh-CN"/>
        </w:rPr>
        <w:t>了全县学校</w:t>
      </w:r>
      <w:r>
        <w:rPr>
          <w:rFonts w:hint="eastAsia" w:ascii="仿宋_GB2312" w:hAnsi="仿宋_GB2312" w:eastAsia="仿宋_GB2312" w:cs="仿宋_GB2312"/>
          <w:b w:val="0"/>
          <w:bCs w:val="0"/>
          <w:color w:val="auto"/>
          <w:sz w:val="32"/>
          <w:szCs w:val="32"/>
          <w:highlight w:val="none"/>
        </w:rPr>
        <w:t>装备水平</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推进</w:t>
      </w:r>
      <w:r>
        <w:rPr>
          <w:rFonts w:hint="eastAsia" w:ascii="仿宋_GB2312" w:hAnsi="仿宋_GB2312" w:eastAsia="仿宋_GB2312" w:cs="仿宋_GB2312"/>
          <w:b w:val="0"/>
          <w:bCs w:val="0"/>
          <w:color w:val="auto"/>
          <w:sz w:val="32"/>
          <w:szCs w:val="32"/>
          <w:highlight w:val="none"/>
          <w:lang w:eastAsia="zh-CN"/>
        </w:rPr>
        <w:t>了</w:t>
      </w:r>
      <w:r>
        <w:rPr>
          <w:rFonts w:hint="eastAsia" w:ascii="仿宋_GB2312" w:hAnsi="仿宋_GB2312" w:eastAsia="仿宋_GB2312" w:cs="仿宋_GB2312"/>
          <w:b w:val="0"/>
          <w:bCs w:val="0"/>
          <w:color w:val="auto"/>
          <w:sz w:val="32"/>
          <w:szCs w:val="32"/>
          <w:highlight w:val="none"/>
        </w:rPr>
        <w:t>教育</w:t>
      </w:r>
      <w:r>
        <w:rPr>
          <w:rFonts w:hint="eastAsia" w:ascii="仿宋_GB2312" w:hAnsi="仿宋_GB2312" w:eastAsia="仿宋_GB2312" w:cs="仿宋_GB2312"/>
          <w:b w:val="0"/>
          <w:bCs w:val="0"/>
          <w:color w:val="auto"/>
          <w:sz w:val="32"/>
          <w:szCs w:val="32"/>
          <w:highlight w:val="none"/>
          <w:lang w:eastAsia="zh-CN"/>
        </w:rPr>
        <w:t>信息化建设</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累计投入</w:t>
      </w:r>
      <w:r>
        <w:rPr>
          <w:rFonts w:hint="default" w:ascii="仿宋_GB2312" w:hAnsi="仿宋_GB2312" w:eastAsia="仿宋_GB2312" w:cs="仿宋_GB2312"/>
          <w:color w:val="auto"/>
          <w:sz w:val="32"/>
          <w:szCs w:val="32"/>
          <w:highlight w:val="none"/>
        </w:rPr>
        <w:t>2417</w:t>
      </w:r>
      <w:r>
        <w:rPr>
          <w:rFonts w:hint="eastAsia" w:ascii="仿宋_GB2312" w:hAnsi="仿宋_GB2312" w:eastAsia="仿宋_GB2312" w:cs="仿宋_GB2312"/>
          <w:color w:val="auto"/>
          <w:sz w:val="32"/>
          <w:szCs w:val="32"/>
          <w:highlight w:val="none"/>
          <w:lang w:eastAsia="zh-CN"/>
        </w:rPr>
        <w:t>万</w:t>
      </w:r>
      <w:r>
        <w:rPr>
          <w:rFonts w:hint="eastAsia" w:ascii="仿宋_GB2312" w:hAnsi="仿宋_GB2312" w:eastAsia="仿宋_GB2312" w:cs="仿宋_GB2312"/>
          <w:color w:val="auto"/>
          <w:sz w:val="32"/>
          <w:szCs w:val="32"/>
          <w:highlight w:val="none"/>
        </w:rPr>
        <w:t>元改善寄宿制学校办学条件，</w:t>
      </w:r>
      <w:r>
        <w:rPr>
          <w:rFonts w:hint="eastAsia" w:ascii="仿宋_GB2312" w:hAnsi="仿宋_GB2312" w:eastAsia="仿宋_GB2312" w:cs="仿宋_GB2312"/>
          <w:color w:val="auto"/>
          <w:sz w:val="32"/>
          <w:szCs w:val="32"/>
          <w:highlight w:val="none"/>
          <w:lang w:eastAsia="zh-CN"/>
        </w:rPr>
        <w:t>完成汤塘中学等</w:t>
      </w:r>
      <w:r>
        <w:rPr>
          <w:rFonts w:hint="default" w:ascii="仿宋_GB2312" w:hAnsi="仿宋_GB2312" w:eastAsia="仿宋_GB2312" w:cs="仿宋_GB2312"/>
          <w:color w:val="auto"/>
          <w:sz w:val="32"/>
          <w:szCs w:val="32"/>
          <w:highlight w:val="none"/>
          <w:lang w:eastAsia="zh-CN"/>
        </w:rPr>
        <w:t>20</w:t>
      </w:r>
      <w:r>
        <w:rPr>
          <w:rFonts w:hint="eastAsia" w:ascii="仿宋_GB2312" w:hAnsi="仿宋_GB2312" w:eastAsia="仿宋_GB2312" w:cs="仿宋_GB2312"/>
          <w:color w:val="auto"/>
          <w:sz w:val="32"/>
          <w:szCs w:val="32"/>
          <w:highlight w:val="none"/>
          <w:lang w:eastAsia="zh-CN"/>
        </w:rPr>
        <w:t>所寄宿制学校建设，</w:t>
      </w:r>
      <w:r>
        <w:rPr>
          <w:rFonts w:hint="eastAsia" w:ascii="仿宋_GB2312" w:hAnsi="仿宋_GB2312" w:eastAsia="仿宋_GB2312" w:cs="仿宋_GB2312"/>
          <w:color w:val="auto"/>
          <w:sz w:val="32"/>
          <w:szCs w:val="32"/>
          <w:highlight w:val="none"/>
        </w:rPr>
        <w:t>新增寄宿制学位</w:t>
      </w:r>
      <w:r>
        <w:rPr>
          <w:rFonts w:hint="default" w:ascii="仿宋_GB2312" w:hAnsi="仿宋_GB2312" w:eastAsia="仿宋_GB2312" w:cs="仿宋_GB2312"/>
          <w:color w:val="auto"/>
          <w:sz w:val="32"/>
          <w:szCs w:val="32"/>
          <w:highlight w:val="none"/>
        </w:rPr>
        <w:t>1748</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。基本实现全县乡镇中学、中心小学塑胶跑道运动场全覆盖。</w:t>
      </w:r>
      <w:r>
        <w:rPr>
          <w:rFonts w:hint="eastAsia" w:ascii="仿宋_GB2312" w:hAnsi="仿宋_GB2312" w:eastAsia="仿宋_GB2312" w:cs="仿宋_GB2312"/>
          <w:color w:val="auto"/>
          <w:sz w:val="32"/>
          <w:szCs w:val="32"/>
          <w:highlight w:val="none"/>
        </w:rPr>
        <w:t>“班班通”达到了100%</w:t>
      </w:r>
      <w:r>
        <w:rPr>
          <w:rFonts w:hint="eastAsia" w:ascii="仿宋_GB2312" w:hAnsi="仿宋_GB2312" w:eastAsia="仿宋_GB2312" w:cs="仿宋_GB2312"/>
          <w:color w:val="auto"/>
          <w:sz w:val="32"/>
          <w:szCs w:val="32"/>
          <w:highlight w:val="none"/>
          <w:lang w:eastAsia="zh-CN"/>
        </w:rPr>
        <w:t>全</w:t>
      </w:r>
      <w:r>
        <w:rPr>
          <w:rFonts w:hint="eastAsia" w:ascii="仿宋_GB2312" w:hAnsi="仿宋_GB2312" w:eastAsia="仿宋_GB2312" w:cs="仿宋_GB2312"/>
          <w:color w:val="auto"/>
          <w:sz w:val="32"/>
          <w:szCs w:val="32"/>
          <w:highlight w:val="none"/>
        </w:rPr>
        <w:t>覆盖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所有学校安装校园安全网络监控系统、数字化校园广播系统</w:t>
      </w:r>
      <w:r>
        <w:rPr>
          <w:rFonts w:hint="eastAsia" w:ascii="仿宋_GB2312" w:hAnsi="仿宋_GB2312" w:eastAsia="仿宋_GB2312" w:cs="仿宋_GB2312"/>
          <w:color w:val="auto"/>
          <w:sz w:val="32"/>
          <w:szCs w:val="32"/>
          <w:highlight w:val="none"/>
          <w:lang w:eastAsia="zh-CN"/>
        </w:rPr>
        <w:t>、云录播系统。</w:t>
      </w:r>
      <w:r>
        <w:rPr>
          <w:rFonts w:hint="eastAsia" w:ascii="仿宋_GB2312" w:hAnsi="仿宋_GB2312" w:eastAsia="仿宋_GB2312" w:cs="仿宋_GB2312"/>
          <w:color w:val="auto"/>
          <w:sz w:val="32"/>
          <w:szCs w:val="32"/>
          <w:highlight w:val="none"/>
        </w:rPr>
        <w:t>改造佛冈一中</w:t>
      </w:r>
      <w:r>
        <w:rPr>
          <w:rFonts w:hint="eastAsia" w:ascii="仿宋_GB2312" w:hAnsi="仿宋_GB2312" w:eastAsia="仿宋_GB2312" w:cs="仿宋_GB2312"/>
          <w:color w:val="auto"/>
          <w:sz w:val="32"/>
          <w:szCs w:val="32"/>
          <w:highlight w:val="none"/>
          <w:lang w:eastAsia="zh-CN"/>
        </w:rPr>
        <w:t>国家级</w:t>
      </w:r>
      <w:r>
        <w:rPr>
          <w:rFonts w:hint="eastAsia" w:ascii="仿宋_GB2312" w:hAnsi="仿宋_GB2312" w:eastAsia="仿宋_GB2312" w:cs="仿宋_GB2312"/>
          <w:color w:val="auto"/>
          <w:sz w:val="32"/>
          <w:szCs w:val="32"/>
          <w:highlight w:val="none"/>
        </w:rPr>
        <w:t>考点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统筹各校疫情期间线上教育设备情况，确保线上教育一个不能少。协调相关部门为14所学校安装了人脸识别、测温一体机共107台。</w:t>
      </w:r>
      <w:r>
        <w:rPr>
          <w:rFonts w:hint="eastAsia" w:ascii="仿宋_GB2312" w:hAnsi="仿宋_GB2312" w:eastAsia="仿宋_GB2312" w:cs="仿宋_GB2312"/>
          <w:color w:val="auto"/>
          <w:sz w:val="32"/>
          <w:szCs w:val="32"/>
          <w:highlight w:val="none"/>
          <w:lang w:val="en-US" w:eastAsia="zh-CN"/>
        </w:rPr>
        <w:t>投入资金240万元为佛冈一中、佛冈中学、水头中学规划建设三间智慧图书馆。为城东中学、振兴小学规划建设数字教材全覆盖信息化中心校试点班。</w:t>
      </w:r>
    </w:p>
    <w:p>
      <w:pPr>
        <w:widowControl/>
        <w:wordWrap/>
        <w:adjustRightInd/>
        <w:snapToGrid/>
        <w:spacing w:line="560" w:lineRule="exact"/>
        <w:ind w:left="0" w:leftChars="0" w:right="0" w:firstLine="643" w:firstLineChars="200"/>
        <w:jc w:val="both"/>
        <w:textAlignment w:val="baseline"/>
        <w:rPr>
          <w:rFonts w:hint="eastAsia" w:ascii="仿宋_GB2312" w:hAnsi="仿宋_GB2312" w:eastAsia="仿宋_GB2312" w:cs="仿宋_GB2312"/>
          <w:color w:val="auto"/>
          <w:sz w:val="32"/>
          <w:szCs w:val="32"/>
          <w:highlight w:val="none"/>
          <w:lang w:val="en-US" w:eastAsia="zh-CN"/>
        </w:rPr>
      </w:pPr>
      <w:bookmarkStart w:id="39" w:name="_Toc29170"/>
      <w:bookmarkStart w:id="40" w:name="_Toc21289"/>
      <w:bookmarkStart w:id="41" w:name="_Toc22092"/>
      <w:r>
        <w:rPr>
          <w:rFonts w:hint="eastAsia" w:ascii="仿宋_GB2312" w:hAnsi="仿宋_GB2312" w:eastAsia="仿宋_GB2312" w:cs="仿宋_GB2312"/>
          <w:b/>
          <w:bCs/>
          <w:color w:val="auto"/>
          <w:sz w:val="32"/>
          <w:szCs w:val="32"/>
          <w:lang w:eastAsia="zh-CN"/>
        </w:rPr>
        <w:t>教师队伍建设取得重要突破。</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val="0"/>
          <w:color w:val="auto"/>
          <w:sz w:val="32"/>
          <w:szCs w:val="32"/>
          <w:lang w:eastAsia="zh-CN"/>
        </w:rPr>
        <w:t>持续</w:t>
      </w:r>
      <w:r>
        <w:rPr>
          <w:rFonts w:hint="eastAsia" w:ascii="仿宋_GB2312" w:hAnsi="仿宋_GB2312" w:eastAsia="仿宋_GB2312" w:cs="仿宋_GB2312"/>
          <w:color w:val="auto"/>
          <w:sz w:val="32"/>
          <w:szCs w:val="32"/>
        </w:rPr>
        <w:t>加强师德师风建设</w:t>
      </w:r>
      <w:r>
        <w:rPr>
          <w:rFonts w:hint="eastAsia" w:ascii="仿宋_GB2312" w:hAnsi="仿宋_GB2312" w:eastAsia="仿宋_GB2312" w:cs="仿宋_GB2312"/>
          <w:color w:val="auto"/>
          <w:sz w:val="32"/>
          <w:szCs w:val="32"/>
          <w:lang w:eastAsia="zh-CN"/>
        </w:rPr>
        <w:t>，不断提高教师综合素养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每年教师节进行优秀教师、优秀班主任，“最美乡村教师”等评选。</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中小学教师“县管校聘”</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顺利实现了</w:t>
      </w:r>
      <w:r>
        <w:rPr>
          <w:rFonts w:hint="eastAsia" w:ascii="仿宋_GB2312" w:hAnsi="仿宋_GB2312" w:eastAsia="仿宋_GB2312" w:cs="仿宋_GB2312"/>
          <w:color w:val="auto"/>
          <w:sz w:val="32"/>
          <w:szCs w:val="32"/>
        </w:rPr>
        <w:t>县域内统筹配置教师编制和岗位，师资队伍更</w:t>
      </w:r>
      <w:r>
        <w:rPr>
          <w:rFonts w:hint="eastAsia" w:ascii="仿宋_GB2312" w:hAnsi="仿宋_GB2312" w:eastAsia="仿宋_GB2312" w:cs="仿宋_GB2312"/>
          <w:color w:val="auto"/>
          <w:sz w:val="32"/>
          <w:szCs w:val="32"/>
          <w:lang w:eastAsia="zh-CN"/>
        </w:rPr>
        <w:t>加</w:t>
      </w:r>
      <w:r>
        <w:rPr>
          <w:rFonts w:hint="eastAsia" w:ascii="仿宋_GB2312" w:hAnsi="仿宋_GB2312" w:eastAsia="仿宋_GB2312" w:cs="仿宋_GB2312"/>
          <w:color w:val="auto"/>
          <w:sz w:val="32"/>
          <w:szCs w:val="32"/>
        </w:rPr>
        <w:t>均衡稳定。</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教师工资待遇“</w:t>
      </w:r>
      <w:r>
        <w:rPr>
          <w:rFonts w:hint="eastAsia" w:ascii="仿宋_GB2312" w:hAnsi="仿宋_GB2312" w:eastAsia="仿宋_GB2312" w:cs="仿宋_GB2312"/>
          <w:color w:val="auto"/>
          <w:sz w:val="32"/>
          <w:szCs w:val="32"/>
          <w:lang w:eastAsia="zh-CN"/>
        </w:rPr>
        <w:t>两个不低于或高于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同级农村教师比县城教师高一档工资待遇，为山区教师发放岗位津贴，实施义务教育学校绩效工资制度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不断提高教师的政治与社会地位。</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lang w:eastAsia="zh-CN"/>
        </w:rPr>
        <w:t>深入</w:t>
      </w:r>
      <w:r>
        <w:rPr>
          <w:rFonts w:hint="eastAsia" w:ascii="仿宋_GB2312" w:hAnsi="仿宋_GB2312" w:eastAsia="仿宋_GB2312" w:cs="仿宋_GB2312"/>
          <w:color w:val="auto"/>
          <w:sz w:val="32"/>
          <w:szCs w:val="32"/>
        </w:rPr>
        <w:t>实施强师工程和学历提升工程，</w:t>
      </w:r>
      <w:r>
        <w:rPr>
          <w:rFonts w:hint="eastAsia" w:ascii="仿宋_GB2312" w:hAnsi="仿宋_GB2312" w:eastAsia="仿宋_GB2312" w:cs="仿宋_GB2312"/>
          <w:color w:val="auto"/>
          <w:sz w:val="32"/>
          <w:szCs w:val="32"/>
          <w:lang w:eastAsia="zh-CN"/>
        </w:rPr>
        <w:t>每年</w:t>
      </w:r>
      <w:r>
        <w:rPr>
          <w:rFonts w:hint="eastAsia" w:ascii="仿宋_GB2312" w:hAnsi="仿宋_GB2312" w:eastAsia="仿宋_GB2312" w:cs="仿宋_GB2312"/>
          <w:color w:val="auto"/>
          <w:sz w:val="32"/>
          <w:szCs w:val="32"/>
        </w:rPr>
        <w:t>对校（园）长以及各层次教师</w:t>
      </w:r>
      <w:r>
        <w:rPr>
          <w:rFonts w:hint="eastAsia" w:ascii="仿宋_GB2312" w:hAnsi="仿宋_GB2312" w:eastAsia="仿宋_GB2312" w:cs="仿宋_GB2312"/>
          <w:color w:val="auto"/>
          <w:sz w:val="32"/>
          <w:szCs w:val="32"/>
          <w:lang w:eastAsia="zh-CN"/>
        </w:rPr>
        <w:t>组织开展</w:t>
      </w:r>
      <w:r>
        <w:rPr>
          <w:rFonts w:hint="eastAsia" w:ascii="仿宋_GB2312" w:hAnsi="仿宋_GB2312" w:eastAsia="仿宋_GB2312" w:cs="仿宋_GB2312"/>
          <w:color w:val="auto"/>
          <w:sz w:val="32"/>
          <w:szCs w:val="32"/>
        </w:rPr>
        <w:t>培训，不断提高全体教师立德树人的责任意识和教书育人的能力水平。</w:t>
      </w:r>
      <w:r>
        <w:rPr>
          <w:rFonts w:hint="eastAsia" w:ascii="仿宋_GB2312" w:hAnsi="仿宋_GB2312" w:eastAsia="仿宋_GB2312" w:cs="仿宋_GB2312"/>
          <w:color w:val="auto"/>
          <w:sz w:val="32"/>
          <w:szCs w:val="32"/>
          <w:lang w:eastAsia="zh-CN"/>
        </w:rPr>
        <w:t>出台教师学历提升奖补方案，对获得大专、本科、研究生学历的教师分别给予</w:t>
      </w:r>
      <w:r>
        <w:rPr>
          <w:rFonts w:hint="eastAsia" w:ascii="仿宋_GB2312" w:hAnsi="仿宋_GB2312" w:eastAsia="仿宋_GB2312" w:cs="仿宋_GB2312"/>
          <w:color w:val="auto"/>
          <w:sz w:val="32"/>
          <w:szCs w:val="32"/>
          <w:lang w:val="en-US" w:eastAsia="zh-CN"/>
        </w:rPr>
        <w:t>5000元、7000元、15000元的学费补助。5年来，共有356名教师进行了学历提升。</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sz w:val="32"/>
          <w:szCs w:val="32"/>
          <w:lang w:eastAsia="zh-CN"/>
        </w:rPr>
        <w:t>深入</w:t>
      </w:r>
      <w:r>
        <w:rPr>
          <w:rFonts w:hint="eastAsia" w:ascii="仿宋_GB2312" w:hAnsi="仿宋_GB2312" w:eastAsia="仿宋_GB2312" w:cs="仿宋_GB2312"/>
          <w:color w:val="auto"/>
          <w:sz w:val="32"/>
          <w:szCs w:val="32"/>
        </w:rPr>
        <w:t>实施“支教”工程，</w:t>
      </w:r>
      <w:r>
        <w:rPr>
          <w:rFonts w:hint="eastAsia" w:ascii="仿宋_GB2312" w:hAnsi="仿宋_GB2312" w:eastAsia="仿宋_GB2312" w:cs="仿宋_GB2312"/>
          <w:color w:val="auto"/>
          <w:sz w:val="32"/>
          <w:szCs w:val="32"/>
          <w:lang w:eastAsia="zh-CN"/>
        </w:rPr>
        <w:t>每年教师交流人数</w:t>
      </w:r>
      <w:r>
        <w:rPr>
          <w:rFonts w:hint="eastAsia" w:ascii="仿宋_GB2312" w:hAnsi="仿宋_GB2312" w:eastAsia="仿宋_GB2312" w:cs="仿宋_GB2312"/>
          <w:color w:val="auto"/>
          <w:sz w:val="32"/>
          <w:szCs w:val="32"/>
          <w:lang w:val="en-US" w:eastAsia="zh-CN"/>
        </w:rPr>
        <w:t>300-400人左右，交流率超过10%。</w:t>
      </w:r>
      <w:r>
        <w:rPr>
          <w:rFonts w:hint="eastAsia" w:ascii="仿宋_GB2312" w:hAnsi="仿宋_GB2312" w:eastAsia="仿宋_GB2312" w:cs="仿宋_GB2312"/>
          <w:color w:val="auto"/>
          <w:sz w:val="32"/>
          <w:szCs w:val="32"/>
        </w:rPr>
        <w:t>通过交流轮岗，促进了城乡之间、校际之间师资队伍均衡发展，有效提升了乡镇学校教育教学质量。</w:t>
      </w:r>
      <w:r>
        <w:rPr>
          <w:rFonts w:hint="eastAsia" w:ascii="仿宋_GB2312" w:hAnsi="仿宋_GB2312" w:eastAsia="仿宋_GB2312" w:cs="仿宋_GB2312"/>
          <w:b/>
          <w:bCs/>
          <w:color w:val="auto"/>
          <w:sz w:val="32"/>
          <w:szCs w:val="32"/>
          <w:lang w:eastAsia="zh-CN"/>
        </w:rPr>
        <w:t>六是</w:t>
      </w:r>
      <w:r>
        <w:rPr>
          <w:rFonts w:hint="eastAsia" w:ascii="仿宋_GB2312" w:hAnsi="仿宋_GB2312" w:eastAsia="仿宋_GB2312" w:cs="仿宋_GB2312"/>
          <w:color w:val="auto"/>
          <w:sz w:val="32"/>
          <w:szCs w:val="32"/>
        </w:rPr>
        <w:t>投资</w:t>
      </w:r>
      <w:r>
        <w:rPr>
          <w:rFonts w:hint="eastAsia" w:ascii="仿宋_GB2312" w:hAnsi="仿宋_GB2312" w:eastAsia="仿宋_GB2312" w:cs="仿宋_GB2312"/>
          <w:color w:val="auto"/>
          <w:sz w:val="32"/>
          <w:szCs w:val="32"/>
          <w:lang w:val="en-US" w:eastAsia="zh-CN"/>
        </w:rPr>
        <w:t>1209.41</w:t>
      </w:r>
      <w:r>
        <w:rPr>
          <w:rFonts w:hint="eastAsia" w:ascii="仿宋_GB2312" w:hAnsi="仿宋_GB2312" w:eastAsia="仿宋_GB2312" w:cs="仿宋_GB2312"/>
          <w:color w:val="auto"/>
          <w:sz w:val="32"/>
          <w:szCs w:val="32"/>
        </w:rPr>
        <w:t>万元建设县教师发展中心</w:t>
      </w:r>
      <w:r>
        <w:rPr>
          <w:rFonts w:hint="eastAsia" w:ascii="仿宋_GB2312" w:hAnsi="仿宋_GB2312" w:eastAsia="仿宋_GB2312" w:cs="仿宋_GB2312"/>
          <w:color w:val="auto"/>
          <w:sz w:val="32"/>
          <w:szCs w:val="32"/>
          <w:lang w:eastAsia="zh-CN"/>
        </w:rPr>
        <w:t>，为深入开展全县教师教研训工作打下坚实基础。</w:t>
      </w:r>
      <w:r>
        <w:rPr>
          <w:rFonts w:hint="eastAsia" w:ascii="仿宋_GB2312" w:hAnsi="仿宋_GB2312" w:eastAsia="仿宋_GB2312" w:cs="仿宋_GB2312"/>
          <w:b/>
          <w:bCs/>
          <w:color w:val="auto"/>
          <w:sz w:val="32"/>
          <w:szCs w:val="32"/>
          <w:lang w:eastAsia="zh-CN"/>
        </w:rPr>
        <w:t>七是</w:t>
      </w:r>
      <w:r>
        <w:rPr>
          <w:rFonts w:hint="eastAsia" w:ascii="仿宋_GB2312" w:hAnsi="仿宋_GB2312" w:eastAsia="仿宋_GB2312" w:cs="仿宋_GB2312"/>
          <w:color w:val="auto"/>
          <w:sz w:val="32"/>
          <w:szCs w:val="32"/>
          <w:lang w:eastAsia="zh-CN"/>
        </w:rPr>
        <w:t>教育科研能力不断提升，</w:t>
      </w:r>
      <w:r>
        <w:rPr>
          <w:rFonts w:hint="eastAsia" w:ascii="仿宋_GB2312" w:hAnsi="仿宋_GB2312" w:eastAsia="仿宋_GB2312" w:cs="仿宋_GB2312"/>
          <w:color w:val="auto"/>
          <w:sz w:val="32"/>
          <w:szCs w:val="32"/>
          <w:highlight w:val="none"/>
          <w:lang w:val="en-US" w:eastAsia="zh-CN"/>
        </w:rPr>
        <w:t>“十三五”期间我县省市县立项课题174项，比“十二五”增加了90项。2020年我县高级职称教师有252人，比“十二五”增加了76人。</w:t>
      </w:r>
    </w:p>
    <w:p>
      <w:pPr>
        <w:widowControl/>
        <w:wordWrap/>
        <w:adjustRightInd/>
        <w:snapToGrid/>
        <w:spacing w:line="560" w:lineRule="exact"/>
        <w:ind w:left="0" w:leftChars="0" w:right="0" w:firstLine="643" w:firstLineChars="200"/>
        <w:jc w:val="both"/>
        <w:textAlignment w:val="baseline"/>
        <w:rPr>
          <w:rFonts w:hint="eastAsia" w:ascii="仿宋_GB2312" w:hAnsi="仿宋_GB2312" w:eastAsia="仿宋_GB2312" w:cs="仿宋_GB2312"/>
          <w:color w:val="FF0000"/>
          <w:sz w:val="32"/>
          <w:szCs w:val="32"/>
        </w:rPr>
      </w:pPr>
      <w:r>
        <w:rPr>
          <w:rFonts w:hint="eastAsia" w:ascii="仿宋_GB2312" w:hAnsi="仿宋_GB2312" w:eastAsia="仿宋_GB2312" w:cs="仿宋_GB2312"/>
          <w:b/>
          <w:bCs/>
          <w:color w:val="auto"/>
          <w:sz w:val="32"/>
          <w:szCs w:val="32"/>
        </w:rPr>
        <w:t>教育帮扶</w:t>
      </w:r>
      <w:r>
        <w:rPr>
          <w:rFonts w:hint="eastAsia" w:ascii="仿宋_GB2312" w:hAnsi="仿宋_GB2312" w:eastAsia="仿宋_GB2312" w:cs="仿宋_GB2312"/>
          <w:b/>
          <w:bCs/>
          <w:color w:val="auto"/>
          <w:sz w:val="32"/>
          <w:szCs w:val="32"/>
          <w:lang w:eastAsia="zh-CN"/>
        </w:rPr>
        <w:t>工作不断深化</w:t>
      </w:r>
      <w:r>
        <w:rPr>
          <w:rFonts w:hint="eastAsia" w:ascii="仿宋_GB2312" w:hAnsi="仿宋_GB2312" w:eastAsia="仿宋_GB2312" w:cs="仿宋_GB2312"/>
          <w:b/>
          <w:bCs/>
          <w:color w:val="auto"/>
          <w:sz w:val="32"/>
          <w:szCs w:val="32"/>
        </w:rPr>
        <w:t>。</w:t>
      </w:r>
      <w:bookmarkEnd w:id="39"/>
      <w:bookmarkEnd w:id="40"/>
      <w:bookmarkEnd w:id="41"/>
      <w:r>
        <w:rPr>
          <w:rFonts w:hint="eastAsia" w:ascii="仿宋_GB2312" w:hAnsi="仿宋_GB2312" w:eastAsia="仿宋_GB2312" w:cs="仿宋_GB2312"/>
          <w:color w:val="auto"/>
          <w:sz w:val="32"/>
          <w:szCs w:val="32"/>
          <w:lang w:eastAsia="zh-CN"/>
        </w:rPr>
        <w:t>积极推进广州</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黄埔</w:t>
      </w:r>
      <w:r>
        <w:rPr>
          <w:rFonts w:hint="eastAsia" w:ascii="仿宋_GB2312" w:hAnsi="仿宋_GB2312" w:eastAsia="仿宋_GB2312" w:cs="仿宋_GB2312"/>
          <w:color w:val="auto"/>
          <w:sz w:val="32"/>
          <w:szCs w:val="32"/>
          <w:lang w:val="en-US" w:eastAsia="zh-CN"/>
        </w:rPr>
        <w:t>-佛冈教育帮扶工作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“十三五”</w:t>
      </w:r>
      <w:r>
        <w:rPr>
          <w:rFonts w:hint="eastAsia" w:ascii="仿宋_GB2312" w:hAnsi="仿宋_GB2312" w:eastAsia="仿宋_GB2312" w:cs="仿宋_GB2312"/>
          <w:color w:val="auto"/>
          <w:sz w:val="32"/>
          <w:szCs w:val="32"/>
        </w:rPr>
        <w:t>期间，广州</w:t>
      </w:r>
      <w:r>
        <w:rPr>
          <w:rFonts w:hint="eastAsia" w:ascii="仿宋_GB2312" w:hAnsi="仿宋_GB2312" w:eastAsia="仿宋_GB2312" w:cs="仿宋_GB2312"/>
          <w:color w:val="auto"/>
          <w:sz w:val="32"/>
          <w:szCs w:val="32"/>
          <w:lang w:eastAsia="zh-CN"/>
        </w:rPr>
        <w:t>黄埔区与我县</w:t>
      </w:r>
      <w:r>
        <w:rPr>
          <w:rFonts w:hint="eastAsia" w:ascii="仿宋_GB2312" w:hAnsi="仿宋_GB2312" w:eastAsia="仿宋_GB2312" w:cs="仿宋_GB2312"/>
          <w:color w:val="auto"/>
          <w:sz w:val="32"/>
          <w:szCs w:val="32"/>
        </w:rPr>
        <w:t>中小学“校镇结对”乡镇学校</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所，结对帮扶学校涵盖了义务教育、高中教育学校</w:t>
      </w:r>
      <w:r>
        <w:rPr>
          <w:rFonts w:hint="eastAsia" w:ascii="仿宋_GB2312" w:hAnsi="仿宋_GB2312" w:eastAsia="仿宋_GB2312" w:cs="仿宋_GB2312"/>
          <w:color w:val="auto"/>
          <w:sz w:val="32"/>
          <w:szCs w:val="32"/>
          <w:lang w:eastAsia="zh-CN"/>
        </w:rPr>
        <w:t>。黄埔、佛冈</w:t>
      </w:r>
      <w:r>
        <w:rPr>
          <w:rFonts w:hint="eastAsia" w:ascii="仿宋_GB2312" w:hAnsi="仿宋_GB2312" w:eastAsia="仿宋_GB2312" w:cs="仿宋_GB2312"/>
          <w:color w:val="auto"/>
          <w:sz w:val="32"/>
          <w:szCs w:val="32"/>
        </w:rPr>
        <w:t>两地累计组织教师、校长进行培训、跟岗学习交流活动</w:t>
      </w:r>
      <w:r>
        <w:rPr>
          <w:rFonts w:hint="eastAsia" w:ascii="仿宋_GB2312" w:hAnsi="仿宋_GB2312" w:eastAsia="仿宋_GB2312" w:cs="仿宋_GB2312"/>
          <w:color w:val="auto"/>
          <w:sz w:val="32"/>
          <w:szCs w:val="32"/>
          <w:lang w:val="en-US" w:eastAsia="zh-CN"/>
        </w:rPr>
        <w:t>105多场</w:t>
      </w:r>
      <w:r>
        <w:rPr>
          <w:rFonts w:hint="eastAsia" w:ascii="仿宋_GB2312" w:hAnsi="仿宋_GB2312" w:eastAsia="仿宋_GB2312" w:cs="仿宋_GB2312"/>
          <w:color w:val="auto"/>
          <w:sz w:val="32"/>
          <w:szCs w:val="32"/>
        </w:rPr>
        <w:t>；培育骨干教师（含校长）</w:t>
      </w:r>
      <w:r>
        <w:rPr>
          <w:rFonts w:hint="eastAsia" w:ascii="仿宋_GB2312" w:hAnsi="仿宋_GB2312" w:eastAsia="仿宋_GB2312" w:cs="仿宋_GB2312"/>
          <w:color w:val="auto"/>
          <w:sz w:val="32"/>
          <w:szCs w:val="32"/>
          <w:lang w:val="en-US" w:eastAsia="zh-CN"/>
        </w:rPr>
        <w:t>2292多</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。筹</w:t>
      </w:r>
      <w:r>
        <w:rPr>
          <w:rFonts w:hint="eastAsia" w:ascii="仿宋_GB2312" w:hAnsi="仿宋_GB2312" w:eastAsia="仿宋_GB2312" w:cs="仿宋_GB2312"/>
          <w:color w:val="auto"/>
          <w:sz w:val="32"/>
          <w:szCs w:val="32"/>
        </w:rPr>
        <w:t>措资金约</w:t>
      </w:r>
      <w:r>
        <w:rPr>
          <w:rFonts w:hint="eastAsia" w:ascii="仿宋_GB2312" w:hAnsi="仿宋_GB2312" w:eastAsia="仿宋_GB2312" w:cs="仿宋_GB2312"/>
          <w:color w:val="auto"/>
          <w:sz w:val="32"/>
          <w:szCs w:val="32"/>
          <w:lang w:val="en-US" w:eastAsia="zh-CN"/>
        </w:rPr>
        <w:t>1242万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共涉及项目</w:t>
      </w:r>
      <w:r>
        <w:rPr>
          <w:rFonts w:hint="eastAsia" w:ascii="仿宋_GB2312" w:hAnsi="仿宋_GB2312" w:eastAsia="仿宋_GB2312" w:cs="仿宋_GB2312"/>
          <w:color w:val="auto"/>
          <w:sz w:val="32"/>
          <w:szCs w:val="32"/>
          <w:lang w:val="en-US" w:eastAsia="zh-CN"/>
        </w:rPr>
        <w:t>9个，</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eastAsia="zh-CN"/>
        </w:rPr>
        <w:t>我县扩建学校</w:t>
      </w:r>
      <w:r>
        <w:rPr>
          <w:rFonts w:hint="eastAsia" w:ascii="仿宋_GB2312" w:hAnsi="仿宋_GB2312" w:eastAsia="仿宋_GB2312" w:cs="仿宋_GB2312"/>
          <w:color w:val="auto"/>
          <w:sz w:val="32"/>
          <w:szCs w:val="32"/>
          <w:lang w:val="en-US" w:eastAsia="zh-CN"/>
        </w:rPr>
        <w:t>4所，</w:t>
      </w:r>
      <w:r>
        <w:rPr>
          <w:rFonts w:hint="eastAsia" w:ascii="仿宋_GB2312" w:hAnsi="仿宋_GB2312" w:eastAsia="仿宋_GB2312" w:cs="仿宋_GB2312"/>
          <w:color w:val="auto"/>
          <w:sz w:val="32"/>
          <w:szCs w:val="32"/>
        </w:rPr>
        <w:t>累计增加</w:t>
      </w:r>
      <w:r>
        <w:rPr>
          <w:rFonts w:hint="eastAsia" w:ascii="仿宋_GB2312" w:hAnsi="仿宋_GB2312" w:eastAsia="仿宋_GB2312" w:cs="仿宋_GB2312"/>
          <w:color w:val="auto"/>
          <w:sz w:val="32"/>
          <w:szCs w:val="32"/>
          <w:lang w:eastAsia="zh-CN"/>
        </w:rPr>
        <w:t>小学</w:t>
      </w:r>
      <w:r>
        <w:rPr>
          <w:rFonts w:hint="eastAsia" w:ascii="仿宋_GB2312" w:hAnsi="仿宋_GB2312" w:eastAsia="仿宋_GB2312" w:cs="仿宋_GB2312"/>
          <w:color w:val="auto"/>
          <w:sz w:val="32"/>
          <w:szCs w:val="32"/>
        </w:rPr>
        <w:t>学位</w:t>
      </w:r>
      <w:r>
        <w:rPr>
          <w:rFonts w:hint="eastAsia" w:ascii="仿宋_GB2312" w:hAnsi="仿宋_GB2312" w:eastAsia="仿宋_GB2312" w:cs="仿宋_GB2312"/>
          <w:color w:val="auto"/>
          <w:sz w:val="32"/>
          <w:szCs w:val="32"/>
          <w:lang w:val="en-US" w:eastAsia="zh-CN"/>
        </w:rPr>
        <w:t>1935</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；投入</w:t>
      </w:r>
      <w:r>
        <w:rPr>
          <w:rFonts w:hint="eastAsia" w:ascii="仿宋_GB2312" w:hAnsi="仿宋_GB2312" w:eastAsia="仿宋_GB2312" w:cs="仿宋_GB2312"/>
          <w:color w:val="auto"/>
          <w:sz w:val="32"/>
          <w:szCs w:val="32"/>
          <w:lang w:val="en-US" w:eastAsia="zh-CN"/>
        </w:rPr>
        <w:t>292万元</w:t>
      </w:r>
      <w:r>
        <w:rPr>
          <w:rFonts w:hint="eastAsia" w:ascii="仿宋_GB2312" w:hAnsi="仿宋_GB2312" w:eastAsia="仿宋_GB2312" w:cs="仿宋_GB2312"/>
          <w:color w:val="auto"/>
          <w:sz w:val="32"/>
          <w:szCs w:val="32"/>
          <w:lang w:eastAsia="zh-CN"/>
        </w:rPr>
        <w:t>帮助我县</w:t>
      </w:r>
      <w:r>
        <w:rPr>
          <w:rFonts w:hint="eastAsia" w:ascii="仿宋_GB2312" w:hAnsi="仿宋_GB2312" w:eastAsia="仿宋_GB2312" w:cs="仿宋_GB2312"/>
          <w:color w:val="auto"/>
          <w:sz w:val="32"/>
          <w:szCs w:val="32"/>
          <w:lang w:val="en-US" w:eastAsia="zh-CN"/>
        </w:rPr>
        <w:t>4所</w:t>
      </w:r>
      <w:r>
        <w:rPr>
          <w:rFonts w:hint="eastAsia" w:ascii="仿宋_GB2312" w:hAnsi="仿宋_GB2312" w:eastAsia="仿宋_GB2312" w:cs="仿宋_GB2312"/>
          <w:color w:val="auto"/>
          <w:sz w:val="32"/>
          <w:szCs w:val="32"/>
          <w:lang w:eastAsia="zh-CN"/>
        </w:rPr>
        <w:t>学校建设塑胶跑道田径运动场</w:t>
      </w:r>
      <w:r>
        <w:rPr>
          <w:rFonts w:hint="eastAsia" w:ascii="仿宋_GB2312" w:hAnsi="仿宋_GB2312" w:eastAsia="仿宋_GB2312" w:cs="仿宋_GB2312"/>
          <w:color w:val="auto"/>
          <w:sz w:val="32"/>
          <w:szCs w:val="32"/>
        </w:rPr>
        <w:t>。</w:t>
      </w:r>
    </w:p>
    <w:p>
      <w:pPr>
        <w:widowControl/>
        <w:wordWrap/>
        <w:adjustRightInd/>
        <w:snapToGrid/>
        <w:spacing w:line="560" w:lineRule="exact"/>
        <w:ind w:left="0" w:leftChars="0" w:right="0" w:firstLine="643" w:firstLineChars="200"/>
        <w:jc w:val="both"/>
        <w:textAlignment w:val="baseline"/>
        <w:rPr>
          <w:rFonts w:hint="eastAsia" w:ascii="仿宋_GB2312" w:hAnsi="仿宋_GB2312" w:eastAsia="仿宋_GB2312" w:cs="仿宋_GB2312"/>
          <w:color w:val="auto"/>
          <w:sz w:val="32"/>
          <w:szCs w:val="32"/>
        </w:rPr>
      </w:pPr>
      <w:bookmarkStart w:id="42" w:name="_Toc21896"/>
      <w:bookmarkStart w:id="43" w:name="_Toc21231"/>
      <w:bookmarkStart w:id="44" w:name="_Toc2289"/>
      <w:r>
        <w:rPr>
          <w:rFonts w:hint="eastAsia" w:ascii="仿宋_GB2312" w:hAnsi="仿宋_GB2312" w:eastAsia="仿宋_GB2312" w:cs="仿宋_GB2312"/>
          <w:b/>
          <w:bCs/>
          <w:color w:val="auto"/>
          <w:sz w:val="32"/>
          <w:szCs w:val="32"/>
        </w:rPr>
        <w:t>扶贫助学</w:t>
      </w:r>
      <w:r>
        <w:rPr>
          <w:rFonts w:hint="eastAsia" w:ascii="仿宋_GB2312" w:hAnsi="仿宋_GB2312" w:eastAsia="仿宋_GB2312" w:cs="仿宋_GB2312"/>
          <w:b/>
          <w:bCs/>
          <w:color w:val="auto"/>
          <w:sz w:val="32"/>
          <w:szCs w:val="32"/>
          <w:lang w:eastAsia="zh-CN"/>
        </w:rPr>
        <w:t>彰显公平</w:t>
      </w:r>
      <w:r>
        <w:rPr>
          <w:rFonts w:hint="eastAsia" w:ascii="仿宋_GB2312" w:hAnsi="仿宋_GB2312" w:eastAsia="仿宋_GB2312" w:cs="仿宋_GB2312"/>
          <w:b/>
          <w:bCs/>
          <w:color w:val="auto"/>
          <w:sz w:val="32"/>
          <w:szCs w:val="32"/>
        </w:rPr>
        <w:t>。</w:t>
      </w:r>
      <w:bookmarkEnd w:id="42"/>
      <w:bookmarkEnd w:id="43"/>
      <w:bookmarkEnd w:id="44"/>
      <w:r>
        <w:rPr>
          <w:rFonts w:hint="eastAsia" w:ascii="仿宋_GB2312" w:hAnsi="仿宋_GB2312" w:eastAsia="仿宋_GB2312" w:cs="仿宋_GB2312"/>
          <w:color w:val="auto"/>
          <w:sz w:val="32"/>
          <w:szCs w:val="32"/>
          <w:lang w:eastAsia="zh-CN"/>
        </w:rPr>
        <w:t>大力</w:t>
      </w:r>
      <w:r>
        <w:rPr>
          <w:rFonts w:hint="eastAsia" w:ascii="仿宋_GB2312" w:hAnsi="仿宋_GB2312" w:eastAsia="仿宋_GB2312" w:cs="仿宋_GB2312"/>
          <w:color w:val="auto"/>
          <w:sz w:val="32"/>
          <w:szCs w:val="32"/>
        </w:rPr>
        <w:t>实施“农村义务教育阶段学生营养改善计划”和“</w:t>
      </w:r>
      <w:r>
        <w:rPr>
          <w:rFonts w:hint="eastAsia" w:ascii="仿宋_GB2312" w:hAnsi="仿宋_GB2312" w:eastAsia="仿宋_GB2312" w:cs="仿宋_GB2312"/>
          <w:color w:val="auto"/>
          <w:sz w:val="32"/>
          <w:szCs w:val="32"/>
          <w:lang w:eastAsia="zh-CN"/>
        </w:rPr>
        <w:t>家庭困难学生资助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2016年至2020年未，资助农村义务教育阶段学生营养改善计划学生</w:t>
      </w:r>
      <w:r>
        <w:rPr>
          <w:rFonts w:hint="eastAsia" w:ascii="仿宋_GB2312" w:hAnsi="仿宋_GB2312" w:eastAsia="仿宋_GB2312" w:cs="仿宋_GB2312"/>
          <w:color w:val="auto"/>
          <w:sz w:val="32"/>
          <w:szCs w:val="32"/>
          <w:lang w:val="en-US" w:eastAsia="zh-CN"/>
        </w:rPr>
        <w:t>20777</w:t>
      </w:r>
      <w:r>
        <w:rPr>
          <w:rFonts w:hint="eastAsia" w:ascii="仿宋_GB2312" w:hAnsi="仿宋_GB2312" w:eastAsia="仿宋_GB2312" w:cs="仿宋_GB2312"/>
          <w:color w:val="auto"/>
          <w:sz w:val="32"/>
          <w:szCs w:val="32"/>
          <w:lang w:eastAsia="zh-CN"/>
        </w:rPr>
        <w:t>人次,资助金额达</w:t>
      </w:r>
      <w:r>
        <w:rPr>
          <w:rFonts w:hint="eastAsia" w:ascii="仿宋_GB2312" w:hAnsi="仿宋_GB2312" w:eastAsia="仿宋_GB2312" w:cs="仿宋_GB2312"/>
          <w:color w:val="auto"/>
          <w:sz w:val="32"/>
          <w:szCs w:val="32"/>
          <w:lang w:val="en-US" w:eastAsia="zh-CN"/>
        </w:rPr>
        <w:t>623.31</w:t>
      </w:r>
      <w:r>
        <w:rPr>
          <w:rFonts w:hint="eastAsia" w:ascii="仿宋_GB2312" w:hAnsi="仿宋_GB2312" w:eastAsia="仿宋_GB2312" w:cs="仿宋_GB2312"/>
          <w:color w:val="auto"/>
          <w:sz w:val="32"/>
          <w:szCs w:val="32"/>
          <w:lang w:eastAsia="zh-CN"/>
        </w:rPr>
        <w:t>万元以上。资助家庭经济困难学生累计</w:t>
      </w:r>
      <w:r>
        <w:rPr>
          <w:rFonts w:hint="eastAsia" w:ascii="仿宋_GB2312" w:hAnsi="仿宋_GB2312" w:eastAsia="仿宋_GB2312" w:cs="仿宋_GB2312"/>
          <w:color w:val="auto"/>
          <w:sz w:val="32"/>
          <w:szCs w:val="32"/>
          <w:lang w:val="en-US" w:eastAsia="zh-CN"/>
        </w:rPr>
        <w:t>107547</w:t>
      </w:r>
      <w:r>
        <w:rPr>
          <w:rFonts w:hint="eastAsia" w:ascii="仿宋_GB2312" w:hAnsi="仿宋_GB2312" w:eastAsia="仿宋_GB2312" w:cs="仿宋_GB2312"/>
          <w:color w:val="auto"/>
          <w:sz w:val="32"/>
          <w:szCs w:val="32"/>
          <w:lang w:eastAsia="zh-CN"/>
        </w:rPr>
        <w:t>人次、资助金额</w:t>
      </w:r>
      <w:r>
        <w:rPr>
          <w:rFonts w:hint="eastAsia" w:ascii="仿宋_GB2312" w:hAnsi="仿宋_GB2312" w:eastAsia="仿宋_GB2312" w:cs="仿宋_GB2312"/>
          <w:color w:val="auto"/>
          <w:sz w:val="32"/>
          <w:szCs w:val="32"/>
          <w:lang w:val="en-US" w:eastAsia="zh-CN"/>
        </w:rPr>
        <w:t>8658.71</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进城务工人员随迁子女</w:t>
      </w:r>
      <w:r>
        <w:rPr>
          <w:rFonts w:hint="eastAsia" w:ascii="仿宋_GB2312" w:hAnsi="仿宋_GB2312" w:eastAsia="仿宋_GB2312" w:cs="仿宋_GB2312"/>
          <w:color w:val="auto"/>
          <w:sz w:val="32"/>
          <w:szCs w:val="32"/>
          <w:lang w:eastAsia="zh-CN"/>
        </w:rPr>
        <w:t>入读</w:t>
      </w:r>
      <w:r>
        <w:rPr>
          <w:rFonts w:hint="eastAsia" w:ascii="仿宋_GB2312" w:hAnsi="仿宋_GB2312" w:eastAsia="仿宋_GB2312" w:cs="仿宋_GB2312"/>
          <w:color w:val="auto"/>
          <w:sz w:val="32"/>
          <w:szCs w:val="32"/>
        </w:rPr>
        <w:t>问题</w:t>
      </w:r>
      <w:r>
        <w:rPr>
          <w:rFonts w:hint="eastAsia" w:ascii="仿宋_GB2312" w:hAnsi="仿宋_GB2312" w:eastAsia="仿宋_GB2312" w:cs="仿宋_GB2312"/>
          <w:color w:val="auto"/>
          <w:sz w:val="32"/>
          <w:szCs w:val="32"/>
          <w:lang w:eastAsia="zh-CN"/>
        </w:rPr>
        <w:t>一视同仁</w:t>
      </w:r>
      <w:r>
        <w:rPr>
          <w:rFonts w:hint="eastAsia" w:ascii="仿宋_GB2312" w:hAnsi="仿宋_GB2312" w:eastAsia="仿宋_GB2312" w:cs="仿宋_GB2312"/>
          <w:color w:val="auto"/>
          <w:sz w:val="32"/>
          <w:szCs w:val="32"/>
        </w:rPr>
        <w:t>，进城务工人员随迁子女入读公办学校占比达100</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
    <w:p>
      <w:pPr>
        <w:pStyle w:val="3"/>
        <w:wordWrap/>
        <w:adjustRightInd/>
        <w:snapToGrid/>
        <w:spacing w:line="560" w:lineRule="exact"/>
        <w:ind w:left="0" w:leftChars="0" w:right="0"/>
        <w:rPr>
          <w:rFonts w:hint="eastAsia" w:ascii="楷体_GB2312" w:hAnsi="楷体_GB2312" w:eastAsia="楷体_GB2312" w:cs="楷体_GB2312"/>
          <w:color w:val="auto"/>
          <w:szCs w:val="32"/>
        </w:rPr>
      </w:pPr>
      <w:bookmarkStart w:id="45" w:name="_Toc17443"/>
      <w:bookmarkStart w:id="46" w:name="_Toc22554"/>
      <w:bookmarkStart w:id="47" w:name="_Toc6559"/>
      <w:bookmarkStart w:id="48" w:name="_Toc30337"/>
      <w:bookmarkStart w:id="49" w:name="_Toc14392"/>
      <w:bookmarkStart w:id="50" w:name="_Toc67038416"/>
      <w:bookmarkStart w:id="51" w:name="_Toc11958"/>
      <w:bookmarkStart w:id="52" w:name="_Toc17053_WPSOffice_Level2"/>
      <w:bookmarkStart w:id="53" w:name="_Toc25865"/>
      <w:bookmarkStart w:id="54" w:name="_Toc27203"/>
      <w:r>
        <w:rPr>
          <w:rFonts w:hint="eastAsia"/>
          <w:color w:val="auto"/>
        </w:rPr>
        <w:t>（五）教育体制机制改革</w:t>
      </w:r>
      <w:bookmarkEnd w:id="45"/>
      <w:bookmarkEnd w:id="46"/>
      <w:bookmarkEnd w:id="47"/>
      <w:bookmarkEnd w:id="48"/>
      <w:bookmarkEnd w:id="49"/>
      <w:bookmarkEnd w:id="50"/>
      <w:bookmarkEnd w:id="51"/>
      <w:bookmarkEnd w:id="52"/>
      <w:r>
        <w:rPr>
          <w:rFonts w:hint="eastAsia"/>
          <w:color w:val="auto"/>
          <w:lang w:eastAsia="zh-CN"/>
        </w:rPr>
        <w:t>初显成效</w:t>
      </w:r>
      <w:bookmarkEnd w:id="53"/>
      <w:bookmarkEnd w:id="54"/>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先后</w:t>
      </w:r>
      <w:r>
        <w:rPr>
          <w:rFonts w:hint="eastAsia" w:ascii="仿宋_GB2312" w:hAnsi="仿宋_GB2312" w:eastAsia="仿宋_GB2312" w:cs="仿宋_GB2312"/>
          <w:color w:val="auto"/>
          <w:sz w:val="32"/>
          <w:szCs w:val="32"/>
          <w:lang w:eastAsia="zh-CN"/>
        </w:rPr>
        <w:t>印发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佛冈县</w:t>
      </w:r>
      <w:r>
        <w:rPr>
          <w:rFonts w:hint="eastAsia" w:ascii="仿宋_GB2312" w:hAnsi="仿宋_GB2312" w:eastAsia="仿宋_GB2312" w:cs="仿宋_GB2312"/>
          <w:color w:val="auto"/>
          <w:sz w:val="32"/>
          <w:szCs w:val="32"/>
        </w:rPr>
        <w:t>人民政府办公室关于推进全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中小学校教师“县管校聘”管理改革工作的</w:t>
      </w:r>
      <w:r>
        <w:rPr>
          <w:rFonts w:hint="eastAsia" w:ascii="仿宋_GB2312" w:hAnsi="仿宋_GB2312" w:eastAsia="仿宋_GB2312" w:cs="仿宋_GB2312"/>
          <w:color w:val="auto"/>
          <w:sz w:val="32"/>
          <w:szCs w:val="32"/>
          <w:lang w:eastAsia="zh-CN"/>
        </w:rPr>
        <w:t>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佛冈县关于建立教育发展共同体推进义务教育优质均衡发展的实施意见</w:t>
      </w:r>
      <w:r>
        <w:rPr>
          <w:rFonts w:hint="eastAsia" w:ascii="仿宋_GB2312" w:hAnsi="仿宋_GB2312" w:eastAsia="仿宋_GB2312" w:cs="仿宋_GB2312"/>
          <w:color w:val="auto"/>
          <w:sz w:val="32"/>
          <w:szCs w:val="32"/>
        </w:rPr>
        <w:t>》等文件，稳步推进“县管校聘”</w:t>
      </w:r>
      <w:r>
        <w:rPr>
          <w:rFonts w:hint="eastAsia" w:ascii="仿宋_GB2312" w:hAnsi="仿宋_GB2312" w:eastAsia="仿宋_GB2312" w:cs="仿宋_GB2312"/>
          <w:color w:val="auto"/>
          <w:sz w:val="32"/>
          <w:szCs w:val="32"/>
          <w:lang w:eastAsia="zh-CN"/>
        </w:rPr>
        <w:t>“教育发展共同体”建设</w:t>
      </w:r>
      <w:r>
        <w:rPr>
          <w:rFonts w:hint="eastAsia" w:ascii="仿宋_GB2312" w:hAnsi="仿宋_GB2312" w:eastAsia="仿宋_GB2312" w:cs="仿宋_GB2312"/>
          <w:color w:val="auto"/>
          <w:sz w:val="32"/>
          <w:szCs w:val="32"/>
        </w:rPr>
        <w:t>等改革工作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lang w:eastAsia="zh-CN"/>
        </w:rPr>
        <w:t>完成了</w:t>
      </w:r>
      <w:r>
        <w:rPr>
          <w:rFonts w:hint="eastAsia" w:ascii="仿宋_GB2312" w:hAnsi="仿宋_GB2312" w:eastAsia="仿宋_GB2312" w:cs="仿宋_GB2312"/>
          <w:color w:val="auto"/>
          <w:sz w:val="32"/>
          <w:szCs w:val="32"/>
        </w:rPr>
        <w:t>中小学教师“县管校聘”管理改革</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lang w:val="en-US" w:eastAsia="zh-CN"/>
        </w:rPr>
        <w:t>2753名教师参加了竞聘工作，</w:t>
      </w:r>
      <w:r>
        <w:rPr>
          <w:rFonts w:hint="eastAsia" w:ascii="仿宋_GB2312" w:hAnsi="仿宋_GB2312" w:eastAsia="仿宋_GB2312" w:cs="仿宋_GB2312"/>
          <w:color w:val="auto"/>
          <w:sz w:val="32"/>
          <w:szCs w:val="32"/>
          <w:lang w:eastAsia="zh-CN"/>
        </w:rPr>
        <w:t>实现</w:t>
      </w:r>
      <w:r>
        <w:rPr>
          <w:rFonts w:hint="eastAsia" w:ascii="仿宋_GB2312" w:hAnsi="仿宋_GB2312" w:eastAsia="仿宋_GB2312" w:cs="仿宋_GB2312"/>
          <w:color w:val="auto"/>
          <w:sz w:val="32"/>
          <w:szCs w:val="32"/>
        </w:rPr>
        <w:t>教师由“学校人”向“系统人”转变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全县共成立中小学教育集团8个，其中小学阶段教育集团6个，初中阶段教育集团2个</w:t>
      </w:r>
      <w:r>
        <w:rPr>
          <w:rFonts w:hint="eastAsia" w:ascii="仿宋_GB2312" w:hAnsi="仿宋_GB2312" w:eastAsia="仿宋_GB2312" w:cs="仿宋_GB2312"/>
          <w:color w:val="auto"/>
          <w:sz w:val="32"/>
          <w:szCs w:val="32"/>
        </w:rPr>
        <w:t>。</w:t>
      </w:r>
      <w:bookmarkStart w:id="55" w:name="_Toc18757"/>
      <w:bookmarkStart w:id="56" w:name="_Toc6277"/>
      <w:bookmarkStart w:id="57" w:name="_Toc67038418"/>
    </w:p>
    <w:p>
      <w:pPr>
        <w:widowControl/>
        <w:wordWrap/>
        <w:adjustRightInd/>
        <w:snapToGrid/>
        <w:spacing w:line="560" w:lineRule="exact"/>
        <w:ind w:left="0" w:leftChars="0" w:right="0"/>
        <w:jc w:val="both"/>
        <w:textAlignment w:val="baseline"/>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 xml:space="preserve">    </w:t>
      </w:r>
    </w:p>
    <w:p>
      <w:pPr>
        <w:widowControl/>
        <w:wordWrap/>
        <w:adjustRightInd/>
        <w:snapToGrid/>
        <w:spacing w:line="560" w:lineRule="exact"/>
        <w:ind w:left="0" w:leftChars="0" w:right="0"/>
        <w:jc w:val="both"/>
        <w:textAlignment w:val="baseline"/>
        <w:rPr>
          <w:rFonts w:hint="eastAsia" w:ascii="黑体" w:hAnsi="黑体" w:eastAsia="黑体" w:cs="黑体"/>
          <w:color w:val="auto"/>
          <w:sz w:val="30"/>
          <w:szCs w:val="30"/>
          <w:lang w:val="en-US" w:eastAsia="zh-CN"/>
        </w:rPr>
      </w:pPr>
    </w:p>
    <w:p>
      <w:pPr>
        <w:widowControl/>
        <w:wordWrap/>
        <w:adjustRightInd/>
        <w:snapToGrid/>
        <w:spacing w:line="560" w:lineRule="exact"/>
        <w:ind w:left="0" w:leftChars="0" w:right="0"/>
        <w:jc w:val="both"/>
        <w:textAlignment w:val="baseline"/>
        <w:rPr>
          <w:rFonts w:hint="eastAsia" w:ascii="黑体" w:hAnsi="黑体" w:eastAsia="黑体" w:cs="黑体"/>
          <w:color w:val="auto"/>
          <w:sz w:val="30"/>
          <w:szCs w:val="30"/>
          <w:lang w:val="en-US" w:eastAsia="zh-CN"/>
        </w:rPr>
      </w:pPr>
    </w:p>
    <w:p>
      <w:pPr>
        <w:widowControl/>
        <w:wordWrap/>
        <w:adjustRightInd/>
        <w:snapToGrid/>
        <w:spacing w:line="560" w:lineRule="exact"/>
        <w:ind w:left="0" w:leftChars="0" w:right="0"/>
        <w:jc w:val="both"/>
        <w:textAlignment w:val="baseline"/>
        <w:rPr>
          <w:rFonts w:hint="eastAsia" w:ascii="黑体" w:hAnsi="黑体" w:eastAsia="黑体" w:cs="黑体"/>
          <w:color w:val="auto"/>
          <w:sz w:val="30"/>
          <w:szCs w:val="30"/>
          <w:lang w:val="en-US" w:eastAsia="zh-CN"/>
        </w:rPr>
      </w:pPr>
    </w:p>
    <w:p>
      <w:pPr>
        <w:widowControl/>
        <w:wordWrap/>
        <w:adjustRightInd/>
        <w:snapToGrid/>
        <w:spacing w:line="560" w:lineRule="exact"/>
        <w:ind w:left="0" w:leftChars="0" w:right="0"/>
        <w:jc w:val="both"/>
        <w:textAlignment w:val="baseline"/>
        <w:rPr>
          <w:rFonts w:hint="eastAsia" w:ascii="黑体" w:hAnsi="黑体" w:eastAsia="黑体" w:cs="黑体"/>
          <w:color w:val="auto"/>
          <w:sz w:val="30"/>
          <w:szCs w:val="30"/>
          <w:lang w:val="en-US" w:eastAsia="zh-CN"/>
        </w:rPr>
      </w:pPr>
    </w:p>
    <w:p>
      <w:pPr>
        <w:widowControl/>
        <w:wordWrap/>
        <w:adjustRightInd/>
        <w:snapToGrid/>
        <w:spacing w:line="560" w:lineRule="exact"/>
        <w:ind w:left="0" w:leftChars="0" w:right="0"/>
        <w:jc w:val="both"/>
        <w:textAlignment w:val="baseline"/>
        <w:rPr>
          <w:rFonts w:hint="eastAsia" w:ascii="黑体" w:hAnsi="黑体" w:eastAsia="黑体" w:cs="黑体"/>
          <w:color w:val="auto"/>
          <w:sz w:val="30"/>
          <w:szCs w:val="30"/>
          <w:lang w:val="en-US" w:eastAsia="zh-CN"/>
        </w:rPr>
      </w:pPr>
    </w:p>
    <w:p>
      <w:pPr>
        <w:widowControl/>
        <w:wordWrap/>
        <w:adjustRightInd/>
        <w:snapToGrid/>
        <w:spacing w:line="560" w:lineRule="exact"/>
        <w:ind w:left="0" w:leftChars="0" w:right="0"/>
        <w:jc w:val="both"/>
        <w:textAlignment w:val="baseline"/>
        <w:rPr>
          <w:rFonts w:hint="eastAsia" w:ascii="黑体" w:hAnsi="黑体" w:eastAsia="黑体" w:cs="黑体"/>
          <w:color w:val="auto"/>
          <w:sz w:val="30"/>
          <w:szCs w:val="30"/>
          <w:lang w:val="en-US" w:eastAsia="zh-CN"/>
        </w:rPr>
      </w:pPr>
    </w:p>
    <w:p>
      <w:pPr>
        <w:widowControl/>
        <w:wordWrap/>
        <w:adjustRightInd/>
        <w:snapToGrid/>
        <w:spacing w:line="560" w:lineRule="exact"/>
        <w:ind w:left="0" w:leftChars="0" w:right="0"/>
        <w:jc w:val="both"/>
        <w:textAlignment w:val="baseline"/>
        <w:rPr>
          <w:rFonts w:hint="eastAsia" w:ascii="黑体" w:hAnsi="黑体" w:eastAsia="黑体" w:cs="黑体"/>
          <w:color w:val="auto"/>
          <w:sz w:val="30"/>
          <w:szCs w:val="30"/>
          <w:lang w:val="en-US" w:eastAsia="zh-CN"/>
        </w:rPr>
      </w:pPr>
    </w:p>
    <w:p>
      <w:pPr>
        <w:widowControl/>
        <w:wordWrap/>
        <w:adjustRightInd/>
        <w:snapToGrid/>
        <w:spacing w:line="560" w:lineRule="exact"/>
        <w:ind w:left="0" w:leftChars="0" w:right="0"/>
        <w:jc w:val="both"/>
        <w:textAlignment w:val="baseline"/>
        <w:rPr>
          <w:rFonts w:hint="eastAsia" w:ascii="黑体" w:hAnsi="黑体" w:eastAsia="黑体" w:cs="黑体"/>
          <w:color w:val="auto"/>
          <w:sz w:val="30"/>
          <w:szCs w:val="30"/>
          <w:lang w:val="en-US" w:eastAsia="zh-CN"/>
        </w:rPr>
      </w:pPr>
    </w:p>
    <w:p>
      <w:pPr>
        <w:widowControl/>
        <w:wordWrap/>
        <w:adjustRightInd/>
        <w:snapToGrid/>
        <w:spacing w:line="560" w:lineRule="exact"/>
        <w:ind w:left="0" w:leftChars="0" w:right="0"/>
        <w:jc w:val="both"/>
        <w:textAlignment w:val="baseline"/>
        <w:rPr>
          <w:rFonts w:hint="eastAsia" w:ascii="黑体" w:hAnsi="黑体" w:eastAsia="黑体" w:cs="黑体"/>
          <w:color w:val="auto"/>
          <w:sz w:val="30"/>
          <w:szCs w:val="30"/>
          <w:lang w:val="en-US" w:eastAsia="zh-CN"/>
        </w:rPr>
      </w:pPr>
    </w:p>
    <w:p>
      <w:pPr>
        <w:widowControl/>
        <w:wordWrap/>
        <w:adjustRightInd/>
        <w:snapToGrid/>
        <w:spacing w:line="560" w:lineRule="exact"/>
        <w:ind w:left="0" w:leftChars="0" w:right="0"/>
        <w:jc w:val="both"/>
        <w:textAlignment w:val="baseline"/>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 xml:space="preserve">    佛冈县</w:t>
      </w:r>
      <w:r>
        <w:rPr>
          <w:rFonts w:hint="eastAsia" w:ascii="黑体" w:hAnsi="黑体" w:eastAsia="黑体" w:cs="黑体"/>
          <w:color w:val="auto"/>
          <w:sz w:val="30"/>
          <w:szCs w:val="30"/>
        </w:rPr>
        <w:t>教育事业发展“十三五”规划主要目标完成情况</w:t>
      </w:r>
    </w:p>
    <w:tbl>
      <w:tblPr>
        <w:tblStyle w:val="20"/>
        <w:tblpPr w:leftFromText="180" w:rightFromText="180" w:vertAnchor="text" w:horzAnchor="page" w:tblpX="1554" w:tblpY="68"/>
        <w:tblOverlap w:val="never"/>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4308"/>
        <w:gridCol w:w="1125"/>
        <w:gridCol w:w="118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trPr>
        <w:tc>
          <w:tcPr>
            <w:tcW w:w="5149"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bookmarkStart w:id="58" w:name="_Toc640"/>
            <w:bookmarkStart w:id="59" w:name="_Toc5884"/>
            <w:bookmarkStart w:id="60" w:name="_Toc650"/>
            <w:bookmarkStart w:id="61" w:name="_Toc24192"/>
            <w:bookmarkStart w:id="62" w:name="_Toc644_WPSOffice_Level2"/>
            <w:r>
              <w:rPr>
                <w:rFonts w:hint="eastAsia" w:ascii="仿宋_GB2312" w:hAnsi="仿宋_GB2312" w:eastAsia="仿宋_GB2312" w:cs="仿宋_GB2312"/>
                <w:color w:val="auto"/>
                <w:sz w:val="24"/>
                <w:szCs w:val="24"/>
              </w:rPr>
              <w:t>指  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2015年</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2020年</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841"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学前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教育</w:t>
            </w:r>
          </w:p>
        </w:tc>
        <w:tc>
          <w:tcPr>
            <w:tcW w:w="430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幼儿园数（所）</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65</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71</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430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公办幼儿园数（所）</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4"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430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学前三年毛入学率（%）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97.05</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98.1</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430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在园幼儿数（人）</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15007</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12931</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trPr>
        <w:tc>
          <w:tcPr>
            <w:tcW w:w="841" w:type="dxa"/>
            <w:vMerge w:val="restart"/>
            <w:tcBorders>
              <w:top w:val="single" w:color="auto" w:sz="4" w:space="0"/>
              <w:left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义务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教育</w:t>
            </w:r>
          </w:p>
        </w:tc>
        <w:tc>
          <w:tcPr>
            <w:tcW w:w="430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公办义务教育学校数（所）</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49</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430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小学适龄儿童入学率（%）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4"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430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小学毕业生升学率（%）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99.6</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3366FF"/>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430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初中毕业生升学率（%）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99.32</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841"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阶段</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教育</w:t>
            </w:r>
          </w:p>
        </w:tc>
        <w:tc>
          <w:tcPr>
            <w:tcW w:w="430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普通高中（含完全中学）学校数（所）</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430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中等职业教育学校数（所）</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4"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430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高中阶段毛入学率（%）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95.29</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96.22</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841"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特殊</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教育</w:t>
            </w:r>
          </w:p>
        </w:tc>
        <w:tc>
          <w:tcPr>
            <w:tcW w:w="430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特殊教育学校数（所）</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430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适龄残疾儿童少年入学率（%）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841"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师资</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队伍</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情况</w:t>
            </w:r>
          </w:p>
        </w:tc>
        <w:tc>
          <w:tcPr>
            <w:tcW w:w="430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幼儿园专任教师专科以上学历比例（%）</w:t>
            </w:r>
          </w:p>
        </w:tc>
        <w:tc>
          <w:tcPr>
            <w:tcW w:w="1125"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50.37</w:t>
            </w:r>
          </w:p>
        </w:tc>
        <w:tc>
          <w:tcPr>
            <w:tcW w:w="1185"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71.26</w:t>
            </w:r>
          </w:p>
        </w:tc>
        <w:tc>
          <w:tcPr>
            <w:tcW w:w="121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430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小学专任教师专科以上学历比例（%）</w:t>
            </w:r>
          </w:p>
        </w:tc>
        <w:tc>
          <w:tcPr>
            <w:tcW w:w="1125"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90.44</w:t>
            </w:r>
          </w:p>
        </w:tc>
        <w:tc>
          <w:tcPr>
            <w:tcW w:w="1185"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96.24</w:t>
            </w:r>
          </w:p>
        </w:tc>
        <w:tc>
          <w:tcPr>
            <w:tcW w:w="121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4"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430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初中专任教师本科以上学历比例（%）</w:t>
            </w:r>
          </w:p>
        </w:tc>
        <w:tc>
          <w:tcPr>
            <w:tcW w:w="1125"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80.1</w:t>
            </w:r>
          </w:p>
        </w:tc>
        <w:tc>
          <w:tcPr>
            <w:tcW w:w="1185"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88.54</w:t>
            </w:r>
          </w:p>
        </w:tc>
        <w:tc>
          <w:tcPr>
            <w:tcW w:w="121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430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普通高中专任教师本科以上学历比例（%）</w:t>
            </w:r>
          </w:p>
        </w:tc>
        <w:tc>
          <w:tcPr>
            <w:tcW w:w="1125"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w:t>
            </w:r>
          </w:p>
        </w:tc>
        <w:tc>
          <w:tcPr>
            <w:tcW w:w="1185"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98.47</w:t>
            </w:r>
          </w:p>
        </w:tc>
        <w:tc>
          <w:tcPr>
            <w:tcW w:w="121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4"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430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中职学校专任教师本科以上学历比例（%）</w:t>
            </w:r>
          </w:p>
        </w:tc>
        <w:tc>
          <w:tcPr>
            <w:tcW w:w="1125"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85.96</w:t>
            </w:r>
          </w:p>
        </w:tc>
        <w:tc>
          <w:tcPr>
            <w:tcW w:w="1185"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94.41</w:t>
            </w:r>
          </w:p>
        </w:tc>
        <w:tc>
          <w:tcPr>
            <w:tcW w:w="121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9.83</w:t>
            </w:r>
          </w:p>
        </w:tc>
      </w:tr>
      <w:bookmarkEnd w:id="58"/>
      <w:bookmarkEnd w:id="59"/>
      <w:bookmarkEnd w:id="60"/>
      <w:bookmarkEnd w:id="61"/>
      <w:bookmarkEnd w:id="62"/>
    </w:tbl>
    <w:p>
      <w:pPr>
        <w:pStyle w:val="3"/>
        <w:wordWrap/>
        <w:spacing w:line="560" w:lineRule="exact"/>
        <w:ind w:left="0" w:leftChars="0" w:right="0" w:firstLine="0" w:firstLineChars="0"/>
        <w:rPr>
          <w:rFonts w:hint="eastAsia" w:ascii="楷体_GB2312" w:hAnsi="楷体_GB2312" w:eastAsia="楷体_GB2312" w:cs="楷体_GB2312"/>
          <w:b w:val="0"/>
          <w:bCs/>
          <w:color w:val="auto"/>
        </w:rPr>
      </w:pPr>
    </w:p>
    <w:p>
      <w:pPr>
        <w:pStyle w:val="3"/>
        <w:wordWrap/>
        <w:adjustRightInd/>
        <w:snapToGrid/>
        <w:spacing w:line="560" w:lineRule="exact"/>
        <w:ind w:left="0" w:leftChars="0" w:right="0"/>
        <w:rPr>
          <w:rFonts w:hint="eastAsia" w:ascii="楷体_GB2312" w:hAnsi="楷体_GB2312" w:eastAsia="楷体_GB2312" w:cs="楷体_GB2312"/>
          <w:b w:val="0"/>
          <w:bCs/>
          <w:color w:val="auto"/>
          <w:lang w:eastAsia="zh-CN"/>
        </w:rPr>
      </w:pPr>
      <w:bookmarkStart w:id="63" w:name="_Toc30515"/>
      <w:bookmarkStart w:id="64" w:name="_Toc30192"/>
      <w:r>
        <w:rPr>
          <w:rFonts w:hint="eastAsia" w:ascii="楷体_GB2312" w:hAnsi="楷体_GB2312" w:eastAsia="楷体_GB2312" w:cs="楷体_GB2312"/>
          <w:b w:val="0"/>
          <w:bCs/>
          <w:color w:val="auto"/>
        </w:rPr>
        <w:t>（</w:t>
      </w:r>
      <w:r>
        <w:rPr>
          <w:rFonts w:hint="eastAsia" w:ascii="楷体_GB2312" w:hAnsi="楷体_GB2312" w:eastAsia="楷体_GB2312" w:cs="楷体_GB2312"/>
          <w:b w:val="0"/>
          <w:bCs/>
          <w:color w:val="auto"/>
          <w:lang w:eastAsia="zh-CN"/>
        </w:rPr>
        <w:t>六</w:t>
      </w:r>
      <w:r>
        <w:rPr>
          <w:rFonts w:hint="eastAsia" w:ascii="楷体_GB2312" w:hAnsi="楷体_GB2312" w:eastAsia="楷体_GB2312" w:cs="楷体_GB2312"/>
          <w:b w:val="0"/>
          <w:bCs/>
          <w:color w:val="auto"/>
        </w:rPr>
        <w:t>）</w:t>
      </w:r>
      <w:r>
        <w:rPr>
          <w:rFonts w:hint="eastAsia" w:ascii="楷体_GB2312" w:hAnsi="楷体_GB2312" w:eastAsia="楷体_GB2312" w:cs="楷体_GB2312"/>
          <w:b w:val="0"/>
          <w:bCs/>
          <w:color w:val="auto"/>
          <w:lang w:eastAsia="zh-CN"/>
        </w:rPr>
        <w:t>存在的</w:t>
      </w:r>
      <w:r>
        <w:rPr>
          <w:rFonts w:hint="eastAsia" w:ascii="楷体_GB2312" w:hAnsi="楷体_GB2312" w:cs="楷体_GB2312"/>
          <w:b w:val="0"/>
          <w:bCs/>
          <w:color w:val="auto"/>
          <w:lang w:eastAsia="zh-CN"/>
        </w:rPr>
        <w:t>问题</w:t>
      </w:r>
      <w:r>
        <w:rPr>
          <w:rFonts w:hint="eastAsia" w:ascii="楷体_GB2312" w:hAnsi="楷体_GB2312" w:eastAsia="楷体_GB2312" w:cs="楷体_GB2312"/>
          <w:b w:val="0"/>
          <w:bCs/>
          <w:color w:val="auto"/>
          <w:sz w:val="32"/>
          <w:szCs w:val="32"/>
          <w:lang w:val="en-US" w:eastAsia="zh-CN"/>
        </w:rPr>
        <w:t>和短板</w:t>
      </w:r>
      <w:bookmarkEnd w:id="63"/>
      <w:bookmarkEnd w:id="64"/>
      <w:bookmarkStart w:id="138" w:name="_GoBack"/>
      <w:bookmarkEnd w:id="138"/>
    </w:p>
    <w:p>
      <w:pPr>
        <w:widowControl/>
        <w:wordWrap/>
        <w:adjustRightInd/>
        <w:snapToGrid/>
        <w:spacing w:line="560" w:lineRule="exact"/>
        <w:ind w:left="0" w:leftChars="0" w:right="0"/>
        <w:jc w:val="both"/>
        <w:textAlignment w:val="baseline"/>
        <w:rPr>
          <w:rFonts w:hint="eastAsia" w:ascii="黑体" w:hAnsi="黑体" w:eastAsia="黑体" w:cs="黑体"/>
          <w:color w:val="auto"/>
          <w:sz w:val="30"/>
          <w:szCs w:val="30"/>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“十三五”</w:t>
      </w:r>
      <w:r>
        <w:rPr>
          <w:rFonts w:hint="eastAsia" w:ascii="仿宋_GB2312" w:hAnsi="仿宋_GB2312" w:eastAsia="仿宋_GB2312" w:cs="仿宋_GB2312"/>
          <w:color w:val="auto"/>
          <w:sz w:val="32"/>
          <w:szCs w:val="32"/>
          <w:lang w:eastAsia="zh-CN"/>
        </w:rPr>
        <w:t>时期，佛冈的</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事业</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eastAsia="zh-CN"/>
        </w:rPr>
        <w:t>成效显著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但还未能完全适应经济社会高质量发展的需要，特别是与珠三角发达地区相比差距较大，未能满足人民群众对优质教育的需求，</w:t>
      </w:r>
      <w:r>
        <w:rPr>
          <w:rFonts w:hint="eastAsia" w:ascii="仿宋_GB2312" w:hAnsi="仿宋_GB2312" w:eastAsia="仿宋_GB2312" w:cs="仿宋_GB2312"/>
          <w:color w:val="auto"/>
          <w:sz w:val="32"/>
          <w:szCs w:val="32"/>
        </w:rPr>
        <w:t>主要表现在：</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教育发展不平衡，城镇与农村之间教育发展水平差距较大；</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教师队伍的整体素质和结构未能适应教育高质量发展的要求，</w:t>
      </w:r>
      <w:r>
        <w:rPr>
          <w:rFonts w:hint="eastAsia" w:ascii="仿宋_GB2312" w:hAnsi="仿宋_GB2312" w:eastAsia="仿宋_GB2312" w:cs="仿宋_GB2312"/>
          <w:sz w:val="32"/>
          <w:szCs w:val="32"/>
          <w:lang w:eastAsia="zh-CN"/>
        </w:rPr>
        <w:t>尤其</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教师编制不足问题仍然存在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教育保障水平，特别是在用地规划、资金投入等方面有待提高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教育教学质量有待提高，教育科研氛围不浓；</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sz w:val="32"/>
          <w:szCs w:val="32"/>
          <w:lang w:eastAsia="zh-CN"/>
        </w:rPr>
        <w:t>教育评价改革有待深化。</w:t>
      </w:r>
    </w:p>
    <w:p>
      <w:pPr>
        <w:widowControl/>
        <w:wordWrap/>
        <w:adjustRightInd/>
        <w:snapToGrid/>
        <w:spacing w:line="560" w:lineRule="exact"/>
        <w:ind w:left="0" w:leftChars="0" w:right="0" w:firstLine="640" w:firstLineChars="200"/>
        <w:jc w:val="both"/>
        <w:textAlignment w:val="baseline"/>
        <w:rPr>
          <w:rFonts w:hint="eastAsia"/>
          <w:b w:val="0"/>
          <w:bCs/>
          <w:color w:val="auto"/>
        </w:rPr>
      </w:pPr>
      <w:r>
        <w:rPr>
          <w:rFonts w:hint="eastAsia" w:ascii="黑体" w:hAnsi="黑体" w:eastAsia="黑体" w:cs="黑体"/>
          <w:color w:val="auto"/>
          <w:sz w:val="30"/>
          <w:szCs w:val="30"/>
          <w:lang w:val="en-US" w:eastAsia="zh-CN"/>
        </w:rPr>
        <w:t xml:space="preserve">    </w:t>
      </w:r>
      <w:bookmarkEnd w:id="55"/>
      <w:bookmarkEnd w:id="56"/>
      <w:bookmarkEnd w:id="57"/>
      <w:bookmarkStart w:id="65" w:name="_Toc27723"/>
      <w:bookmarkStart w:id="66" w:name="_Toc3701"/>
      <w:bookmarkStart w:id="67" w:name="_Toc20061"/>
      <w:bookmarkStart w:id="68" w:name="_Toc18236_WPSOffice_Level1"/>
    </w:p>
    <w:p>
      <w:pPr>
        <w:pStyle w:val="2"/>
        <w:wordWrap/>
        <w:adjustRightInd/>
        <w:snapToGrid/>
        <w:spacing w:line="560" w:lineRule="exact"/>
        <w:ind w:left="0" w:leftChars="0" w:right="0" w:firstLine="643" w:firstLineChars="200"/>
        <w:rPr>
          <w:rFonts w:hint="eastAsia"/>
          <w:b w:val="0"/>
          <w:bCs/>
          <w:color w:val="auto"/>
          <w:lang w:eastAsia="zh-CN"/>
        </w:rPr>
      </w:pPr>
      <w:bookmarkStart w:id="69" w:name="_Toc30305"/>
      <w:bookmarkStart w:id="70" w:name="_Toc15067"/>
      <w:r>
        <w:rPr>
          <w:rFonts w:hint="eastAsia"/>
          <w:b w:val="0"/>
          <w:bCs/>
          <w:color w:val="auto"/>
        </w:rPr>
        <w:t>二、</w:t>
      </w:r>
      <w:bookmarkEnd w:id="65"/>
      <w:bookmarkEnd w:id="66"/>
      <w:bookmarkEnd w:id="67"/>
      <w:r>
        <w:rPr>
          <w:rFonts w:hint="eastAsia"/>
          <w:b w:val="0"/>
          <w:bCs/>
          <w:color w:val="auto"/>
          <w:lang w:eastAsia="zh-CN"/>
        </w:rPr>
        <w:t>“十四五”发展思路和目标</w:t>
      </w:r>
      <w:bookmarkEnd w:id="68"/>
      <w:bookmarkEnd w:id="69"/>
      <w:bookmarkEnd w:id="70"/>
    </w:p>
    <w:p>
      <w:pPr>
        <w:pStyle w:val="3"/>
        <w:wordWrap/>
        <w:adjustRightInd/>
        <w:snapToGrid/>
        <w:spacing w:line="560" w:lineRule="exact"/>
        <w:ind w:left="0" w:leftChars="0" w:right="0"/>
        <w:rPr>
          <w:rFonts w:hint="eastAsia"/>
          <w:color w:val="auto"/>
          <w:lang w:eastAsia="zh-CN"/>
        </w:rPr>
      </w:pPr>
      <w:bookmarkStart w:id="71" w:name="_Toc6278"/>
      <w:bookmarkStart w:id="72" w:name="_Toc25177"/>
      <w:bookmarkStart w:id="73" w:name="_Toc9862"/>
      <w:bookmarkStart w:id="74" w:name="_Toc3217"/>
      <w:bookmarkStart w:id="75" w:name="_Toc23225_WPSOffice_Level2"/>
      <w:bookmarkStart w:id="76" w:name="_Toc647"/>
      <w:bookmarkStart w:id="77" w:name="_Toc28468"/>
      <w:r>
        <w:rPr>
          <w:rFonts w:hint="eastAsia"/>
          <w:color w:val="auto"/>
        </w:rPr>
        <w:t>（一）</w:t>
      </w:r>
      <w:bookmarkEnd w:id="71"/>
      <w:bookmarkEnd w:id="72"/>
      <w:bookmarkEnd w:id="73"/>
      <w:bookmarkEnd w:id="74"/>
      <w:r>
        <w:rPr>
          <w:rFonts w:hint="eastAsia"/>
          <w:color w:val="auto"/>
          <w:lang w:eastAsia="zh-CN"/>
        </w:rPr>
        <w:t>发展思路</w:t>
      </w:r>
      <w:bookmarkEnd w:id="75"/>
      <w:bookmarkEnd w:id="76"/>
      <w:bookmarkEnd w:id="77"/>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w:t>
      </w:r>
      <w:r>
        <w:rPr>
          <w:rFonts w:hint="eastAsia" w:ascii="仿宋_GB2312" w:hAnsi="仿宋_GB2312" w:eastAsia="仿宋_GB2312" w:cs="仿宋_GB2312"/>
          <w:color w:val="auto"/>
          <w:sz w:val="32"/>
          <w:szCs w:val="32"/>
          <w:lang w:eastAsia="zh-CN"/>
        </w:rPr>
        <w:t>全面贯彻党的教育方针，</w:t>
      </w:r>
      <w:r>
        <w:rPr>
          <w:rFonts w:hint="eastAsia" w:ascii="仿宋_GB2312" w:hAnsi="仿宋_GB2312" w:eastAsia="仿宋_GB2312" w:cs="仿宋_GB2312"/>
          <w:color w:val="auto"/>
          <w:sz w:val="32"/>
          <w:szCs w:val="32"/>
        </w:rPr>
        <w:t>落实立德树人根本任务，</w:t>
      </w:r>
      <w:r>
        <w:rPr>
          <w:rFonts w:hint="eastAsia" w:ascii="仿宋_GB2312" w:hAnsi="仿宋_GB2312" w:eastAsia="仿宋_GB2312" w:cs="仿宋_GB2312"/>
          <w:color w:val="auto"/>
          <w:sz w:val="32"/>
          <w:szCs w:val="32"/>
          <w:lang w:eastAsia="zh-CN"/>
        </w:rPr>
        <w:t>坚定不移实施教育优先发展战略，以</w:t>
      </w:r>
      <w:r>
        <w:rPr>
          <w:rFonts w:hint="eastAsia" w:ascii="仿宋_GB2312" w:hAnsi="仿宋_GB2312" w:eastAsia="仿宋_GB2312" w:cs="仿宋_GB2312"/>
          <w:color w:val="auto"/>
          <w:sz w:val="32"/>
          <w:szCs w:val="32"/>
        </w:rPr>
        <w:t>建设教育强</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办好人民满意的教育为根本宗旨，立足新发展阶段，贯彻新发展理念，围绕</w:t>
      </w:r>
      <w:r>
        <w:rPr>
          <w:rFonts w:hint="eastAsia" w:ascii="仿宋_GB2312" w:hAnsi="仿宋_GB2312" w:eastAsia="仿宋_GB2312" w:cs="仿宋_GB2312"/>
          <w:color w:val="auto"/>
          <w:sz w:val="32"/>
          <w:szCs w:val="32"/>
          <w:lang w:eastAsia="zh-CN"/>
        </w:rPr>
        <w:t>佛冈“清远副中心”</w:t>
      </w:r>
      <w:r>
        <w:rPr>
          <w:rFonts w:hint="eastAsia" w:ascii="仿宋_GB2312" w:hAnsi="仿宋_GB2312" w:eastAsia="仿宋_GB2312" w:cs="仿宋_GB2312"/>
          <w:color w:val="auto"/>
          <w:sz w:val="32"/>
          <w:szCs w:val="32"/>
        </w:rPr>
        <w:t>发展定位，</w:t>
      </w:r>
      <w:r>
        <w:rPr>
          <w:rFonts w:hint="eastAsia" w:ascii="仿宋_GB2312" w:hAnsi="仿宋_GB2312" w:eastAsia="仿宋_GB2312" w:cs="仿宋_GB2312"/>
          <w:color w:val="auto"/>
          <w:sz w:val="32"/>
          <w:szCs w:val="32"/>
          <w:lang w:eastAsia="zh-CN"/>
        </w:rPr>
        <w:t>以促进公平和提高质量为重点，优化</w:t>
      </w:r>
      <w:r>
        <w:rPr>
          <w:rFonts w:hint="eastAsia" w:ascii="仿宋_GB2312" w:hAnsi="仿宋_GB2312" w:eastAsia="仿宋_GB2312" w:cs="仿宋_GB2312"/>
          <w:color w:val="auto"/>
          <w:sz w:val="32"/>
          <w:szCs w:val="32"/>
        </w:rPr>
        <w:t>整合资源</w:t>
      </w:r>
      <w:r>
        <w:rPr>
          <w:rFonts w:hint="eastAsia" w:ascii="仿宋_GB2312" w:hAnsi="仿宋_GB2312" w:eastAsia="仿宋_GB2312" w:cs="仿宋_GB2312"/>
          <w:color w:val="auto"/>
          <w:sz w:val="32"/>
          <w:szCs w:val="32"/>
          <w:lang w:eastAsia="zh-CN"/>
        </w:rPr>
        <w:t>，以教育评价改革为牵引，完善教育经费保障、校长教师发展、教育教学研究、教育监测评价督导体系建设，</w:t>
      </w:r>
      <w:r>
        <w:rPr>
          <w:rFonts w:hint="eastAsia" w:ascii="仿宋_GB2312" w:hAnsi="仿宋_GB2312" w:eastAsia="仿宋_GB2312" w:cs="仿宋_GB2312"/>
          <w:color w:val="auto"/>
          <w:sz w:val="32"/>
          <w:szCs w:val="32"/>
        </w:rPr>
        <w:t>推动教育更加公平、更高质量、更有特色、更高效益发展，培养造就德智体美劳全面发展的社会主义建设者和接班人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实现佛冈</w:t>
      </w:r>
      <w:r>
        <w:rPr>
          <w:rFonts w:hint="eastAsia" w:ascii="仿宋_GB2312" w:hAnsi="仿宋_GB2312" w:eastAsia="仿宋_GB2312" w:cs="仿宋_GB2312"/>
          <w:color w:val="auto"/>
          <w:sz w:val="32"/>
          <w:szCs w:val="32"/>
        </w:rPr>
        <w:t>经济社会高质量发展提供人才和智力支撑。</w:t>
      </w:r>
    </w:p>
    <w:p>
      <w:pPr>
        <w:pStyle w:val="3"/>
        <w:wordWrap/>
        <w:adjustRightInd/>
        <w:snapToGrid/>
        <w:spacing w:line="560" w:lineRule="exact"/>
        <w:ind w:left="0" w:leftChars="0" w:right="0"/>
        <w:rPr>
          <w:rFonts w:hint="eastAsia"/>
          <w:color w:val="auto"/>
        </w:rPr>
      </w:pPr>
      <w:bookmarkStart w:id="78" w:name="_Toc15922"/>
      <w:bookmarkStart w:id="79" w:name="_Toc20078"/>
      <w:bookmarkStart w:id="80" w:name="_Toc11480"/>
      <w:bookmarkStart w:id="81" w:name="_Toc10286"/>
      <w:bookmarkStart w:id="82" w:name="_Toc28295_WPSOffice_Level2"/>
      <w:bookmarkStart w:id="83" w:name="_Toc247"/>
      <w:bookmarkStart w:id="84" w:name="_Toc22539"/>
      <w:r>
        <w:rPr>
          <w:rFonts w:hint="eastAsia"/>
          <w:color w:val="auto"/>
        </w:rPr>
        <w:t>（二）</w:t>
      </w:r>
      <w:bookmarkEnd w:id="78"/>
      <w:bookmarkEnd w:id="79"/>
      <w:bookmarkEnd w:id="80"/>
      <w:bookmarkEnd w:id="81"/>
      <w:bookmarkStart w:id="85" w:name="_Toc20684"/>
      <w:bookmarkStart w:id="86" w:name="_Toc2749"/>
      <w:bookmarkStart w:id="87" w:name="_Toc15245"/>
      <w:bookmarkStart w:id="88" w:name="_Toc16541"/>
      <w:r>
        <w:rPr>
          <w:rFonts w:hint="eastAsia"/>
          <w:color w:val="auto"/>
          <w:lang w:eastAsia="zh-CN"/>
        </w:rPr>
        <w:t>发展</w:t>
      </w:r>
      <w:r>
        <w:rPr>
          <w:rFonts w:hint="eastAsia"/>
          <w:color w:val="auto"/>
        </w:rPr>
        <w:t>目标</w:t>
      </w:r>
      <w:bookmarkEnd w:id="82"/>
      <w:bookmarkEnd w:id="83"/>
      <w:bookmarkEnd w:id="84"/>
      <w:bookmarkEnd w:id="85"/>
      <w:bookmarkEnd w:id="86"/>
      <w:bookmarkEnd w:id="87"/>
      <w:bookmarkEnd w:id="88"/>
    </w:p>
    <w:p>
      <w:pPr>
        <w:widowControl/>
        <w:wordWrap/>
        <w:adjustRightInd/>
        <w:snapToGrid/>
        <w:spacing w:line="560" w:lineRule="exact"/>
        <w:ind w:left="0" w:leftChars="0" w:right="0" w:firstLine="643" w:firstLineChars="200"/>
        <w:jc w:val="both"/>
        <w:textAlignment w:val="baseline"/>
        <w:rPr>
          <w:rFonts w:hint="eastAsia" w:ascii="仿宋_GB2312" w:hAnsi="仿宋_GB2312" w:eastAsia="仿宋_GB2312" w:cs="仿宋_GB2312"/>
          <w:b/>
          <w:bCs/>
          <w:color w:val="auto"/>
          <w:sz w:val="32"/>
          <w:szCs w:val="32"/>
        </w:rPr>
      </w:pPr>
      <w:bookmarkStart w:id="89" w:name="_Toc24702"/>
      <w:bookmarkStart w:id="90" w:name="_Toc67"/>
      <w:bookmarkStart w:id="91" w:name="_Toc21455"/>
      <w:bookmarkStart w:id="92" w:name="_Toc10732"/>
      <w:r>
        <w:rPr>
          <w:rFonts w:hint="eastAsia" w:ascii="仿宋_GB2312" w:hAnsi="仿宋_GB2312" w:eastAsia="仿宋_GB2312" w:cs="仿宋_GB2312"/>
          <w:b/>
          <w:bCs/>
          <w:color w:val="auto"/>
          <w:sz w:val="32"/>
          <w:szCs w:val="32"/>
        </w:rPr>
        <w:t>1.总</w:t>
      </w:r>
      <w:r>
        <w:rPr>
          <w:rFonts w:hint="eastAsia" w:ascii="仿宋_GB2312" w:hAnsi="仿宋_GB2312" w:eastAsia="仿宋_GB2312" w:cs="仿宋_GB2312"/>
          <w:b/>
          <w:bCs/>
          <w:color w:val="auto"/>
          <w:sz w:val="32"/>
          <w:szCs w:val="32"/>
          <w:lang w:eastAsia="zh-CN"/>
        </w:rPr>
        <w:t>体</w:t>
      </w:r>
      <w:r>
        <w:rPr>
          <w:rFonts w:hint="eastAsia" w:ascii="仿宋_GB2312" w:hAnsi="仿宋_GB2312" w:eastAsia="仿宋_GB2312" w:cs="仿宋_GB2312"/>
          <w:b/>
          <w:bCs/>
          <w:color w:val="auto"/>
          <w:sz w:val="32"/>
          <w:szCs w:val="32"/>
        </w:rPr>
        <w:t>目标</w:t>
      </w:r>
      <w:bookmarkEnd w:id="89"/>
      <w:bookmarkEnd w:id="90"/>
      <w:bookmarkEnd w:id="91"/>
      <w:bookmarkEnd w:id="92"/>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eastAsia="zh-CN"/>
        </w:rPr>
        <w:t>基本建成制度更加完备、结构更加合理、资源更加优化、均衡更加优质的高质量教育体系，提供人民更为满意的公平教育，群众教育获得感大幅提升，教育整体发展水平和教育质量达到全市平均水平以上。</w:t>
      </w:r>
      <w:r>
        <w:rPr>
          <w:rFonts w:hint="eastAsia" w:ascii="仿宋_GB2312" w:hAnsi="仿宋_GB2312" w:eastAsia="仿宋_GB2312" w:cs="仿宋_GB2312"/>
          <w:color w:val="auto"/>
          <w:sz w:val="32"/>
          <w:szCs w:val="32"/>
        </w:rPr>
        <w:t xml:space="preserve"> </w:t>
      </w:r>
    </w:p>
    <w:p>
      <w:pPr>
        <w:widowControl/>
        <w:wordWrap/>
        <w:adjustRightInd/>
        <w:snapToGrid/>
        <w:spacing w:line="560" w:lineRule="exact"/>
        <w:ind w:left="0" w:leftChars="0" w:right="0" w:firstLine="643" w:firstLineChars="200"/>
        <w:jc w:val="both"/>
        <w:textAlignment w:val="baseline"/>
        <w:rPr>
          <w:rFonts w:hint="eastAsia" w:ascii="仿宋_GB2312" w:hAnsi="仿宋_GB2312" w:eastAsia="仿宋_GB2312" w:cs="仿宋_GB2312"/>
          <w:b/>
          <w:bCs/>
          <w:color w:val="auto"/>
          <w:sz w:val="32"/>
          <w:szCs w:val="32"/>
        </w:rPr>
      </w:pPr>
      <w:bookmarkStart w:id="93" w:name="_Toc27930"/>
      <w:bookmarkStart w:id="94" w:name="_Toc24915"/>
      <w:bookmarkStart w:id="95" w:name="_Toc9898"/>
      <w:r>
        <w:rPr>
          <w:rFonts w:hint="eastAsia" w:ascii="仿宋_GB2312" w:hAnsi="仿宋_GB2312" w:eastAsia="仿宋_GB2312" w:cs="仿宋_GB2312"/>
          <w:b/>
          <w:bCs/>
          <w:color w:val="auto"/>
          <w:sz w:val="32"/>
          <w:szCs w:val="32"/>
        </w:rPr>
        <w:t>2.具体目标</w:t>
      </w:r>
      <w:bookmarkEnd w:id="93"/>
      <w:bookmarkEnd w:id="94"/>
      <w:bookmarkEnd w:id="95"/>
    </w:p>
    <w:p>
      <w:pPr>
        <w:widowControl w:val="0"/>
        <w:wordWrap/>
        <w:adjustRightInd/>
        <w:snapToGrid/>
        <w:spacing w:line="560" w:lineRule="exact"/>
        <w:ind w:left="0" w:leftChars="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学前教育：</w:t>
      </w:r>
      <w:r>
        <w:rPr>
          <w:rFonts w:hint="eastAsia" w:ascii="仿宋_GB2312" w:hAnsi="仿宋_GB2312" w:eastAsia="仿宋_GB2312" w:cs="仿宋_GB2312"/>
          <w:color w:val="auto"/>
          <w:sz w:val="32"/>
          <w:szCs w:val="32"/>
        </w:rPr>
        <w:t>深化学前教育改革规范发展，基本建成覆盖城乡、布局合理的学前教育公共服务体系，</w:t>
      </w:r>
      <w:r>
        <w:rPr>
          <w:rFonts w:hint="eastAsia" w:ascii="仿宋_GB2312" w:hAnsi="仿宋_GB2312" w:eastAsia="仿宋_GB2312" w:cs="仿宋_GB2312"/>
          <w:color w:val="auto"/>
          <w:sz w:val="32"/>
          <w:szCs w:val="32"/>
          <w:lang w:eastAsia="zh-CN"/>
        </w:rPr>
        <w:t>乡镇中心幼儿园、村级幼儿园覆盖率</w:t>
      </w:r>
      <w:r>
        <w:rPr>
          <w:rFonts w:hint="eastAsia" w:ascii="仿宋_GB2312" w:hAnsi="仿宋_GB2312" w:eastAsia="仿宋_GB2312" w:cs="仿宋_GB2312"/>
          <w:color w:val="auto"/>
          <w:sz w:val="32"/>
          <w:szCs w:val="32"/>
          <w:lang w:val="en-US" w:eastAsia="zh-CN"/>
        </w:rPr>
        <w:t>100%，规范化幼儿园覆盖率达95%以上，</w:t>
      </w:r>
      <w:r>
        <w:rPr>
          <w:rFonts w:hint="eastAsia" w:ascii="仿宋_GB2312" w:hAnsi="仿宋_GB2312" w:eastAsia="仿宋_GB2312" w:cs="仿宋_GB2312"/>
          <w:color w:val="auto"/>
          <w:sz w:val="32"/>
          <w:szCs w:val="32"/>
        </w:rPr>
        <w:t>全</w:t>
      </w:r>
      <w:r>
        <w:rPr>
          <w:rFonts w:hint="default"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rPr>
        <w:t>学前教育三年毛入园率保持在</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巩固提升“</w:t>
      </w:r>
      <w:r>
        <w:rPr>
          <w:rFonts w:hint="eastAsia" w:ascii="仿宋_GB2312" w:hAnsi="仿宋_GB2312" w:eastAsia="仿宋_GB2312" w:cs="仿宋_GB2312"/>
          <w:color w:val="auto"/>
          <w:sz w:val="32"/>
          <w:szCs w:val="32"/>
          <w:highlight w:val="none"/>
          <w:lang w:val="en-US" w:eastAsia="zh-CN"/>
        </w:rPr>
        <w:t>5080”攻坚工程成果，</w:t>
      </w:r>
      <w:r>
        <w:rPr>
          <w:rFonts w:hint="eastAsia" w:ascii="仿宋_GB2312" w:hAnsi="仿宋_GB2312" w:eastAsia="仿宋_GB2312" w:cs="仿宋_GB2312"/>
          <w:color w:val="auto"/>
          <w:sz w:val="32"/>
          <w:szCs w:val="32"/>
          <w:highlight w:val="none"/>
        </w:rPr>
        <w:t>公办园和普惠性民办园在园幼儿占比</w:t>
      </w:r>
      <w:r>
        <w:rPr>
          <w:rFonts w:hint="eastAsia" w:ascii="仿宋_GB2312" w:hAnsi="仿宋_GB2312" w:eastAsia="仿宋_GB2312" w:cs="仿宋_GB2312"/>
          <w:color w:val="auto"/>
          <w:sz w:val="32"/>
          <w:szCs w:val="32"/>
          <w:highlight w:val="none"/>
          <w:lang w:eastAsia="zh-CN"/>
        </w:rPr>
        <w:t>达到</w:t>
      </w: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%以上，公办园在园幼儿占比</w:t>
      </w:r>
      <w:r>
        <w:rPr>
          <w:rFonts w:hint="eastAsia" w:ascii="仿宋_GB2312" w:hAnsi="仿宋_GB2312" w:eastAsia="仿宋_GB2312" w:cs="仿宋_GB2312"/>
          <w:color w:val="auto"/>
          <w:sz w:val="32"/>
          <w:szCs w:val="32"/>
          <w:highlight w:val="none"/>
          <w:lang w:eastAsia="zh-CN"/>
        </w:rPr>
        <w:t>保持在</w:t>
      </w:r>
      <w:r>
        <w:rPr>
          <w:rFonts w:hint="eastAsia" w:ascii="仿宋_GB2312" w:hAnsi="仿宋_GB2312" w:eastAsia="仿宋_GB2312" w:cs="仿宋_GB2312"/>
          <w:color w:val="auto"/>
          <w:sz w:val="32"/>
          <w:szCs w:val="32"/>
          <w:highlight w:val="none"/>
        </w:rPr>
        <w:t>50%以上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加强幼儿园质量监管，提升幼儿园保教质量。</w:t>
      </w:r>
    </w:p>
    <w:p>
      <w:pPr>
        <w:widowControl w:val="0"/>
        <w:wordWrap/>
        <w:adjustRightInd/>
        <w:snapToGrid/>
        <w:spacing w:line="560" w:lineRule="exact"/>
        <w:ind w:left="0" w:leftChars="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义务教育：</w:t>
      </w:r>
      <w:r>
        <w:rPr>
          <w:rFonts w:hint="eastAsia" w:ascii="仿宋_GB2312" w:hAnsi="仿宋_GB2312" w:eastAsia="仿宋_GB2312" w:cs="仿宋_GB2312"/>
          <w:color w:val="auto"/>
          <w:sz w:val="32"/>
          <w:szCs w:val="32"/>
        </w:rPr>
        <w:t>推进义务教育优质均衡发展，提升农村学校办学条件和水平，缩小城乡差异，实现城乡一体化发展。持续做好义务教育保障，</w:t>
      </w:r>
      <w:r>
        <w:rPr>
          <w:rFonts w:hint="eastAsia" w:ascii="仿宋_GB2312" w:hAnsi="仿宋_GB2312" w:eastAsia="仿宋_GB2312" w:cs="仿宋_GB2312"/>
          <w:color w:val="auto"/>
          <w:sz w:val="32"/>
          <w:szCs w:val="32"/>
          <w:lang w:eastAsia="zh-CN"/>
        </w:rPr>
        <w:t>义务教育毛入学率达到</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加大控辍保学工作力度，九年义务教育巩固率保持在</w:t>
      </w:r>
      <w:r>
        <w:rPr>
          <w:rFonts w:hint="eastAsia" w:ascii="仿宋_GB2312" w:hAnsi="仿宋_GB2312" w:eastAsia="仿宋_GB2312" w:cs="仿宋_GB2312"/>
          <w:color w:val="auto"/>
          <w:sz w:val="32"/>
          <w:szCs w:val="32"/>
          <w:lang w:val="en-US" w:eastAsia="zh-CN"/>
        </w:rPr>
        <w:t>96</w:t>
      </w:r>
      <w:r>
        <w:rPr>
          <w:rFonts w:hint="eastAsia" w:ascii="仿宋_GB2312" w:hAnsi="仿宋_GB2312" w:eastAsia="仿宋_GB2312" w:cs="仿宋_GB2312"/>
          <w:color w:val="auto"/>
          <w:sz w:val="32"/>
          <w:szCs w:val="32"/>
        </w:rPr>
        <w:t>%以上。推进义务教育质量评价改革，推进素质教育内涵发展，促进义务教育质量提升。</w:t>
      </w:r>
    </w:p>
    <w:p>
      <w:pPr>
        <w:widowControl w:val="0"/>
        <w:wordWrap/>
        <w:adjustRightInd/>
        <w:snapToGrid/>
        <w:spacing w:line="560" w:lineRule="exact"/>
        <w:ind w:left="0" w:leftChars="0" w:right="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普通高中教育：</w:t>
      </w:r>
      <w:r>
        <w:rPr>
          <w:rFonts w:hint="eastAsia" w:ascii="仿宋_GB2312" w:hAnsi="仿宋_GB2312" w:eastAsia="仿宋_GB2312" w:cs="仿宋_GB2312"/>
          <w:color w:val="auto"/>
          <w:sz w:val="32"/>
          <w:szCs w:val="32"/>
        </w:rPr>
        <w:t>推进普通高中学校优质多样特色化发展，实施高中课程和考试改革，实现高考</w:t>
      </w:r>
      <w:r>
        <w:rPr>
          <w:rFonts w:hint="eastAsia" w:ascii="仿宋_GB2312" w:hAnsi="仿宋_GB2312" w:eastAsia="仿宋_GB2312" w:cs="仿宋_GB2312"/>
          <w:color w:val="auto"/>
          <w:sz w:val="32"/>
          <w:szCs w:val="32"/>
          <w:lang w:eastAsia="zh-CN"/>
        </w:rPr>
        <w:t>质量</w:t>
      </w:r>
      <w:r>
        <w:rPr>
          <w:rFonts w:hint="eastAsia" w:ascii="仿宋_GB2312" w:hAnsi="仿宋_GB2312" w:eastAsia="仿宋_GB2312" w:cs="仿宋_GB2312"/>
          <w:color w:val="auto"/>
          <w:sz w:val="32"/>
          <w:szCs w:val="32"/>
        </w:rPr>
        <w:t>不断提升。</w:t>
      </w:r>
      <w:r>
        <w:rPr>
          <w:rFonts w:hint="eastAsia" w:ascii="仿宋_GB2312" w:hAnsi="仿宋_GB2312" w:eastAsia="仿宋_GB2312" w:cs="仿宋_GB2312"/>
          <w:color w:val="auto"/>
          <w:sz w:val="32"/>
          <w:szCs w:val="32"/>
          <w:lang w:eastAsia="zh-CN"/>
        </w:rPr>
        <w:t>高中阶段毛入学率保持在</w:t>
      </w:r>
      <w:r>
        <w:rPr>
          <w:rFonts w:hint="eastAsia" w:ascii="仿宋_GB2312" w:hAnsi="仿宋_GB2312" w:eastAsia="仿宋_GB2312" w:cs="仿宋_GB2312"/>
          <w:color w:val="auto"/>
          <w:sz w:val="32"/>
          <w:szCs w:val="32"/>
          <w:lang w:val="en-US" w:eastAsia="zh-CN"/>
        </w:rPr>
        <w:t>95%以上。</w:t>
      </w:r>
    </w:p>
    <w:p>
      <w:pPr>
        <w:widowControl w:val="0"/>
        <w:wordWrap/>
        <w:adjustRightInd/>
        <w:snapToGrid/>
        <w:spacing w:line="560" w:lineRule="exact"/>
        <w:ind w:left="0" w:leftChars="0" w:right="0" w:firstLine="640" w:firstLineChars="200"/>
        <w:jc w:val="left"/>
        <w:rPr>
          <w:rFonts w:hint="eastAsia" w:ascii="仿宋_GB2312" w:hAnsi="仿宋_GB2312" w:eastAsia="仿宋_GB2312" w:cs="仿宋_GB2312"/>
          <w:color w:val="auto"/>
          <w:sz w:val="32"/>
          <w:szCs w:val="32"/>
        </w:rPr>
      </w:pPr>
      <w:r>
        <w:rPr>
          <w:rFonts w:hint="eastAsia" w:ascii="Times New Roman" w:hAnsi="Times New Roman" w:eastAsia="仿宋" w:cs="Times New Roman"/>
          <w:b/>
          <w:bCs/>
          <w:color w:val="auto"/>
          <w:sz w:val="32"/>
          <w:szCs w:val="32"/>
        </w:rPr>
        <w:t>——特殊教育</w:t>
      </w:r>
      <w:r>
        <w:rPr>
          <w:rFonts w:hint="eastAsia" w:ascii="Times New Roman" w:hAnsi="Times New Roman" w:eastAsia="仿宋" w:cs="Times New Roman"/>
          <w:color w:val="auto"/>
          <w:sz w:val="32"/>
          <w:szCs w:val="32"/>
        </w:rPr>
        <w:t>：</w:t>
      </w:r>
      <w:r>
        <w:rPr>
          <w:rFonts w:hint="eastAsia" w:ascii="仿宋_GB2312" w:hAnsi="仿宋_GB2312" w:eastAsia="仿宋_GB2312" w:cs="仿宋_GB2312"/>
          <w:color w:val="auto"/>
          <w:sz w:val="32"/>
          <w:szCs w:val="32"/>
        </w:rPr>
        <w:t>进一步健全特殊教育体系，适龄残疾儿童少年义务教育入学率保持在9</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%以上。推进特殊教育融合发展，提升特殊教育教科研和指导能力，提</w:t>
      </w:r>
      <w:r>
        <w:rPr>
          <w:rFonts w:hint="eastAsia" w:ascii="仿宋_GB2312" w:hAnsi="仿宋_GB2312" w:eastAsia="仿宋_GB2312" w:cs="仿宋_GB2312"/>
          <w:color w:val="auto"/>
          <w:sz w:val="32"/>
          <w:szCs w:val="32"/>
          <w:lang w:eastAsia="zh-CN"/>
        </w:rPr>
        <w:t>高特殊教育</w:t>
      </w:r>
      <w:r>
        <w:rPr>
          <w:rFonts w:hint="eastAsia" w:ascii="仿宋_GB2312" w:hAnsi="仿宋_GB2312" w:eastAsia="仿宋_GB2312" w:cs="仿宋_GB2312"/>
          <w:color w:val="auto"/>
          <w:sz w:val="32"/>
          <w:szCs w:val="32"/>
        </w:rPr>
        <w:t>质量。</w:t>
      </w:r>
    </w:p>
    <w:p>
      <w:pPr>
        <w:widowControl w:val="0"/>
        <w:wordWrap/>
        <w:adjustRightInd/>
        <w:snapToGrid/>
        <w:spacing w:line="560" w:lineRule="exact"/>
        <w:ind w:left="0" w:leftChars="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——职业教育：</w:t>
      </w:r>
      <w:r>
        <w:rPr>
          <w:rFonts w:hint="eastAsia" w:ascii="仿宋_GB2312" w:hAnsi="仿宋_GB2312" w:eastAsia="仿宋_GB2312" w:cs="仿宋_GB2312"/>
          <w:color w:val="auto"/>
          <w:sz w:val="32"/>
          <w:szCs w:val="32"/>
        </w:rPr>
        <w:t>增强职业教育的适应性，</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广东</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职教城</w:t>
      </w:r>
      <w:r>
        <w:rPr>
          <w:rFonts w:hint="eastAsia" w:ascii="仿宋_GB2312" w:hAnsi="仿宋_GB2312" w:eastAsia="仿宋_GB2312" w:cs="仿宋_GB2312"/>
          <w:color w:val="auto"/>
          <w:sz w:val="32"/>
          <w:szCs w:val="32"/>
          <w:lang w:eastAsia="zh-CN"/>
        </w:rPr>
        <w:t>（清远）</w:t>
      </w:r>
      <w:r>
        <w:rPr>
          <w:rFonts w:hint="eastAsia" w:ascii="仿宋_GB2312" w:hAnsi="仿宋_GB2312" w:eastAsia="仿宋_GB2312" w:cs="仿宋_GB2312"/>
          <w:color w:val="auto"/>
          <w:sz w:val="32"/>
          <w:szCs w:val="32"/>
          <w:lang w:val="en-US" w:eastAsia="zh-CN"/>
        </w:rPr>
        <w:t>为依托，</w:t>
      </w:r>
      <w:r>
        <w:rPr>
          <w:rFonts w:hint="eastAsia" w:ascii="仿宋_GB2312" w:hAnsi="仿宋_GB2312" w:eastAsia="仿宋_GB2312" w:cs="仿宋_GB2312"/>
          <w:color w:val="auto"/>
          <w:sz w:val="32"/>
          <w:szCs w:val="32"/>
        </w:rPr>
        <w:t>引领</w:t>
      </w:r>
      <w:r>
        <w:rPr>
          <w:rFonts w:hint="eastAsia" w:ascii="仿宋_GB2312" w:hAnsi="仿宋_GB2312" w:eastAsia="仿宋_GB2312" w:cs="仿宋_GB2312"/>
          <w:color w:val="auto"/>
          <w:sz w:val="32"/>
          <w:szCs w:val="32"/>
          <w:lang w:val="en-US" w:eastAsia="zh-CN"/>
        </w:rPr>
        <w:t>我县</w:t>
      </w:r>
      <w:r>
        <w:rPr>
          <w:rFonts w:hint="eastAsia" w:ascii="仿宋_GB2312" w:hAnsi="仿宋_GB2312" w:eastAsia="仿宋_GB2312" w:cs="仿宋_GB2312"/>
          <w:color w:val="auto"/>
          <w:sz w:val="32"/>
          <w:szCs w:val="32"/>
        </w:rPr>
        <w:t>现代职业教育体系，</w:t>
      </w:r>
      <w:r>
        <w:rPr>
          <w:rFonts w:hint="eastAsia" w:ascii="仿宋_GB2312" w:hAnsi="仿宋_GB2312" w:eastAsia="仿宋_GB2312" w:cs="仿宋_GB2312"/>
          <w:color w:val="auto"/>
          <w:sz w:val="32"/>
          <w:szCs w:val="32"/>
          <w:lang w:val="en-US" w:eastAsia="zh-CN"/>
        </w:rPr>
        <w:t>加快</w:t>
      </w:r>
      <w:r>
        <w:rPr>
          <w:rFonts w:hint="eastAsia" w:ascii="仿宋_GB2312" w:hAnsi="仿宋_GB2312" w:eastAsia="仿宋_GB2312" w:cs="仿宋_GB2312"/>
          <w:color w:val="auto"/>
          <w:sz w:val="32"/>
          <w:szCs w:val="32"/>
        </w:rPr>
        <w:t>产教融合体制机制改革，企业行业等社会力量参与职业教育积极性显著提升，</w:t>
      </w:r>
      <w:r>
        <w:rPr>
          <w:rFonts w:hint="eastAsia" w:ascii="仿宋_GB2312" w:hAnsi="仿宋_GB2312" w:eastAsia="仿宋_GB2312" w:cs="仿宋_GB2312"/>
          <w:color w:val="auto"/>
          <w:sz w:val="32"/>
          <w:szCs w:val="32"/>
          <w:lang w:eastAsia="zh-CN"/>
        </w:rPr>
        <w:t>大力推行订单培养，提高就业率，增强职业教育吸引力。加强和高职院校的联系，完善三二分段培养模式，</w:t>
      </w:r>
      <w:r>
        <w:rPr>
          <w:rFonts w:hint="eastAsia" w:ascii="仿宋_GB2312" w:hAnsi="仿宋_GB2312" w:eastAsia="仿宋_GB2312" w:cs="仿宋_GB2312"/>
          <w:color w:val="auto"/>
          <w:sz w:val="32"/>
          <w:szCs w:val="32"/>
        </w:rPr>
        <w:t>人才培养质量全面提高。</w:t>
      </w:r>
    </w:p>
    <w:p>
      <w:pPr>
        <w:widowControl w:val="0"/>
        <w:wordWrap/>
        <w:adjustRightInd/>
        <w:snapToGrid/>
        <w:spacing w:line="560" w:lineRule="exact"/>
        <w:ind w:left="0" w:leftChars="0" w:right="0" w:firstLine="640" w:firstLineChars="200"/>
        <w:jc w:val="left"/>
        <w:rPr>
          <w:rFonts w:hint="default" w:ascii="仿宋_GB2312" w:hAnsi="仿宋_GB2312" w:eastAsia="宋体" w:cs="仿宋_GB2312"/>
          <w:color w:val="auto"/>
          <w:sz w:val="32"/>
          <w:szCs w:val="32"/>
          <w:u w:val="single" w:color="auto"/>
          <w:lang w:val="en-US" w:eastAsia="zh-CN"/>
        </w:rPr>
      </w:pPr>
      <w:r>
        <w:rPr>
          <w:rFonts w:hint="eastAsia" w:ascii="仿宋_GB2312" w:hAnsi="仿宋_GB2312" w:eastAsia="仿宋_GB2312" w:cs="仿宋_GB2312"/>
          <w:b/>
          <w:color w:val="auto"/>
          <w:sz w:val="32"/>
          <w:szCs w:val="32"/>
        </w:rPr>
        <w:t>——高等教育：</w:t>
      </w:r>
      <w:r>
        <w:rPr>
          <w:rFonts w:hint="eastAsia" w:ascii="仿宋_GB2312" w:hAnsi="仿宋_GB2312" w:eastAsia="仿宋_GB2312" w:cs="仿宋_GB2312"/>
          <w:color w:val="auto"/>
          <w:sz w:val="32"/>
          <w:szCs w:val="32"/>
        </w:rPr>
        <w:t>推进高校</w:t>
      </w:r>
      <w:r>
        <w:rPr>
          <w:rFonts w:hint="eastAsia" w:ascii="仿宋_GB2312" w:hAnsi="仿宋_GB2312" w:eastAsia="仿宋_GB2312" w:cs="仿宋_GB2312"/>
          <w:color w:val="auto"/>
          <w:sz w:val="32"/>
          <w:szCs w:val="32"/>
          <w:lang w:val="en-US" w:eastAsia="zh-CN"/>
        </w:rPr>
        <w:t>落地佛冈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依托高等</w:t>
      </w:r>
      <w:r>
        <w:rPr>
          <w:rFonts w:hint="eastAsia" w:ascii="仿宋_GB2312" w:hAnsi="仿宋_GB2312" w:eastAsia="仿宋_GB2312" w:cs="仿宋_GB2312"/>
          <w:color w:val="auto"/>
          <w:sz w:val="32"/>
          <w:szCs w:val="32"/>
        </w:rPr>
        <w:t>教育引领推进</w:t>
      </w:r>
      <w:r>
        <w:rPr>
          <w:rFonts w:hint="eastAsia" w:ascii="仿宋_GB2312" w:hAnsi="仿宋_GB2312" w:eastAsia="仿宋_GB2312" w:cs="仿宋_GB2312"/>
          <w:color w:val="auto"/>
          <w:sz w:val="32"/>
          <w:szCs w:val="32"/>
          <w:lang w:val="en-US" w:eastAsia="zh-CN"/>
        </w:rPr>
        <w:t>我县职业</w:t>
      </w:r>
      <w:r>
        <w:rPr>
          <w:rFonts w:hint="eastAsia" w:ascii="仿宋_GB2312" w:hAnsi="仿宋_GB2312" w:eastAsia="仿宋_GB2312" w:cs="仿宋_GB2312"/>
          <w:color w:val="auto"/>
          <w:sz w:val="32"/>
          <w:szCs w:val="32"/>
        </w:rPr>
        <w:t>教育新发展格局，服务地方经济社会发展能力明显提高。</w:t>
      </w:r>
    </w:p>
    <w:p>
      <w:pPr>
        <w:wordWrap/>
        <w:adjustRightInd/>
        <w:snapToGrid/>
        <w:spacing w:line="560" w:lineRule="exact"/>
        <w:ind w:left="0" w:leftChars="0" w:right="0" w:firstLine="643"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终身教育：</w:t>
      </w:r>
      <w:r>
        <w:rPr>
          <w:rFonts w:hint="eastAsia" w:ascii="仿宋_GB2312" w:hAnsi="仿宋_GB2312" w:eastAsia="仿宋_GB2312" w:cs="仿宋_GB2312"/>
          <w:color w:val="auto"/>
          <w:sz w:val="32"/>
          <w:szCs w:val="32"/>
        </w:rPr>
        <w:t>激活继续教育管理机制，畅通人才成长通道，建成终身教育体系；扩大优质社区教育资源供给，加快发展社区教育和老年教育，市民整体素质明显提高，进一步推动学习型城市建设。</w:t>
      </w:r>
    </w:p>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right="0"/>
        <w:jc w:val="both"/>
        <w:textAlignment w:val="baseline"/>
        <w:rPr>
          <w:rFonts w:hint="eastAsia" w:ascii="黑体" w:hAnsi="黑体" w:eastAsia="黑体" w:cs="黑体"/>
          <w:color w:val="auto"/>
          <w:sz w:val="30"/>
          <w:szCs w:val="30"/>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0"/>
          <w:szCs w:val="30"/>
        </w:rPr>
        <w:t>“十四五”期间</w:t>
      </w:r>
      <w:r>
        <w:rPr>
          <w:rFonts w:hint="eastAsia" w:ascii="黑体" w:hAnsi="黑体" w:eastAsia="黑体" w:cs="黑体"/>
          <w:color w:val="auto"/>
          <w:sz w:val="30"/>
          <w:szCs w:val="30"/>
          <w:lang w:eastAsia="zh-CN"/>
        </w:rPr>
        <w:t>佛冈</w:t>
      </w:r>
      <w:r>
        <w:rPr>
          <w:rFonts w:hint="eastAsia" w:ascii="黑体" w:hAnsi="黑体" w:eastAsia="黑体" w:cs="黑体"/>
          <w:color w:val="auto"/>
          <w:sz w:val="30"/>
          <w:szCs w:val="30"/>
        </w:rPr>
        <w:t>教育事业主要预期指标表（一）</w:t>
      </w:r>
    </w:p>
    <w:tbl>
      <w:tblPr>
        <w:tblStyle w:val="20"/>
        <w:tblpPr w:leftFromText="180" w:rightFromText="180" w:vertAnchor="text" w:horzAnchor="page" w:tblpX="1439" w:tblpY="611"/>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0"/>
        <w:gridCol w:w="3870"/>
        <w:gridCol w:w="1500"/>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exact"/>
        </w:trPr>
        <w:tc>
          <w:tcPr>
            <w:tcW w:w="4710" w:type="dxa"/>
            <w:gridSpan w:val="2"/>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　标</w:t>
            </w:r>
          </w:p>
        </w:tc>
        <w:tc>
          <w:tcPr>
            <w:tcW w:w="150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年</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2025年</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exact"/>
        </w:trPr>
        <w:tc>
          <w:tcPr>
            <w:tcW w:w="840" w:type="dxa"/>
            <w:vMerge w:val="restart"/>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学前</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教育</w:t>
            </w: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幼儿园数（所）</w:t>
            </w:r>
          </w:p>
        </w:tc>
        <w:tc>
          <w:tcPr>
            <w:tcW w:w="1500" w:type="dxa"/>
            <w:vAlign w:val="top"/>
          </w:tcPr>
          <w:p>
            <w:pPr>
              <w:widowControl/>
              <w:wordWrap/>
              <w:spacing w:beforeAutospacing="0" w:afterAutospacing="0" w:line="560" w:lineRule="exact"/>
              <w:ind w:left="0" w:leftChars="0" w:right="0"/>
              <w:contextualSpacing/>
              <w:jc w:val="center"/>
              <w:rPr>
                <w:rFonts w:hint="default" w:ascii="仿宋_GB2312" w:hAnsi="仿宋_GB2312" w:eastAsia="仿宋_GB2312" w:cs="仿宋_GB2312"/>
                <w:b w:val="0"/>
                <w:bCs w:val="0"/>
                <w:color w:val="auto"/>
                <w:sz w:val="24"/>
                <w:szCs w:val="24"/>
                <w:lang w:val="en-US" w:eastAsia="zh-CN"/>
              </w:rPr>
            </w:pPr>
            <w:r>
              <w:rPr>
                <w:rFonts w:hint="default" w:ascii="宋体" w:hAnsi="宋体" w:cs="宋体"/>
                <w:b w:val="0"/>
                <w:bCs w:val="0"/>
                <w:color w:val="auto"/>
                <w:sz w:val="24"/>
                <w:szCs w:val="20"/>
              </w:rPr>
              <w:t>72</w:t>
            </w:r>
          </w:p>
        </w:tc>
        <w:tc>
          <w:tcPr>
            <w:tcW w:w="1380" w:type="dxa"/>
            <w:vAlign w:val="top"/>
          </w:tcPr>
          <w:p>
            <w:pPr>
              <w:widowControl/>
              <w:wordWrap/>
              <w:spacing w:beforeAutospacing="0" w:afterAutospacing="0" w:line="560" w:lineRule="exact"/>
              <w:ind w:left="0" w:leftChars="0" w:right="0"/>
              <w:contextualSpacing/>
              <w:jc w:val="center"/>
              <w:rPr>
                <w:rFonts w:hint="default" w:ascii="仿宋_GB2312" w:hAnsi="仿宋_GB2312" w:eastAsia="仿宋_GB2312" w:cs="仿宋_GB2312"/>
                <w:b w:val="0"/>
                <w:bCs w:val="0"/>
                <w:color w:val="auto"/>
                <w:sz w:val="24"/>
                <w:szCs w:val="24"/>
                <w:lang w:val="en-US" w:eastAsia="zh-CN"/>
              </w:rPr>
            </w:pPr>
            <w:r>
              <w:rPr>
                <w:rFonts w:hint="default" w:ascii="宋体" w:hAnsi="宋体" w:cs="宋体"/>
                <w:b w:val="0"/>
                <w:bCs w:val="0"/>
                <w:color w:val="auto"/>
                <w:sz w:val="24"/>
                <w:szCs w:val="20"/>
              </w:rPr>
              <w:t>7</w:t>
            </w:r>
            <w:r>
              <w:rPr>
                <w:rFonts w:hint="eastAsia" w:ascii="宋体" w:hAnsi="宋体" w:cs="宋体"/>
                <w:b w:val="0"/>
                <w:bCs w:val="0"/>
                <w:color w:val="auto"/>
                <w:sz w:val="24"/>
                <w:szCs w:val="20"/>
                <w:lang w:val="en-US" w:eastAsia="zh-CN"/>
              </w:rPr>
              <w:t>2</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3"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公办幼儿园数（所）</w:t>
            </w:r>
          </w:p>
        </w:tc>
        <w:tc>
          <w:tcPr>
            <w:tcW w:w="150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lang w:eastAsia="zh-CN"/>
              </w:rPr>
            </w:pPr>
            <w:r>
              <w:rPr>
                <w:rFonts w:hint="default" w:ascii="宋体" w:hAnsi="宋体" w:cs="宋体"/>
                <w:b w:val="0"/>
                <w:bCs w:val="0"/>
                <w:color w:val="auto"/>
                <w:sz w:val="24"/>
                <w:szCs w:val="20"/>
              </w:rPr>
              <w:t>32</w:t>
            </w:r>
          </w:p>
        </w:tc>
        <w:tc>
          <w:tcPr>
            <w:tcW w:w="138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仿宋_GB2312" w:cs="宋体"/>
                <w:b w:val="0"/>
                <w:bCs w:val="0"/>
                <w:color w:val="auto"/>
                <w:sz w:val="24"/>
                <w:szCs w:val="20"/>
                <w:lang w:val="en-US" w:eastAsia="zh-CN"/>
              </w:rPr>
              <w:t>32</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3"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学前</w:t>
            </w:r>
            <w:r>
              <w:rPr>
                <w:rFonts w:hint="eastAsia" w:ascii="仿宋_GB2312" w:hAnsi="仿宋_GB2312" w:eastAsia="仿宋_GB2312" w:cs="仿宋_GB2312"/>
                <w:color w:val="auto"/>
                <w:sz w:val="24"/>
                <w:szCs w:val="24"/>
                <w:lang w:eastAsia="zh-CN"/>
              </w:rPr>
              <w:t>教育</w:t>
            </w:r>
            <w:r>
              <w:rPr>
                <w:rFonts w:hint="eastAsia" w:ascii="仿宋_GB2312" w:hAnsi="仿宋_GB2312" w:eastAsia="仿宋_GB2312" w:cs="仿宋_GB2312"/>
                <w:color w:val="auto"/>
                <w:sz w:val="24"/>
                <w:szCs w:val="24"/>
              </w:rPr>
              <w:t>三年毛入学率（%）</w:t>
            </w:r>
          </w:p>
        </w:tc>
        <w:tc>
          <w:tcPr>
            <w:tcW w:w="1500" w:type="dxa"/>
            <w:vAlign w:val="center"/>
          </w:tcPr>
          <w:p>
            <w:pPr>
              <w:widowControl/>
              <w:wordWrap/>
              <w:adjustRightInd w:val="0"/>
              <w:snapToGrid w:val="0"/>
              <w:spacing w:beforeAutospacing="0" w:afterAutospacing="0" w:line="560" w:lineRule="exact"/>
              <w:ind w:left="0" w:leftChars="0" w:right="0"/>
              <w:jc w:val="center"/>
              <w:rPr>
                <w:rFonts w:hint="default" w:ascii="仿宋_GB2312" w:hAnsi="仿宋_GB2312" w:eastAsia="仿宋_GB2312" w:cs="仿宋_GB2312"/>
                <w:b w:val="0"/>
                <w:bCs w:val="0"/>
                <w:color w:val="auto"/>
                <w:sz w:val="24"/>
                <w:szCs w:val="24"/>
                <w:highlight w:val="none"/>
                <w:lang w:val="en-US" w:eastAsia="zh-CN"/>
              </w:rPr>
            </w:pPr>
            <w:r>
              <w:rPr>
                <w:rFonts w:hint="default" w:ascii="Arial" w:hAnsi="Arial" w:cs="Arial"/>
                <w:b w:val="0"/>
                <w:bCs w:val="0"/>
                <w:color w:val="auto"/>
                <w:kern w:val="0"/>
                <w:sz w:val="22"/>
                <w:szCs w:val="18"/>
                <w:highlight w:val="none"/>
              </w:rPr>
              <w:t>≥</w:t>
            </w:r>
            <w:r>
              <w:rPr>
                <w:rFonts w:hint="eastAsia" w:ascii="宋体" w:hAnsi="宋体" w:cs="宋体"/>
                <w:b w:val="0"/>
                <w:bCs w:val="0"/>
                <w:color w:val="auto"/>
                <w:kern w:val="0"/>
                <w:sz w:val="22"/>
                <w:szCs w:val="18"/>
                <w:highlight w:val="none"/>
                <w:lang w:val="en-US" w:eastAsia="zh-CN"/>
              </w:rPr>
              <w:t>100</w:t>
            </w:r>
          </w:p>
        </w:tc>
        <w:tc>
          <w:tcPr>
            <w:tcW w:w="1380" w:type="dxa"/>
            <w:vAlign w:val="center"/>
          </w:tcPr>
          <w:p>
            <w:pPr>
              <w:widowControl/>
              <w:wordWrap/>
              <w:adjustRightInd w:val="0"/>
              <w:snapToGrid w:val="0"/>
              <w:spacing w:beforeAutospacing="0" w:afterAutospacing="0" w:line="560" w:lineRule="exact"/>
              <w:ind w:left="0" w:leftChars="0" w:right="0"/>
              <w:jc w:val="center"/>
              <w:rPr>
                <w:rFonts w:hint="eastAsia" w:ascii="仿宋_GB2312" w:hAnsi="仿宋_GB2312" w:eastAsia="仿宋_GB2312" w:cs="仿宋_GB2312"/>
                <w:b w:val="0"/>
                <w:bCs w:val="0"/>
                <w:color w:val="auto"/>
                <w:sz w:val="24"/>
                <w:szCs w:val="24"/>
                <w:highlight w:val="none"/>
              </w:rPr>
            </w:pPr>
            <w:r>
              <w:rPr>
                <w:rFonts w:hint="default" w:ascii="Arial" w:hAnsi="Arial" w:cs="Arial"/>
                <w:b w:val="0"/>
                <w:bCs w:val="0"/>
                <w:color w:val="auto"/>
                <w:kern w:val="0"/>
                <w:sz w:val="22"/>
                <w:szCs w:val="18"/>
                <w:highlight w:val="none"/>
              </w:rPr>
              <w:t>≥</w:t>
            </w:r>
            <w:r>
              <w:rPr>
                <w:rFonts w:hint="eastAsia" w:ascii="宋体" w:hAnsi="宋体" w:cs="宋体"/>
                <w:b w:val="0"/>
                <w:bCs w:val="0"/>
                <w:color w:val="auto"/>
                <w:kern w:val="0"/>
                <w:sz w:val="22"/>
                <w:szCs w:val="18"/>
                <w:highlight w:val="none"/>
                <w:lang w:val="en-US" w:eastAsia="zh-CN"/>
              </w:rPr>
              <w:t>100</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default" w:ascii="Arial" w:hAnsi="Arial" w:eastAsia="仿宋_GB2312" w:cs="Arial"/>
                <w:color w:val="auto"/>
                <w:sz w:val="24"/>
                <w:szCs w:val="24"/>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2"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公办园和普惠性民办幼儿园在园儿童占比（%）</w:t>
            </w:r>
          </w:p>
        </w:tc>
        <w:tc>
          <w:tcPr>
            <w:tcW w:w="1500" w:type="dxa"/>
            <w:vAlign w:val="center"/>
          </w:tcPr>
          <w:p>
            <w:pPr>
              <w:widowControl/>
              <w:wordWrap/>
              <w:adjustRightInd w:val="0"/>
              <w:snapToGrid w:val="0"/>
              <w:spacing w:beforeAutospacing="0" w:afterAutospacing="0" w:line="560" w:lineRule="exact"/>
              <w:ind w:left="0" w:leftChars="0" w:right="0"/>
              <w:jc w:val="center"/>
              <w:rPr>
                <w:rFonts w:hint="default" w:ascii="仿宋_GB2312" w:hAnsi="仿宋_GB2312" w:eastAsia="仿宋_GB2312" w:cs="仿宋_GB2312"/>
                <w:b w:val="0"/>
                <w:bCs w:val="0"/>
                <w:color w:val="auto"/>
                <w:sz w:val="24"/>
                <w:szCs w:val="24"/>
                <w:lang w:val="en-US"/>
              </w:rPr>
            </w:pPr>
            <w:r>
              <w:rPr>
                <w:rFonts w:hint="default" w:ascii="Arial" w:hAnsi="Arial" w:cs="Arial"/>
                <w:b w:val="0"/>
                <w:bCs w:val="0"/>
                <w:color w:val="auto"/>
                <w:kern w:val="0"/>
                <w:sz w:val="24"/>
                <w:szCs w:val="20"/>
              </w:rPr>
              <w:t>≥</w:t>
            </w:r>
            <w:r>
              <w:rPr>
                <w:rFonts w:hint="eastAsia" w:ascii="宋体" w:hAnsi="宋体" w:cs="宋体"/>
                <w:b w:val="0"/>
                <w:bCs w:val="0"/>
                <w:color w:val="auto"/>
                <w:kern w:val="0"/>
                <w:sz w:val="24"/>
                <w:szCs w:val="20"/>
              </w:rPr>
              <w:t>8</w:t>
            </w:r>
            <w:r>
              <w:rPr>
                <w:rFonts w:hint="eastAsia" w:ascii="宋体" w:hAnsi="宋体" w:cs="宋体"/>
                <w:b w:val="0"/>
                <w:bCs w:val="0"/>
                <w:color w:val="auto"/>
                <w:kern w:val="0"/>
                <w:sz w:val="24"/>
                <w:szCs w:val="20"/>
                <w:lang w:val="en-US" w:eastAsia="zh-CN"/>
              </w:rPr>
              <w:t>0</w:t>
            </w:r>
          </w:p>
        </w:tc>
        <w:tc>
          <w:tcPr>
            <w:tcW w:w="1380" w:type="dxa"/>
            <w:vAlign w:val="center"/>
          </w:tcPr>
          <w:p>
            <w:pPr>
              <w:widowControl/>
              <w:wordWrap/>
              <w:adjustRightInd w:val="0"/>
              <w:snapToGrid w:val="0"/>
              <w:spacing w:beforeAutospacing="0" w:afterAutospacing="0" w:line="560" w:lineRule="exact"/>
              <w:ind w:left="0" w:leftChars="0" w:right="0"/>
              <w:jc w:val="center"/>
              <w:rPr>
                <w:rFonts w:hint="eastAsia" w:ascii="仿宋_GB2312" w:hAnsi="仿宋_GB2312" w:eastAsia="仿宋_GB2312" w:cs="仿宋_GB2312"/>
                <w:b w:val="0"/>
                <w:bCs w:val="0"/>
                <w:color w:val="auto"/>
                <w:sz w:val="24"/>
                <w:szCs w:val="24"/>
              </w:rPr>
            </w:pPr>
            <w:r>
              <w:rPr>
                <w:rFonts w:hint="default" w:ascii="Arial" w:hAnsi="Arial" w:cs="Arial"/>
                <w:b w:val="0"/>
                <w:bCs w:val="0"/>
                <w:color w:val="auto"/>
                <w:kern w:val="0"/>
                <w:sz w:val="24"/>
                <w:szCs w:val="20"/>
                <w:highlight w:val="none"/>
              </w:rPr>
              <w:t>≥</w:t>
            </w:r>
            <w:r>
              <w:rPr>
                <w:rFonts w:hint="eastAsia" w:ascii="宋体" w:hAnsi="宋体" w:cs="宋体"/>
                <w:b w:val="0"/>
                <w:bCs w:val="0"/>
                <w:color w:val="auto"/>
                <w:sz w:val="24"/>
                <w:szCs w:val="20"/>
                <w:highlight w:val="none"/>
              </w:rPr>
              <w:t>8</w:t>
            </w:r>
            <w:r>
              <w:rPr>
                <w:rFonts w:hint="eastAsia" w:ascii="宋体" w:hAnsi="宋体" w:cs="宋体"/>
                <w:b w:val="0"/>
                <w:bCs w:val="0"/>
                <w:color w:val="auto"/>
                <w:sz w:val="24"/>
                <w:szCs w:val="20"/>
                <w:highlight w:val="none"/>
                <w:lang w:val="en-US" w:eastAsia="zh-CN"/>
              </w:rPr>
              <w:t>5</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3"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公办幼儿园在园幼儿占比（%）</w:t>
            </w:r>
          </w:p>
        </w:tc>
        <w:tc>
          <w:tcPr>
            <w:tcW w:w="1500" w:type="dxa"/>
            <w:vAlign w:val="center"/>
          </w:tcPr>
          <w:p>
            <w:pPr>
              <w:widowControl/>
              <w:wordWrap/>
              <w:adjustRightInd w:val="0"/>
              <w:snapToGrid w:val="0"/>
              <w:spacing w:beforeAutospacing="0" w:afterAutospacing="0" w:line="560" w:lineRule="exact"/>
              <w:ind w:left="0" w:leftChars="0" w:right="0"/>
              <w:jc w:val="center"/>
              <w:rPr>
                <w:rFonts w:hint="eastAsia" w:ascii="仿宋_GB2312" w:hAnsi="仿宋_GB2312" w:eastAsia="仿宋_GB2312" w:cs="仿宋_GB2312"/>
                <w:b w:val="0"/>
                <w:bCs w:val="0"/>
                <w:color w:val="auto"/>
                <w:sz w:val="24"/>
                <w:szCs w:val="24"/>
              </w:rPr>
            </w:pPr>
            <w:r>
              <w:rPr>
                <w:rFonts w:hint="default" w:ascii="Arial" w:hAnsi="Arial" w:cs="Arial"/>
                <w:b w:val="0"/>
                <w:bCs w:val="0"/>
                <w:color w:val="auto"/>
                <w:kern w:val="0"/>
                <w:sz w:val="24"/>
                <w:szCs w:val="20"/>
              </w:rPr>
              <w:t>≥</w:t>
            </w:r>
            <w:r>
              <w:rPr>
                <w:rFonts w:hint="eastAsia" w:ascii="宋体" w:hAnsi="宋体" w:cs="宋体"/>
                <w:b w:val="0"/>
                <w:bCs w:val="0"/>
                <w:color w:val="auto"/>
                <w:kern w:val="0"/>
                <w:sz w:val="24"/>
                <w:szCs w:val="20"/>
              </w:rPr>
              <w:t>50</w:t>
            </w:r>
          </w:p>
        </w:tc>
        <w:tc>
          <w:tcPr>
            <w:tcW w:w="1380" w:type="dxa"/>
            <w:vAlign w:val="center"/>
          </w:tcPr>
          <w:p>
            <w:pPr>
              <w:widowControl/>
              <w:wordWrap/>
              <w:adjustRightInd w:val="0"/>
              <w:snapToGrid w:val="0"/>
              <w:spacing w:beforeAutospacing="0" w:afterAutospacing="0" w:line="560" w:lineRule="exact"/>
              <w:ind w:left="0" w:leftChars="0" w:right="0"/>
              <w:jc w:val="center"/>
              <w:rPr>
                <w:rFonts w:hint="eastAsia" w:ascii="仿宋_GB2312" w:hAnsi="仿宋_GB2312" w:eastAsia="仿宋_GB2312" w:cs="仿宋_GB2312"/>
                <w:b w:val="0"/>
                <w:bCs w:val="0"/>
                <w:color w:val="auto"/>
                <w:sz w:val="24"/>
                <w:szCs w:val="24"/>
              </w:rPr>
            </w:pPr>
            <w:r>
              <w:rPr>
                <w:rFonts w:hint="default" w:ascii="Arial" w:hAnsi="Arial" w:cs="Arial"/>
                <w:b w:val="0"/>
                <w:bCs w:val="0"/>
                <w:color w:val="auto"/>
                <w:kern w:val="0"/>
                <w:sz w:val="24"/>
                <w:szCs w:val="20"/>
              </w:rPr>
              <w:t>≥</w:t>
            </w:r>
            <w:r>
              <w:rPr>
                <w:rFonts w:hint="eastAsia" w:ascii="宋体" w:hAnsi="宋体" w:cs="宋体"/>
                <w:b w:val="0"/>
                <w:bCs w:val="0"/>
                <w:color w:val="auto"/>
                <w:kern w:val="0"/>
                <w:sz w:val="24"/>
                <w:szCs w:val="20"/>
              </w:rPr>
              <w:t>50</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exact"/>
        </w:trPr>
        <w:tc>
          <w:tcPr>
            <w:tcW w:w="840" w:type="dxa"/>
            <w:vMerge w:val="restart"/>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义务</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教育</w:t>
            </w: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公办</w:t>
            </w:r>
            <w:r>
              <w:rPr>
                <w:rFonts w:hint="eastAsia" w:ascii="仿宋_GB2312" w:hAnsi="仿宋_GB2312" w:eastAsia="仿宋_GB2312" w:cs="仿宋_GB2312"/>
                <w:color w:val="auto"/>
                <w:sz w:val="24"/>
                <w:szCs w:val="24"/>
              </w:rPr>
              <w:t>义务教育学校数（所）</w:t>
            </w:r>
          </w:p>
        </w:tc>
        <w:tc>
          <w:tcPr>
            <w:tcW w:w="150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仿宋_GB2312" w:cs="宋体"/>
                <w:b w:val="0"/>
                <w:bCs w:val="0"/>
                <w:color w:val="auto"/>
                <w:sz w:val="24"/>
                <w:szCs w:val="20"/>
                <w:lang w:val="en-US" w:eastAsia="zh-CN"/>
              </w:rPr>
              <w:t>54</w:t>
            </w:r>
          </w:p>
        </w:tc>
        <w:tc>
          <w:tcPr>
            <w:tcW w:w="138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仿宋_GB2312" w:cs="宋体"/>
                <w:b w:val="0"/>
                <w:bCs w:val="0"/>
                <w:color w:val="auto"/>
                <w:sz w:val="24"/>
                <w:szCs w:val="20"/>
                <w:lang w:val="en-US" w:eastAsia="zh-CN"/>
              </w:rPr>
              <w:t>57</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小学适龄儿童入学率（%）</w:t>
            </w:r>
          </w:p>
        </w:tc>
        <w:tc>
          <w:tcPr>
            <w:tcW w:w="150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rPr>
            </w:pPr>
            <w:r>
              <w:rPr>
                <w:rFonts w:hint="eastAsia" w:ascii="宋体" w:hAnsi="宋体" w:cs="宋体"/>
                <w:b w:val="0"/>
                <w:bCs w:val="0"/>
                <w:color w:val="auto"/>
                <w:sz w:val="24"/>
                <w:szCs w:val="20"/>
              </w:rPr>
              <w:t>100</w:t>
            </w:r>
          </w:p>
        </w:tc>
        <w:tc>
          <w:tcPr>
            <w:tcW w:w="138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rPr>
            </w:pPr>
            <w:r>
              <w:rPr>
                <w:rFonts w:hint="eastAsia" w:ascii="宋体" w:hAnsi="宋体" w:cs="宋体"/>
                <w:b w:val="0"/>
                <w:bCs w:val="0"/>
                <w:color w:val="auto"/>
                <w:sz w:val="24"/>
                <w:szCs w:val="20"/>
              </w:rPr>
              <w:t>100</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3"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小学毕业生升学率（%）</w:t>
            </w:r>
          </w:p>
        </w:tc>
        <w:tc>
          <w:tcPr>
            <w:tcW w:w="150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rPr>
            </w:pPr>
            <w:r>
              <w:rPr>
                <w:rFonts w:hint="eastAsia" w:ascii="宋体" w:hAnsi="宋体" w:cs="宋体"/>
                <w:b w:val="0"/>
                <w:bCs w:val="0"/>
                <w:color w:val="auto"/>
                <w:sz w:val="24"/>
                <w:szCs w:val="20"/>
              </w:rPr>
              <w:t>100</w:t>
            </w:r>
          </w:p>
        </w:tc>
        <w:tc>
          <w:tcPr>
            <w:tcW w:w="138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rPr>
            </w:pPr>
            <w:r>
              <w:rPr>
                <w:rFonts w:hint="eastAsia" w:ascii="宋体" w:hAnsi="宋体" w:cs="宋体"/>
                <w:b w:val="0"/>
                <w:bCs w:val="0"/>
                <w:color w:val="auto"/>
                <w:sz w:val="24"/>
                <w:szCs w:val="20"/>
              </w:rPr>
              <w:t>100</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3"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初中毕业生升学率（%）</w:t>
            </w:r>
          </w:p>
        </w:tc>
        <w:tc>
          <w:tcPr>
            <w:tcW w:w="150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lang w:eastAsia="zh-CN"/>
              </w:rPr>
            </w:pPr>
            <w:r>
              <w:rPr>
                <w:rFonts w:hint="eastAsia" w:ascii="宋体" w:hAnsi="宋体" w:eastAsia="仿宋_GB2312" w:cs="宋体"/>
                <w:b w:val="0"/>
                <w:bCs w:val="0"/>
                <w:color w:val="auto"/>
                <w:sz w:val="24"/>
                <w:szCs w:val="20"/>
                <w:lang w:val="en-US" w:eastAsia="zh-CN"/>
              </w:rPr>
              <w:t>98</w:t>
            </w:r>
          </w:p>
        </w:tc>
        <w:tc>
          <w:tcPr>
            <w:tcW w:w="138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lang w:eastAsia="zh-CN"/>
              </w:rPr>
            </w:pPr>
            <w:r>
              <w:rPr>
                <w:rFonts w:hint="eastAsia" w:ascii="宋体" w:hAnsi="宋体" w:eastAsia="仿宋_GB2312" w:cs="宋体"/>
                <w:b w:val="0"/>
                <w:bCs w:val="0"/>
                <w:color w:val="auto"/>
                <w:sz w:val="24"/>
                <w:szCs w:val="20"/>
                <w:lang w:val="en-US" w:eastAsia="zh-CN"/>
              </w:rPr>
              <w:t>98</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3"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九年义务教育巩固率（%）</w:t>
            </w:r>
          </w:p>
        </w:tc>
        <w:tc>
          <w:tcPr>
            <w:tcW w:w="150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highlight w:val="none"/>
              </w:rPr>
            </w:pPr>
            <w:r>
              <w:rPr>
                <w:rFonts w:hint="default" w:ascii="Arial" w:hAnsi="Arial" w:cs="Arial"/>
                <w:b w:val="0"/>
                <w:bCs w:val="0"/>
                <w:color w:val="auto"/>
                <w:kern w:val="0"/>
                <w:sz w:val="24"/>
                <w:szCs w:val="20"/>
                <w:highlight w:val="none"/>
              </w:rPr>
              <w:t>≥</w:t>
            </w:r>
            <w:r>
              <w:rPr>
                <w:rFonts w:hint="eastAsia" w:ascii="宋体" w:hAnsi="宋体" w:cs="宋体"/>
                <w:b w:val="0"/>
                <w:bCs w:val="0"/>
                <w:color w:val="auto"/>
                <w:sz w:val="24"/>
                <w:szCs w:val="20"/>
                <w:highlight w:val="none"/>
              </w:rPr>
              <w:t>9</w:t>
            </w:r>
            <w:r>
              <w:rPr>
                <w:rFonts w:hint="eastAsia" w:ascii="宋体" w:hAnsi="宋体" w:cs="宋体"/>
                <w:b w:val="0"/>
                <w:bCs w:val="0"/>
                <w:color w:val="auto"/>
                <w:sz w:val="24"/>
                <w:szCs w:val="20"/>
                <w:highlight w:val="none"/>
                <w:lang w:val="en-US" w:eastAsia="zh-CN"/>
              </w:rPr>
              <w:t>6</w:t>
            </w:r>
          </w:p>
        </w:tc>
        <w:tc>
          <w:tcPr>
            <w:tcW w:w="138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highlight w:val="none"/>
                <w:lang w:eastAsia="zh-CN"/>
              </w:rPr>
            </w:pPr>
            <w:r>
              <w:rPr>
                <w:rFonts w:hint="default" w:ascii="Arial" w:hAnsi="Arial" w:cs="Arial"/>
                <w:b w:val="0"/>
                <w:bCs w:val="0"/>
                <w:color w:val="auto"/>
                <w:kern w:val="0"/>
                <w:sz w:val="24"/>
                <w:szCs w:val="20"/>
                <w:highlight w:val="none"/>
              </w:rPr>
              <w:t>≥</w:t>
            </w:r>
            <w:r>
              <w:rPr>
                <w:rFonts w:hint="default" w:ascii="仿宋_GB2312" w:hAnsi="仿宋_GB2312" w:eastAsia="仿宋_GB2312" w:cs="仿宋_GB2312"/>
                <w:b w:val="0"/>
                <w:bCs w:val="0"/>
                <w:color w:val="auto"/>
                <w:sz w:val="24"/>
                <w:szCs w:val="24"/>
                <w:highlight w:val="none"/>
                <w:lang w:eastAsia="zh-CN"/>
              </w:rPr>
              <w:t>96</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Arial" w:hAnsi="Arial" w:eastAsia="仿宋_GB2312" w:cs="Arial"/>
                <w:color w:val="auto"/>
                <w:sz w:val="24"/>
                <w:szCs w:val="24"/>
                <w:lang w:eastAsia="zh-CN"/>
              </w:rPr>
            </w:pPr>
            <w:r>
              <w:rPr>
                <w:rFonts w:hint="eastAsia" w:ascii="仿宋_GB2312" w:hAnsi="仿宋_GB2312" w:eastAsia="仿宋_GB2312" w:cs="仿宋_GB2312"/>
                <w:color w:val="auto"/>
                <w:sz w:val="24"/>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9" w:hRule="exact"/>
        </w:trPr>
        <w:tc>
          <w:tcPr>
            <w:tcW w:w="840" w:type="dxa"/>
            <w:vMerge w:val="restart"/>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阶段</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教育</w:t>
            </w: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普通高中学校数（所）</w:t>
            </w:r>
          </w:p>
        </w:tc>
        <w:tc>
          <w:tcPr>
            <w:tcW w:w="1500" w:type="dxa"/>
            <w:vAlign w:val="center"/>
          </w:tcPr>
          <w:p>
            <w:pPr>
              <w:widowControl/>
              <w:wordWrap/>
              <w:spacing w:beforeAutospacing="0" w:afterAutospacing="0" w:line="560" w:lineRule="exact"/>
              <w:ind w:left="0" w:leftChars="0" w:right="0"/>
              <w:contextualSpacing/>
              <w:jc w:val="center"/>
              <w:rPr>
                <w:rFonts w:hint="eastAsia"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2</w:t>
            </w:r>
          </w:p>
        </w:tc>
        <w:tc>
          <w:tcPr>
            <w:tcW w:w="1380" w:type="dxa"/>
            <w:vAlign w:val="center"/>
          </w:tcPr>
          <w:p>
            <w:pPr>
              <w:widowControl/>
              <w:wordWrap/>
              <w:spacing w:beforeAutospacing="0" w:afterAutospacing="0" w:line="560" w:lineRule="exact"/>
              <w:ind w:left="0" w:leftChars="0" w:right="0"/>
              <w:contextualSpacing/>
              <w:jc w:val="center"/>
              <w:rPr>
                <w:rFonts w:hint="eastAsia"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2</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中等职业教育学校数（所）</w:t>
            </w:r>
          </w:p>
        </w:tc>
        <w:tc>
          <w:tcPr>
            <w:tcW w:w="1500" w:type="dxa"/>
            <w:vAlign w:val="center"/>
          </w:tcPr>
          <w:p>
            <w:pPr>
              <w:widowControl/>
              <w:wordWrap/>
              <w:spacing w:beforeAutospacing="0" w:afterAutospacing="0" w:line="560" w:lineRule="exact"/>
              <w:ind w:left="0" w:leftChars="0" w:right="0"/>
              <w:contextualSpacing/>
              <w:jc w:val="center"/>
              <w:rPr>
                <w:rFonts w:hint="eastAsia"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2</w:t>
            </w:r>
          </w:p>
        </w:tc>
        <w:tc>
          <w:tcPr>
            <w:tcW w:w="1380" w:type="dxa"/>
            <w:vAlign w:val="center"/>
          </w:tcPr>
          <w:p>
            <w:pPr>
              <w:widowControl/>
              <w:wordWrap/>
              <w:spacing w:beforeAutospacing="0" w:afterAutospacing="0" w:line="560" w:lineRule="exact"/>
              <w:ind w:left="0" w:leftChars="0" w:right="0"/>
              <w:contextualSpacing/>
              <w:jc w:val="center"/>
              <w:rPr>
                <w:rFonts w:hint="eastAsia"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2</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高中阶段毛入学率（%）</w:t>
            </w:r>
          </w:p>
        </w:tc>
        <w:tc>
          <w:tcPr>
            <w:tcW w:w="1500" w:type="dxa"/>
            <w:vAlign w:val="center"/>
          </w:tcPr>
          <w:p>
            <w:pPr>
              <w:wordWrap/>
              <w:spacing w:line="560" w:lineRule="exact"/>
              <w:ind w:left="0" w:leftChars="0" w:right="0"/>
              <w:jc w:val="center"/>
              <w:rPr>
                <w:rFonts w:hint="eastAsia" w:ascii="仿宋_GB2312" w:hAnsi="仿宋_GB2312" w:eastAsia="仿宋_GB2312" w:cs="仿宋_GB2312"/>
                <w:b w:val="0"/>
                <w:bCs w:val="0"/>
                <w:color w:val="auto"/>
                <w:sz w:val="24"/>
                <w:szCs w:val="24"/>
              </w:rPr>
            </w:pPr>
            <w:r>
              <w:rPr>
                <w:rFonts w:hint="eastAsia" w:ascii="宋体" w:hAnsi="宋体" w:eastAsia="宋体" w:cs="宋体"/>
                <w:b w:val="0"/>
                <w:bCs w:val="0"/>
                <w:color w:val="auto"/>
                <w:sz w:val="24"/>
                <w:highlight w:val="none"/>
              </w:rPr>
              <w:t>&gt;</w:t>
            </w:r>
            <w:r>
              <w:rPr>
                <w:rFonts w:hint="eastAsia" w:ascii="宋体" w:hAnsi="宋体" w:cs="宋体"/>
                <w:b w:val="0"/>
                <w:bCs w:val="0"/>
                <w:color w:val="auto"/>
                <w:sz w:val="24"/>
              </w:rPr>
              <w:t>9</w:t>
            </w:r>
            <w:r>
              <w:rPr>
                <w:rFonts w:hint="eastAsia" w:ascii="宋体" w:hAnsi="宋体" w:cs="宋体"/>
                <w:b w:val="0"/>
                <w:bCs w:val="0"/>
                <w:color w:val="auto"/>
                <w:sz w:val="24"/>
                <w:lang w:val="en-US" w:eastAsia="zh-CN"/>
              </w:rPr>
              <w:t>5</w:t>
            </w:r>
          </w:p>
        </w:tc>
        <w:tc>
          <w:tcPr>
            <w:tcW w:w="1380" w:type="dxa"/>
            <w:vAlign w:val="center"/>
          </w:tcPr>
          <w:p>
            <w:pPr>
              <w:wordWrap/>
              <w:spacing w:line="560" w:lineRule="exact"/>
              <w:ind w:left="0" w:leftChars="0" w:right="0"/>
              <w:jc w:val="center"/>
              <w:rPr>
                <w:rFonts w:hint="eastAsia" w:ascii="仿宋_GB2312" w:hAnsi="仿宋_GB2312" w:eastAsia="仿宋_GB2312" w:cs="仿宋_GB2312"/>
                <w:b w:val="0"/>
                <w:bCs w:val="0"/>
                <w:color w:val="auto"/>
                <w:sz w:val="24"/>
                <w:szCs w:val="24"/>
              </w:rPr>
            </w:pPr>
            <w:r>
              <w:rPr>
                <w:rFonts w:hint="eastAsia" w:ascii="宋体" w:hAnsi="宋体" w:eastAsia="宋体" w:cs="宋体"/>
                <w:b w:val="0"/>
                <w:bCs w:val="0"/>
                <w:color w:val="auto"/>
                <w:sz w:val="24"/>
                <w:highlight w:val="none"/>
              </w:rPr>
              <w:t>&gt;</w:t>
            </w:r>
            <w:r>
              <w:rPr>
                <w:rFonts w:hint="eastAsia" w:ascii="宋体" w:hAnsi="宋体" w:cs="宋体"/>
                <w:b w:val="0"/>
                <w:bCs w:val="0"/>
                <w:color w:val="auto"/>
                <w:sz w:val="24"/>
              </w:rPr>
              <w:t>9</w:t>
            </w:r>
            <w:r>
              <w:rPr>
                <w:rFonts w:hint="eastAsia" w:ascii="宋体" w:hAnsi="宋体" w:cs="宋体"/>
                <w:b w:val="0"/>
                <w:bCs w:val="0"/>
                <w:color w:val="auto"/>
                <w:sz w:val="24"/>
                <w:lang w:val="en-US" w:eastAsia="zh-CN"/>
              </w:rPr>
              <w:t>5</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exact"/>
        </w:trPr>
        <w:tc>
          <w:tcPr>
            <w:tcW w:w="840" w:type="dxa"/>
            <w:vMerge w:val="restart"/>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特殊</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教育</w:t>
            </w: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特殊教育学校数（所）</w:t>
            </w:r>
          </w:p>
        </w:tc>
        <w:tc>
          <w:tcPr>
            <w:tcW w:w="1500" w:type="dxa"/>
            <w:vAlign w:val="top"/>
          </w:tcPr>
          <w:p>
            <w:pPr>
              <w:widowControl/>
              <w:wordWrap/>
              <w:spacing w:beforeAutospacing="0" w:afterAutospacing="0" w:line="560" w:lineRule="exact"/>
              <w:ind w:left="0" w:leftChars="0" w:right="0"/>
              <w:contextualSpacing/>
              <w:jc w:val="center"/>
              <w:rPr>
                <w:rFonts w:hint="eastAsia" w:ascii="宋体" w:hAnsi="宋体" w:eastAsia="仿宋_GB2312" w:cs="宋体"/>
                <w:b w:val="0"/>
                <w:bCs w:val="0"/>
                <w:color w:val="auto"/>
                <w:sz w:val="24"/>
                <w:szCs w:val="20"/>
                <w:lang w:val="en-US" w:eastAsia="zh-CN"/>
              </w:rPr>
            </w:pPr>
            <w:r>
              <w:rPr>
                <w:rFonts w:hint="default" w:ascii="宋体" w:hAnsi="宋体" w:eastAsia="仿宋_GB2312" w:cs="宋体"/>
                <w:b w:val="0"/>
                <w:bCs w:val="0"/>
                <w:color w:val="auto"/>
                <w:sz w:val="24"/>
                <w:szCs w:val="20"/>
                <w:lang w:val="en-US" w:eastAsia="zh-CN"/>
              </w:rPr>
              <w:t>1</w:t>
            </w:r>
          </w:p>
        </w:tc>
        <w:tc>
          <w:tcPr>
            <w:tcW w:w="1380" w:type="dxa"/>
            <w:vAlign w:val="top"/>
          </w:tcPr>
          <w:p>
            <w:pPr>
              <w:widowControl/>
              <w:wordWrap/>
              <w:spacing w:beforeAutospacing="0" w:afterAutospacing="0" w:line="560" w:lineRule="exact"/>
              <w:ind w:left="0" w:leftChars="0" w:right="0"/>
              <w:contextualSpacing/>
              <w:jc w:val="center"/>
              <w:rPr>
                <w:rFonts w:hint="eastAsia" w:ascii="宋体" w:hAnsi="宋体" w:eastAsia="仿宋_GB2312" w:cs="宋体"/>
                <w:b w:val="0"/>
                <w:bCs w:val="0"/>
                <w:color w:val="auto"/>
                <w:sz w:val="24"/>
                <w:szCs w:val="20"/>
                <w:lang w:val="en-US" w:eastAsia="zh-CN"/>
              </w:rPr>
            </w:pPr>
            <w:r>
              <w:rPr>
                <w:rFonts w:hint="default" w:ascii="宋体" w:hAnsi="宋体" w:eastAsia="仿宋_GB2312" w:cs="宋体"/>
                <w:b w:val="0"/>
                <w:bCs w:val="0"/>
                <w:color w:val="auto"/>
                <w:sz w:val="24"/>
                <w:szCs w:val="20"/>
                <w:lang w:val="en-US" w:eastAsia="zh-CN"/>
              </w:rPr>
              <w:t>1</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适龄残疾儿童少年入学率（%）</w:t>
            </w:r>
          </w:p>
        </w:tc>
        <w:tc>
          <w:tcPr>
            <w:tcW w:w="150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lang w:val="en-US" w:eastAsia="zh-CN"/>
              </w:rPr>
            </w:pPr>
            <w:r>
              <w:rPr>
                <w:rFonts w:hint="default" w:ascii="Arial" w:hAnsi="Arial" w:cs="Arial"/>
                <w:b w:val="0"/>
                <w:bCs w:val="0"/>
                <w:color w:val="auto"/>
                <w:kern w:val="0"/>
                <w:sz w:val="24"/>
                <w:szCs w:val="20"/>
              </w:rPr>
              <w:t>≥</w:t>
            </w:r>
            <w:r>
              <w:rPr>
                <w:rFonts w:hint="eastAsia" w:ascii="宋体" w:hAnsi="宋体" w:cs="宋体"/>
                <w:b w:val="0"/>
                <w:bCs w:val="0"/>
                <w:color w:val="auto"/>
                <w:sz w:val="24"/>
                <w:szCs w:val="20"/>
              </w:rPr>
              <w:t>9</w:t>
            </w:r>
            <w:r>
              <w:rPr>
                <w:rFonts w:hint="eastAsia" w:ascii="宋体" w:hAnsi="宋体" w:cs="宋体"/>
                <w:b w:val="0"/>
                <w:bCs w:val="0"/>
                <w:color w:val="auto"/>
                <w:sz w:val="24"/>
                <w:szCs w:val="20"/>
                <w:lang w:val="en-US" w:eastAsia="zh-CN"/>
              </w:rPr>
              <w:t>8</w:t>
            </w:r>
          </w:p>
        </w:tc>
        <w:tc>
          <w:tcPr>
            <w:tcW w:w="1380" w:type="dxa"/>
            <w:vAlign w:val="top"/>
          </w:tcPr>
          <w:p>
            <w:pPr>
              <w:widowControl/>
              <w:wordWrap/>
              <w:spacing w:beforeAutospacing="0" w:afterAutospacing="0" w:line="560" w:lineRule="exact"/>
              <w:ind w:left="0" w:leftChars="0" w:right="0"/>
              <w:contextualSpacing/>
              <w:jc w:val="center"/>
              <w:rPr>
                <w:rFonts w:hint="eastAsia" w:ascii="仿宋_GB2312" w:hAnsi="仿宋_GB2312" w:eastAsia="仿宋_GB2312" w:cs="仿宋_GB2312"/>
                <w:b w:val="0"/>
                <w:bCs w:val="0"/>
                <w:color w:val="auto"/>
                <w:sz w:val="24"/>
                <w:szCs w:val="24"/>
                <w:lang w:val="en-US" w:eastAsia="zh-CN"/>
              </w:rPr>
            </w:pPr>
            <w:r>
              <w:rPr>
                <w:rFonts w:hint="default" w:ascii="Arial" w:hAnsi="Arial" w:cs="Arial"/>
                <w:b w:val="0"/>
                <w:bCs w:val="0"/>
                <w:color w:val="auto"/>
                <w:kern w:val="0"/>
                <w:sz w:val="24"/>
                <w:szCs w:val="20"/>
              </w:rPr>
              <w:t>≥</w:t>
            </w:r>
            <w:r>
              <w:rPr>
                <w:rFonts w:hint="eastAsia" w:ascii="宋体" w:hAnsi="宋体" w:cs="宋体"/>
                <w:b w:val="0"/>
                <w:bCs w:val="0"/>
                <w:color w:val="auto"/>
                <w:sz w:val="24"/>
                <w:szCs w:val="20"/>
              </w:rPr>
              <w:t>9</w:t>
            </w:r>
            <w:r>
              <w:rPr>
                <w:rFonts w:hint="eastAsia" w:ascii="宋体" w:hAnsi="宋体" w:cs="宋体"/>
                <w:b w:val="0"/>
                <w:bCs w:val="0"/>
                <w:color w:val="auto"/>
                <w:sz w:val="24"/>
                <w:szCs w:val="20"/>
                <w:lang w:val="en-US" w:eastAsia="zh-CN"/>
              </w:rPr>
              <w:t>8</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3" w:hRule="exact"/>
        </w:trPr>
        <w:tc>
          <w:tcPr>
            <w:tcW w:w="840" w:type="dxa"/>
            <w:vMerge w:val="restart"/>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师资</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队伍</w:t>
            </w:r>
          </w:p>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情况</w:t>
            </w: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2"/>
                <w:szCs w:val="22"/>
              </w:rPr>
              <w:t>幼儿园专任教师专科以上学历比例（%）</w:t>
            </w:r>
          </w:p>
        </w:tc>
        <w:tc>
          <w:tcPr>
            <w:tcW w:w="1500" w:type="dxa"/>
            <w:vAlign w:val="center"/>
          </w:tcPr>
          <w:p>
            <w:pPr>
              <w:widowControl/>
              <w:wordWrap/>
              <w:spacing w:beforeAutospacing="0" w:afterAutospacing="0" w:line="560" w:lineRule="exact"/>
              <w:ind w:left="0" w:leftChars="0" w:right="0"/>
              <w:contextualSpacing/>
              <w:jc w:val="center"/>
              <w:rPr>
                <w:rFonts w:hint="eastAsia"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77</w:t>
            </w:r>
          </w:p>
        </w:tc>
        <w:tc>
          <w:tcPr>
            <w:tcW w:w="1380" w:type="dxa"/>
            <w:vAlign w:val="center"/>
          </w:tcPr>
          <w:p>
            <w:pPr>
              <w:widowControl/>
              <w:wordWrap/>
              <w:spacing w:beforeAutospacing="0" w:afterAutospacing="0" w:line="560" w:lineRule="exact"/>
              <w:ind w:left="0" w:leftChars="0" w:right="0"/>
              <w:contextualSpacing/>
              <w:jc w:val="center"/>
              <w:rPr>
                <w:rFonts w:hint="eastAsia"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82</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2"/>
                <w:szCs w:val="22"/>
              </w:rPr>
              <w:t>小学专任教师本科以上学历比例（%）</w:t>
            </w:r>
          </w:p>
        </w:tc>
        <w:tc>
          <w:tcPr>
            <w:tcW w:w="1500" w:type="dxa"/>
            <w:vAlign w:val="center"/>
          </w:tcPr>
          <w:p>
            <w:pPr>
              <w:widowControl/>
              <w:wordWrap/>
              <w:spacing w:beforeAutospacing="0" w:afterAutospacing="0" w:line="560" w:lineRule="exact"/>
              <w:ind w:left="0" w:leftChars="0" w:right="0"/>
              <w:contextualSpacing/>
              <w:jc w:val="center"/>
              <w:rPr>
                <w:rFonts w:hint="eastAsia"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54</w:t>
            </w:r>
          </w:p>
        </w:tc>
        <w:tc>
          <w:tcPr>
            <w:tcW w:w="1380" w:type="dxa"/>
            <w:vAlign w:val="center"/>
          </w:tcPr>
          <w:p>
            <w:pPr>
              <w:widowControl/>
              <w:wordWrap/>
              <w:spacing w:beforeAutospacing="0" w:afterAutospacing="0" w:line="560" w:lineRule="exact"/>
              <w:ind w:left="0" w:leftChars="0" w:right="0"/>
              <w:contextualSpacing/>
              <w:jc w:val="center"/>
              <w:rPr>
                <w:rFonts w:hint="eastAsia"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70</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0"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2"/>
                <w:szCs w:val="22"/>
              </w:rPr>
              <w:t>初中专任教师本科以上学历比例（%）</w:t>
            </w:r>
          </w:p>
        </w:tc>
        <w:tc>
          <w:tcPr>
            <w:tcW w:w="1500" w:type="dxa"/>
            <w:vAlign w:val="center"/>
          </w:tcPr>
          <w:p>
            <w:pPr>
              <w:widowControl/>
              <w:wordWrap/>
              <w:spacing w:beforeAutospacing="0" w:afterAutospacing="0" w:line="560" w:lineRule="exact"/>
              <w:ind w:left="0" w:leftChars="0" w:right="0"/>
              <w:contextualSpacing/>
              <w:jc w:val="center"/>
              <w:rPr>
                <w:rFonts w:hint="eastAsia"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91</w:t>
            </w:r>
          </w:p>
        </w:tc>
        <w:tc>
          <w:tcPr>
            <w:tcW w:w="1380" w:type="dxa"/>
            <w:vAlign w:val="center"/>
          </w:tcPr>
          <w:p>
            <w:pPr>
              <w:widowControl/>
              <w:wordWrap/>
              <w:spacing w:beforeAutospacing="0" w:afterAutospacing="0" w:line="560" w:lineRule="exact"/>
              <w:ind w:left="0" w:leftChars="0" w:right="0"/>
              <w:contextualSpacing/>
              <w:jc w:val="center"/>
              <w:rPr>
                <w:rFonts w:hint="eastAsia"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94</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0"/>
                <w:szCs w:val="20"/>
              </w:rPr>
              <w:t>高中专任教师硕士研究生以上学历比例（%）</w:t>
            </w:r>
          </w:p>
        </w:tc>
        <w:tc>
          <w:tcPr>
            <w:tcW w:w="1500" w:type="dxa"/>
            <w:vAlign w:val="center"/>
          </w:tcPr>
          <w:p>
            <w:pPr>
              <w:widowControl/>
              <w:wordWrap/>
              <w:spacing w:beforeAutospacing="0" w:afterAutospacing="0" w:line="560" w:lineRule="exact"/>
              <w:ind w:left="0" w:leftChars="0" w:right="0"/>
              <w:contextualSpacing/>
              <w:jc w:val="center"/>
              <w:rPr>
                <w:rFonts w:hint="default"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6.4</w:t>
            </w:r>
          </w:p>
        </w:tc>
        <w:tc>
          <w:tcPr>
            <w:tcW w:w="1380" w:type="dxa"/>
            <w:vAlign w:val="center"/>
          </w:tcPr>
          <w:p>
            <w:pPr>
              <w:widowControl/>
              <w:wordWrap/>
              <w:spacing w:beforeAutospacing="0" w:afterAutospacing="0" w:line="560" w:lineRule="exact"/>
              <w:ind w:left="0" w:leftChars="0" w:right="0"/>
              <w:contextualSpacing/>
              <w:jc w:val="center"/>
              <w:rPr>
                <w:rFonts w:hint="default"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14</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exact"/>
        </w:trPr>
        <w:tc>
          <w:tcPr>
            <w:tcW w:w="840" w:type="dxa"/>
            <w:vMerge w:val="continue"/>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p>
        </w:tc>
        <w:tc>
          <w:tcPr>
            <w:tcW w:w="387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0"/>
                <w:szCs w:val="20"/>
              </w:rPr>
              <w:t>中职学校专任教师本科以上学历比例（%）</w:t>
            </w:r>
          </w:p>
        </w:tc>
        <w:tc>
          <w:tcPr>
            <w:tcW w:w="1500" w:type="dxa"/>
            <w:vAlign w:val="center"/>
          </w:tcPr>
          <w:p>
            <w:pPr>
              <w:widowControl/>
              <w:wordWrap/>
              <w:spacing w:beforeAutospacing="0" w:afterAutospacing="0" w:line="560" w:lineRule="exact"/>
              <w:ind w:left="0" w:leftChars="0" w:right="0"/>
              <w:contextualSpacing/>
              <w:jc w:val="center"/>
              <w:rPr>
                <w:rFonts w:hint="eastAsia"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91.5</w:t>
            </w:r>
          </w:p>
        </w:tc>
        <w:tc>
          <w:tcPr>
            <w:tcW w:w="1380" w:type="dxa"/>
            <w:vAlign w:val="center"/>
          </w:tcPr>
          <w:p>
            <w:pPr>
              <w:widowControl/>
              <w:wordWrap/>
              <w:spacing w:beforeAutospacing="0" w:afterAutospacing="0" w:line="560" w:lineRule="exact"/>
              <w:ind w:left="0" w:leftChars="0" w:right="0"/>
              <w:contextualSpacing/>
              <w:jc w:val="center"/>
              <w:rPr>
                <w:rFonts w:hint="default" w:ascii="宋体" w:hAnsi="宋体" w:eastAsia="仿宋_GB2312" w:cs="宋体"/>
                <w:b w:val="0"/>
                <w:bCs w:val="0"/>
                <w:color w:val="auto"/>
                <w:sz w:val="24"/>
                <w:szCs w:val="20"/>
                <w:lang w:val="en-US" w:eastAsia="zh-CN"/>
              </w:rPr>
            </w:pPr>
            <w:r>
              <w:rPr>
                <w:rFonts w:hint="eastAsia" w:ascii="宋体" w:hAnsi="宋体" w:eastAsia="仿宋_GB2312" w:cs="宋体"/>
                <w:b w:val="0"/>
                <w:bCs w:val="0"/>
                <w:color w:val="auto"/>
                <w:sz w:val="24"/>
                <w:szCs w:val="20"/>
                <w:lang w:val="en-US" w:eastAsia="zh-CN"/>
              </w:rPr>
              <w:t>95</w:t>
            </w:r>
          </w:p>
        </w:tc>
        <w:tc>
          <w:tcPr>
            <w:tcW w:w="1380" w:type="dxa"/>
            <w:vAlign w:val="center"/>
          </w:tcPr>
          <w:p>
            <w:pPr>
              <w:widowControl/>
              <w:wordWrap/>
              <w:adjustRightInd/>
              <w:snapToGrid/>
              <w:spacing w:line="560" w:lineRule="exact"/>
              <w:ind w:left="0" w:leftChars="0" w:right="0" w:firstLine="0" w:firstLineChars="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bl>
    <w:p>
      <w:pPr>
        <w:widowControl/>
        <w:wordWrap/>
        <w:adjustRightInd/>
        <w:snapToGrid/>
        <w:spacing w:line="560" w:lineRule="exact"/>
        <w:ind w:right="0"/>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left="0" w:leftChars="0" w:right="0" w:firstLine="640" w:firstLineChars="200"/>
        <w:jc w:val="center"/>
        <w:textAlignment w:val="baseline"/>
        <w:rPr>
          <w:rFonts w:hint="eastAsia" w:ascii="仿宋_GB2312" w:hAnsi="仿宋_GB2312" w:eastAsia="仿宋_GB2312" w:cs="仿宋_GB2312"/>
          <w:color w:val="auto"/>
          <w:sz w:val="32"/>
          <w:szCs w:val="32"/>
        </w:rPr>
      </w:pPr>
      <w:r>
        <w:rPr>
          <w:rFonts w:hint="eastAsia" w:ascii="黑体" w:hAnsi="黑体" w:eastAsia="黑体" w:cs="黑体"/>
          <w:color w:val="auto"/>
          <w:sz w:val="30"/>
          <w:szCs w:val="30"/>
        </w:rPr>
        <w:t>“十四五”期间</w:t>
      </w:r>
      <w:r>
        <w:rPr>
          <w:rFonts w:hint="eastAsia" w:ascii="黑体" w:hAnsi="黑体" w:eastAsia="黑体" w:cs="黑体"/>
          <w:color w:val="auto"/>
          <w:sz w:val="30"/>
          <w:szCs w:val="30"/>
          <w:lang w:eastAsia="zh-CN"/>
        </w:rPr>
        <w:t>佛冈</w:t>
      </w:r>
      <w:r>
        <w:rPr>
          <w:rFonts w:hint="eastAsia" w:ascii="黑体" w:hAnsi="黑体" w:eastAsia="黑体" w:cs="黑体"/>
          <w:color w:val="auto"/>
          <w:sz w:val="30"/>
          <w:szCs w:val="30"/>
        </w:rPr>
        <w:t>教育事业主要预期指标表（二）</w:t>
      </w:r>
    </w:p>
    <w:p>
      <w:pPr>
        <w:widowControl/>
        <w:wordWrap/>
        <w:adjustRightInd/>
        <w:snapToGrid/>
        <w:spacing w:line="560" w:lineRule="exact"/>
        <w:ind w:left="0" w:leftChars="0" w:right="0" w:firstLine="480" w:firstLineChars="200"/>
        <w:jc w:val="both"/>
        <w:textAlignment w:val="baseline"/>
        <w:rPr>
          <w:rFonts w:hint="eastAsia" w:ascii="仿宋_GB2312" w:hAnsi="仿宋_GB2312" w:eastAsia="仿宋_GB2312" w:cs="仿宋_GB2312"/>
          <w:color w:val="auto"/>
          <w:sz w:val="24"/>
          <w:szCs w:val="24"/>
        </w:rPr>
      </w:pPr>
    </w:p>
    <w:tbl>
      <w:tblPr>
        <w:tblStyle w:val="20"/>
        <w:tblW w:w="8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238"/>
        <w:gridCol w:w="1193"/>
        <w:gridCol w:w="1288"/>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blHeader/>
        </w:trPr>
        <w:tc>
          <w:tcPr>
            <w:tcW w:w="747"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4238" w:type="dxa"/>
            <w:vAlign w:val="center"/>
          </w:tcPr>
          <w:p>
            <w:pPr>
              <w:widowControl/>
              <w:wordWrap/>
              <w:adjustRightInd/>
              <w:snapToGrid/>
              <w:spacing w:line="560" w:lineRule="exact"/>
              <w:ind w:left="0" w:leftChars="0" w:right="0" w:firstLine="1680" w:firstLineChars="7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   标</w:t>
            </w:r>
          </w:p>
        </w:tc>
        <w:tc>
          <w:tcPr>
            <w:tcW w:w="1193"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年</w:t>
            </w:r>
          </w:p>
        </w:tc>
        <w:tc>
          <w:tcPr>
            <w:tcW w:w="1288"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2025年</w:t>
            </w:r>
          </w:p>
        </w:tc>
        <w:tc>
          <w:tcPr>
            <w:tcW w:w="1052" w:type="dxa"/>
            <w:vAlign w:val="center"/>
          </w:tcPr>
          <w:p>
            <w:pPr>
              <w:widowControl/>
              <w:wordWrap/>
              <w:adjustRightInd/>
              <w:snapToGrid/>
              <w:spacing w:line="560" w:lineRule="exact"/>
              <w:ind w:left="0" w:leftChars="0" w:right="0" w:firstLine="240" w:firstLineChars="10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47"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4238" w:type="dxa"/>
            <w:vAlign w:val="center"/>
          </w:tcPr>
          <w:p>
            <w:pPr>
              <w:widowControl/>
              <w:wordWrap/>
              <w:adjustRightInd/>
              <w:snapToGrid/>
              <w:spacing w:line="560" w:lineRule="exact"/>
              <w:ind w:left="0" w:leftChars="0" w:right="0" w:firstLine="480" w:firstLineChars="2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职业教育“双师型”教师比例（%）</w:t>
            </w:r>
          </w:p>
        </w:tc>
        <w:tc>
          <w:tcPr>
            <w:tcW w:w="1193" w:type="dxa"/>
            <w:vAlign w:val="center"/>
          </w:tcPr>
          <w:p>
            <w:pPr>
              <w:wordWrap/>
              <w:spacing w:line="560" w:lineRule="exact"/>
              <w:ind w:left="0" w:leftChars="0" w:right="0"/>
              <w:jc w:val="center"/>
              <w:rPr>
                <w:rFonts w:hint="eastAsia" w:ascii="仿宋_GB2312" w:hAnsi="仿宋_GB2312" w:eastAsia="仿宋_GB2312" w:cs="仿宋_GB2312"/>
                <w:b w:val="0"/>
                <w:bCs w:val="0"/>
                <w:color w:val="auto"/>
                <w:sz w:val="24"/>
                <w:szCs w:val="24"/>
                <w:highlight w:val="none"/>
                <w:lang w:eastAsia="zh-CN"/>
              </w:rPr>
            </w:pPr>
            <w:r>
              <w:rPr>
                <w:rFonts w:hint="eastAsia" w:ascii="宋体" w:hAnsi="宋体" w:eastAsia="宋体" w:cs="宋体"/>
                <w:b w:val="0"/>
                <w:bCs w:val="0"/>
                <w:color w:val="auto"/>
                <w:sz w:val="24"/>
                <w:highlight w:val="none"/>
              </w:rPr>
              <w:t>&gt;</w:t>
            </w:r>
            <w:r>
              <w:rPr>
                <w:rFonts w:hint="eastAsia" w:ascii="宋体" w:hAnsi="宋体" w:cs="宋体"/>
                <w:b w:val="0"/>
                <w:bCs w:val="0"/>
                <w:color w:val="auto"/>
                <w:sz w:val="24"/>
                <w:highlight w:val="none"/>
              </w:rPr>
              <w:t>60</w:t>
            </w:r>
          </w:p>
        </w:tc>
        <w:tc>
          <w:tcPr>
            <w:tcW w:w="1288" w:type="dxa"/>
            <w:vAlign w:val="center"/>
          </w:tcPr>
          <w:p>
            <w:pPr>
              <w:wordWrap/>
              <w:spacing w:line="560" w:lineRule="exact"/>
              <w:ind w:left="0" w:leftChars="0" w:right="0"/>
              <w:jc w:val="center"/>
              <w:rPr>
                <w:rFonts w:hint="eastAsia" w:ascii="仿宋_GB2312" w:hAnsi="仿宋_GB2312" w:eastAsia="仿宋_GB2312" w:cs="仿宋_GB2312"/>
                <w:b w:val="0"/>
                <w:bCs w:val="0"/>
                <w:color w:val="auto"/>
                <w:sz w:val="24"/>
                <w:szCs w:val="24"/>
                <w:highlight w:val="none"/>
                <w:lang w:eastAsia="zh-CN"/>
              </w:rPr>
            </w:pPr>
            <w:r>
              <w:rPr>
                <w:rFonts w:hint="eastAsia" w:ascii="宋体" w:hAnsi="宋体" w:eastAsia="宋体" w:cs="宋体"/>
                <w:b w:val="0"/>
                <w:bCs w:val="0"/>
                <w:color w:val="auto"/>
                <w:sz w:val="24"/>
                <w:highlight w:val="none"/>
              </w:rPr>
              <w:t>&gt;</w:t>
            </w:r>
            <w:r>
              <w:rPr>
                <w:rFonts w:hint="eastAsia" w:ascii="宋体" w:hAnsi="宋体" w:cs="宋体"/>
                <w:b w:val="0"/>
                <w:bCs w:val="0"/>
                <w:color w:val="auto"/>
                <w:sz w:val="24"/>
                <w:highlight w:val="none"/>
              </w:rPr>
              <w:t>70</w:t>
            </w:r>
          </w:p>
        </w:tc>
        <w:tc>
          <w:tcPr>
            <w:tcW w:w="1052"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47"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4238" w:type="dxa"/>
            <w:vAlign w:val="center"/>
          </w:tcPr>
          <w:p>
            <w:pPr>
              <w:widowControl/>
              <w:wordWrap/>
              <w:adjustRightInd/>
              <w:snapToGrid/>
              <w:spacing w:line="560" w:lineRule="exact"/>
              <w:ind w:left="0" w:leftChars="0" w:right="0" w:firstLine="480" w:firstLineChars="2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党建工作示范学校（所）</w:t>
            </w:r>
          </w:p>
        </w:tc>
        <w:tc>
          <w:tcPr>
            <w:tcW w:w="1193" w:type="dxa"/>
            <w:vAlign w:val="center"/>
          </w:tcPr>
          <w:p>
            <w:pPr>
              <w:wordWrap/>
              <w:spacing w:line="560" w:lineRule="exact"/>
              <w:ind w:left="0" w:leftChars="0" w:right="0"/>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w:t>
            </w:r>
          </w:p>
        </w:tc>
        <w:tc>
          <w:tcPr>
            <w:tcW w:w="1288" w:type="dxa"/>
            <w:vAlign w:val="center"/>
          </w:tcPr>
          <w:p>
            <w:pPr>
              <w:wordWrap/>
              <w:spacing w:line="560" w:lineRule="exact"/>
              <w:ind w:left="0" w:leftChars="0" w:right="0"/>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5</w:t>
            </w:r>
          </w:p>
        </w:tc>
        <w:tc>
          <w:tcPr>
            <w:tcW w:w="1052"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47"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4238" w:type="dxa"/>
            <w:vAlign w:val="center"/>
          </w:tcPr>
          <w:p>
            <w:pPr>
              <w:widowControl/>
              <w:wordWrap/>
              <w:adjustRightInd/>
              <w:snapToGrid/>
              <w:spacing w:line="560" w:lineRule="exact"/>
              <w:ind w:left="0" w:leftChars="0" w:right="0" w:firstLine="480" w:firstLineChars="2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各级各类学校宽带网络接入率（%）</w:t>
            </w:r>
          </w:p>
        </w:tc>
        <w:tc>
          <w:tcPr>
            <w:tcW w:w="1193" w:type="dxa"/>
            <w:vAlign w:val="center"/>
          </w:tcPr>
          <w:p>
            <w:pPr>
              <w:wordWrap/>
              <w:spacing w:line="560" w:lineRule="exact"/>
              <w:ind w:left="0" w:leftChars="0" w:right="0"/>
              <w:jc w:val="center"/>
              <w:rPr>
                <w:rFonts w:hint="eastAsia" w:ascii="仿宋_GB2312" w:hAnsi="仿宋_GB2312" w:eastAsia="仿宋_GB2312" w:cs="仿宋_GB2312"/>
                <w:b w:val="0"/>
                <w:bCs w:val="0"/>
                <w:color w:val="auto"/>
                <w:sz w:val="24"/>
                <w:szCs w:val="24"/>
                <w:highlight w:val="none"/>
              </w:rPr>
            </w:pPr>
            <w:r>
              <w:rPr>
                <w:rFonts w:hint="eastAsia" w:ascii="宋体" w:hAnsi="宋体" w:cs="宋体"/>
                <w:b w:val="0"/>
                <w:bCs w:val="0"/>
                <w:color w:val="auto"/>
                <w:sz w:val="24"/>
                <w:highlight w:val="none"/>
              </w:rPr>
              <w:t>100</w:t>
            </w:r>
          </w:p>
        </w:tc>
        <w:tc>
          <w:tcPr>
            <w:tcW w:w="1288" w:type="dxa"/>
            <w:vAlign w:val="center"/>
          </w:tcPr>
          <w:p>
            <w:pPr>
              <w:wordWrap/>
              <w:spacing w:line="560" w:lineRule="exact"/>
              <w:ind w:left="0" w:leftChars="0" w:right="0"/>
              <w:jc w:val="center"/>
              <w:rPr>
                <w:rFonts w:hint="eastAsia" w:ascii="仿宋_GB2312" w:hAnsi="仿宋_GB2312" w:eastAsia="仿宋_GB2312" w:cs="仿宋_GB2312"/>
                <w:b w:val="0"/>
                <w:bCs w:val="0"/>
                <w:color w:val="auto"/>
                <w:sz w:val="24"/>
                <w:szCs w:val="24"/>
                <w:highlight w:val="none"/>
              </w:rPr>
            </w:pPr>
            <w:r>
              <w:rPr>
                <w:rFonts w:hint="eastAsia" w:ascii="宋体" w:hAnsi="宋体" w:cs="宋体"/>
                <w:b w:val="0"/>
                <w:bCs w:val="0"/>
                <w:color w:val="auto"/>
                <w:sz w:val="24"/>
                <w:highlight w:val="none"/>
              </w:rPr>
              <w:t>100</w:t>
            </w:r>
          </w:p>
        </w:tc>
        <w:tc>
          <w:tcPr>
            <w:tcW w:w="1052"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47"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4238" w:type="dxa"/>
            <w:vAlign w:val="center"/>
          </w:tcPr>
          <w:p>
            <w:pPr>
              <w:widowControl/>
              <w:wordWrap/>
              <w:adjustRightInd/>
              <w:snapToGrid/>
              <w:spacing w:line="560" w:lineRule="exact"/>
              <w:ind w:left="0" w:leftChars="0" w:right="0" w:firstLine="480" w:firstLineChars="2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多媒体设备普及率（%）</w:t>
            </w:r>
          </w:p>
        </w:tc>
        <w:tc>
          <w:tcPr>
            <w:tcW w:w="1193" w:type="dxa"/>
            <w:vAlign w:val="center"/>
          </w:tcPr>
          <w:p>
            <w:pPr>
              <w:wordWrap/>
              <w:spacing w:line="560" w:lineRule="exact"/>
              <w:ind w:left="0" w:leftChars="0" w:right="0"/>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100</w:t>
            </w:r>
          </w:p>
        </w:tc>
        <w:tc>
          <w:tcPr>
            <w:tcW w:w="1288" w:type="dxa"/>
            <w:vAlign w:val="center"/>
          </w:tcPr>
          <w:p>
            <w:pPr>
              <w:wordWrap/>
              <w:spacing w:line="560" w:lineRule="exact"/>
              <w:ind w:left="0" w:leftChars="0" w:right="0"/>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100</w:t>
            </w:r>
          </w:p>
        </w:tc>
        <w:tc>
          <w:tcPr>
            <w:tcW w:w="1052"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47"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4238" w:type="dxa"/>
            <w:vAlign w:val="center"/>
          </w:tcPr>
          <w:p>
            <w:pPr>
              <w:widowControl/>
              <w:wordWrap/>
              <w:adjustRightInd/>
              <w:snapToGrid/>
              <w:spacing w:line="560" w:lineRule="exact"/>
              <w:ind w:left="0" w:leftChars="0" w:right="0" w:firstLine="480" w:firstLineChars="2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公办中小学教师上岗持证率（%）</w:t>
            </w:r>
          </w:p>
        </w:tc>
        <w:tc>
          <w:tcPr>
            <w:tcW w:w="1193" w:type="dxa"/>
            <w:vAlign w:val="center"/>
          </w:tcPr>
          <w:p>
            <w:pPr>
              <w:wordWrap/>
              <w:spacing w:line="560" w:lineRule="exact"/>
              <w:ind w:left="0" w:leftChars="0" w:right="0"/>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100</w:t>
            </w:r>
          </w:p>
        </w:tc>
        <w:tc>
          <w:tcPr>
            <w:tcW w:w="1288" w:type="dxa"/>
            <w:vAlign w:val="center"/>
          </w:tcPr>
          <w:p>
            <w:pPr>
              <w:wordWrap/>
              <w:spacing w:line="560" w:lineRule="exact"/>
              <w:ind w:left="0" w:leftChars="0" w:right="0"/>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100</w:t>
            </w:r>
          </w:p>
        </w:tc>
        <w:tc>
          <w:tcPr>
            <w:tcW w:w="1052"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47"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4238" w:type="dxa"/>
            <w:vAlign w:val="center"/>
          </w:tcPr>
          <w:p>
            <w:pPr>
              <w:widowControl/>
              <w:wordWrap/>
              <w:adjustRightInd/>
              <w:snapToGrid/>
              <w:spacing w:line="560" w:lineRule="exact"/>
              <w:ind w:left="0" w:leftChars="0" w:right="0" w:firstLine="480" w:firstLineChars="2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级“三名工作室”（个）</w:t>
            </w:r>
          </w:p>
        </w:tc>
        <w:tc>
          <w:tcPr>
            <w:tcW w:w="1193" w:type="dxa"/>
            <w:vAlign w:val="center"/>
          </w:tcPr>
          <w:p>
            <w:pPr>
              <w:wordWrap/>
              <w:spacing w:line="560" w:lineRule="exact"/>
              <w:ind w:left="0" w:leftChars="0" w:right="0"/>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c>
          <w:tcPr>
            <w:tcW w:w="1288" w:type="dxa"/>
            <w:vAlign w:val="center"/>
          </w:tcPr>
          <w:p>
            <w:pPr>
              <w:wordWrap/>
              <w:spacing w:line="560" w:lineRule="exact"/>
              <w:ind w:left="0" w:leftChars="0" w:right="0"/>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25</w:t>
            </w:r>
          </w:p>
        </w:tc>
        <w:tc>
          <w:tcPr>
            <w:tcW w:w="1052"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trPr>
        <w:tc>
          <w:tcPr>
            <w:tcW w:w="747"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4238" w:type="dxa"/>
            <w:vAlign w:val="center"/>
          </w:tcPr>
          <w:p>
            <w:pPr>
              <w:widowControl/>
              <w:wordWrap/>
              <w:adjustRightInd/>
              <w:snapToGrid/>
              <w:spacing w:line="560" w:lineRule="exact"/>
              <w:ind w:left="0" w:leftChars="0" w:right="0" w:firstLine="480" w:firstLineChars="2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市级“三名工作室”（个）</w:t>
            </w:r>
          </w:p>
        </w:tc>
        <w:tc>
          <w:tcPr>
            <w:tcW w:w="1193" w:type="dxa"/>
            <w:vAlign w:val="center"/>
          </w:tcPr>
          <w:p>
            <w:pPr>
              <w:wordWrap/>
              <w:spacing w:line="560" w:lineRule="exact"/>
              <w:ind w:left="0" w:leftChars="0" w:right="0"/>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6</w:t>
            </w:r>
          </w:p>
        </w:tc>
        <w:tc>
          <w:tcPr>
            <w:tcW w:w="1288" w:type="dxa"/>
            <w:vAlign w:val="center"/>
          </w:tcPr>
          <w:p>
            <w:pPr>
              <w:wordWrap/>
              <w:spacing w:line="560" w:lineRule="exact"/>
              <w:ind w:left="0" w:leftChars="0" w:right="0"/>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12</w:t>
            </w:r>
          </w:p>
        </w:tc>
        <w:tc>
          <w:tcPr>
            <w:tcW w:w="1052"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47"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4238" w:type="dxa"/>
            <w:vAlign w:val="center"/>
          </w:tcPr>
          <w:p>
            <w:pPr>
              <w:widowControl/>
              <w:wordWrap/>
              <w:adjustRightInd/>
              <w:snapToGrid/>
              <w:spacing w:line="560" w:lineRule="exact"/>
              <w:ind w:left="0" w:leftChars="0" w:right="0" w:firstLine="480" w:firstLineChars="2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省级及以上“三名工作室”（个）</w:t>
            </w:r>
          </w:p>
        </w:tc>
        <w:tc>
          <w:tcPr>
            <w:tcW w:w="1193" w:type="dxa"/>
            <w:vAlign w:val="center"/>
          </w:tcPr>
          <w:p>
            <w:pPr>
              <w:wordWrap/>
              <w:spacing w:line="560" w:lineRule="exact"/>
              <w:ind w:left="0" w:leftChars="0" w:right="0"/>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1</w:t>
            </w:r>
          </w:p>
        </w:tc>
        <w:tc>
          <w:tcPr>
            <w:tcW w:w="1288" w:type="dxa"/>
            <w:vAlign w:val="center"/>
          </w:tcPr>
          <w:p>
            <w:pPr>
              <w:wordWrap/>
              <w:spacing w:line="560" w:lineRule="exact"/>
              <w:ind w:left="0" w:leftChars="0" w:right="0"/>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w:t>
            </w:r>
          </w:p>
        </w:tc>
        <w:tc>
          <w:tcPr>
            <w:tcW w:w="1052"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47"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4238" w:type="dxa"/>
            <w:vAlign w:val="center"/>
          </w:tcPr>
          <w:p>
            <w:pPr>
              <w:widowControl/>
              <w:wordWrap/>
              <w:adjustRightInd/>
              <w:snapToGrid/>
              <w:spacing w:line="560" w:lineRule="exact"/>
              <w:ind w:left="0" w:leftChars="0" w:right="0" w:firstLine="480" w:firstLineChars="2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市级技能大师工作室（个）</w:t>
            </w:r>
          </w:p>
        </w:tc>
        <w:tc>
          <w:tcPr>
            <w:tcW w:w="1193" w:type="dxa"/>
            <w:vAlign w:val="center"/>
          </w:tcPr>
          <w:p>
            <w:pPr>
              <w:wordWrap/>
              <w:spacing w:line="560" w:lineRule="exact"/>
              <w:ind w:left="0" w:leftChars="0" w:right="0"/>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1</w:t>
            </w:r>
          </w:p>
        </w:tc>
        <w:tc>
          <w:tcPr>
            <w:tcW w:w="1288" w:type="dxa"/>
            <w:vAlign w:val="center"/>
          </w:tcPr>
          <w:p>
            <w:pPr>
              <w:wordWrap/>
              <w:spacing w:line="560" w:lineRule="exact"/>
              <w:ind w:left="0" w:leftChars="0" w:right="0"/>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w:t>
            </w:r>
          </w:p>
        </w:tc>
        <w:tc>
          <w:tcPr>
            <w:tcW w:w="1052"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47"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10</w:t>
            </w:r>
          </w:p>
        </w:tc>
        <w:tc>
          <w:tcPr>
            <w:tcW w:w="4238" w:type="dxa"/>
            <w:vAlign w:val="center"/>
          </w:tcPr>
          <w:p>
            <w:pPr>
              <w:widowControl/>
              <w:wordWrap/>
              <w:adjustRightInd/>
              <w:snapToGrid/>
              <w:spacing w:line="560" w:lineRule="exact"/>
              <w:ind w:left="0" w:leftChars="0" w:right="0" w:firstLine="480" w:firstLineChars="2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教师专业发展学校（所）</w:t>
            </w:r>
          </w:p>
        </w:tc>
        <w:tc>
          <w:tcPr>
            <w:tcW w:w="1193" w:type="dxa"/>
            <w:vAlign w:val="center"/>
          </w:tcPr>
          <w:p>
            <w:pPr>
              <w:wordWrap/>
              <w:spacing w:line="560" w:lineRule="exact"/>
              <w:ind w:left="0" w:leftChars="0" w:right="0"/>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4</w:t>
            </w:r>
          </w:p>
        </w:tc>
        <w:tc>
          <w:tcPr>
            <w:tcW w:w="1288" w:type="dxa"/>
            <w:vAlign w:val="center"/>
          </w:tcPr>
          <w:p>
            <w:pPr>
              <w:wordWrap/>
              <w:spacing w:line="560" w:lineRule="exact"/>
              <w:ind w:left="0" w:leftChars="0" w:right="0"/>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8</w:t>
            </w:r>
          </w:p>
        </w:tc>
        <w:tc>
          <w:tcPr>
            <w:tcW w:w="1052"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47"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w:t>
            </w:r>
          </w:p>
        </w:tc>
        <w:tc>
          <w:tcPr>
            <w:tcW w:w="4238" w:type="dxa"/>
            <w:vAlign w:val="center"/>
          </w:tcPr>
          <w:p>
            <w:pPr>
              <w:widowControl/>
              <w:wordWrap/>
              <w:adjustRightInd/>
              <w:snapToGrid/>
              <w:spacing w:line="560" w:lineRule="exact"/>
              <w:ind w:left="0" w:leftChars="0" w:right="0" w:firstLine="480" w:firstLineChars="2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学校文化示范校（所）</w:t>
            </w:r>
          </w:p>
        </w:tc>
        <w:tc>
          <w:tcPr>
            <w:tcW w:w="1193" w:type="dxa"/>
            <w:vAlign w:val="center"/>
          </w:tcPr>
          <w:p>
            <w:pPr>
              <w:wordWrap/>
              <w:spacing w:line="560" w:lineRule="exact"/>
              <w:ind w:left="0" w:leftChars="0" w:right="0"/>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7</w:t>
            </w:r>
          </w:p>
        </w:tc>
        <w:tc>
          <w:tcPr>
            <w:tcW w:w="1288" w:type="dxa"/>
            <w:vAlign w:val="center"/>
          </w:tcPr>
          <w:p>
            <w:pPr>
              <w:wordWrap/>
              <w:spacing w:line="560" w:lineRule="exact"/>
              <w:ind w:left="0" w:leftChars="0" w:right="0"/>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13</w:t>
            </w:r>
          </w:p>
        </w:tc>
        <w:tc>
          <w:tcPr>
            <w:tcW w:w="1052" w:type="dxa"/>
            <w:vAlign w:val="center"/>
          </w:tcPr>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预期性</w:t>
            </w:r>
          </w:p>
        </w:tc>
      </w:tr>
    </w:tbl>
    <w:p>
      <w:pPr>
        <w:pStyle w:val="2"/>
        <w:wordWrap/>
        <w:adjustRightInd/>
        <w:snapToGrid/>
        <w:spacing w:line="560" w:lineRule="exact"/>
        <w:ind w:left="0" w:leftChars="0" w:right="0"/>
        <w:rPr>
          <w:rFonts w:hint="eastAsia"/>
          <w:color w:val="auto"/>
          <w:lang w:eastAsia="zh-CN"/>
        </w:rPr>
      </w:pPr>
      <w:bookmarkStart w:id="96" w:name="_Toc11962_WPSOffice_Level1"/>
    </w:p>
    <w:p>
      <w:pPr>
        <w:pStyle w:val="2"/>
        <w:wordWrap/>
        <w:adjustRightInd/>
        <w:snapToGrid/>
        <w:spacing w:line="560" w:lineRule="exact"/>
        <w:ind w:left="0" w:leftChars="0" w:right="0" w:firstLine="643" w:firstLineChars="200"/>
        <w:rPr>
          <w:rFonts w:hint="eastAsia" w:ascii="黑体" w:hAnsi="黑体" w:eastAsia="黑体" w:cs="黑体"/>
          <w:b w:val="0"/>
          <w:bCs/>
          <w:color w:val="auto"/>
          <w:szCs w:val="32"/>
          <w:lang w:eastAsia="zh-CN"/>
        </w:rPr>
      </w:pPr>
      <w:bookmarkStart w:id="97" w:name="_Toc7470"/>
      <w:bookmarkStart w:id="98" w:name="_Toc7761"/>
      <w:r>
        <w:rPr>
          <w:rFonts w:hint="eastAsia"/>
          <w:b w:val="0"/>
          <w:bCs/>
          <w:color w:val="auto"/>
          <w:lang w:eastAsia="zh-CN"/>
        </w:rPr>
        <w:t>三、</w:t>
      </w:r>
      <w:r>
        <w:rPr>
          <w:rFonts w:hint="eastAsia"/>
          <w:b w:val="0"/>
          <w:bCs/>
          <w:color w:val="auto"/>
        </w:rPr>
        <w:t>“十四五”</w:t>
      </w:r>
      <w:r>
        <w:rPr>
          <w:rFonts w:hint="eastAsia"/>
          <w:b w:val="0"/>
          <w:bCs/>
          <w:color w:val="auto"/>
          <w:lang w:eastAsia="zh-CN"/>
        </w:rPr>
        <w:t>时期重点</w:t>
      </w:r>
      <w:bookmarkEnd w:id="96"/>
      <w:r>
        <w:rPr>
          <w:rFonts w:hint="eastAsia"/>
          <w:b w:val="0"/>
          <w:bCs/>
          <w:color w:val="auto"/>
          <w:lang w:eastAsia="zh-CN"/>
        </w:rPr>
        <w:t>工作</w:t>
      </w:r>
      <w:bookmarkEnd w:id="97"/>
      <w:bookmarkEnd w:id="98"/>
    </w:p>
    <w:p>
      <w:pPr>
        <w:widowControl/>
        <w:numPr>
          <w:numId w:val="0"/>
        </w:numPr>
        <w:wordWrap/>
        <w:adjustRightInd/>
        <w:snapToGrid/>
        <w:spacing w:line="560" w:lineRule="exact"/>
        <w:ind w:right="0"/>
        <w:jc w:val="both"/>
        <w:textAlignment w:val="baseline"/>
        <w:rPr>
          <w:rStyle w:val="28"/>
          <w:rFonts w:hint="eastAsia"/>
          <w:lang w:val="en-US" w:eastAsia="zh-CN"/>
        </w:rPr>
      </w:pPr>
      <w:bookmarkStart w:id="99" w:name="_Toc20945"/>
      <w:r>
        <w:rPr>
          <w:rStyle w:val="28"/>
          <w:rFonts w:hint="eastAsia"/>
          <w:lang w:val="en-US" w:eastAsia="zh-CN"/>
        </w:rPr>
        <w:t xml:space="preserve">    （一）全面加强党对教育工作的领导</w:t>
      </w:r>
    </w:p>
    <w:bookmarkEnd w:id="99"/>
    <w:p>
      <w:pPr>
        <w:widowControl/>
        <w:wordWrap/>
        <w:adjustRightInd/>
        <w:snapToGrid/>
        <w:spacing w:line="56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1.坚持把政治建设作为党的根本性建设。</w:t>
      </w:r>
      <w:r>
        <w:rPr>
          <w:rFonts w:hint="eastAsia" w:ascii="仿宋_GB2312" w:hAnsi="仿宋_GB2312" w:eastAsia="仿宋_GB2312" w:cs="仿宋_GB2312"/>
          <w:color w:val="auto"/>
          <w:sz w:val="32"/>
          <w:szCs w:val="32"/>
          <w:lang w:val="en-US" w:eastAsia="zh-CN"/>
        </w:rPr>
        <w:t>坚持以政治建设为统领，把准政治方向，坚持党的政治领导，夯实政治根基，涵养政治生态，防范政治风险，永葆政治本色，</w:t>
      </w:r>
      <w:r>
        <w:rPr>
          <w:rFonts w:ascii="仿宋_GB2312" w:hAnsi="仿宋_GB2312" w:eastAsia="仿宋_GB2312" w:cs="仿宋_GB2312"/>
          <w:color w:val="000000"/>
          <w:kern w:val="0"/>
          <w:sz w:val="31"/>
          <w:szCs w:val="31"/>
          <w:lang w:val="en-US" w:eastAsia="zh-CN" w:bidi="ar-SA"/>
        </w:rPr>
        <w:t>提高政治判断力、政治领悟力、政治执行力。</w:t>
      </w:r>
      <w:r>
        <w:rPr>
          <w:rFonts w:hint="eastAsia" w:ascii="仿宋_GB2312" w:hAnsi="仿宋_GB2312" w:eastAsia="仿宋_GB2312" w:cs="仿宋_GB2312"/>
          <w:color w:val="000000"/>
          <w:kern w:val="0"/>
          <w:sz w:val="31"/>
          <w:szCs w:val="31"/>
          <w:lang w:val="en-US" w:eastAsia="zh-CN" w:bidi="ar-SA"/>
        </w:rPr>
        <w:t>深刻领悟“两个确立”的决定性意义，</w:t>
      </w:r>
      <w:r>
        <w:rPr>
          <w:rFonts w:ascii="仿宋_GB2312" w:hAnsi="仿宋_GB2312" w:eastAsia="仿宋_GB2312" w:cs="仿宋_GB2312"/>
          <w:color w:val="000000"/>
          <w:kern w:val="0"/>
          <w:sz w:val="31"/>
          <w:szCs w:val="31"/>
          <w:lang w:val="en-US" w:eastAsia="zh-CN" w:bidi="ar-SA"/>
        </w:rPr>
        <w:t>增强“四个意识”，坚定“四个自信”，做到“两个维护”</w:t>
      </w:r>
      <w:r>
        <w:rPr>
          <w:rFonts w:hint="eastAsia" w:ascii="仿宋_GB2312" w:hAnsi="仿宋_GB2312" w:eastAsia="仿宋_GB2312" w:cs="仿宋_GB2312"/>
          <w:color w:val="000000"/>
          <w:kern w:val="0"/>
          <w:sz w:val="31"/>
          <w:szCs w:val="31"/>
          <w:lang w:val="en-US" w:eastAsia="zh-CN" w:bidi="ar-SA"/>
        </w:rPr>
        <w:t>。</w:t>
      </w:r>
      <w:r>
        <w:rPr>
          <w:rFonts w:ascii="仿宋_GB2312" w:hAnsi="仿宋_GB2312" w:eastAsia="仿宋_GB2312" w:cs="仿宋_GB2312"/>
          <w:color w:val="000000"/>
          <w:kern w:val="0"/>
          <w:sz w:val="31"/>
          <w:szCs w:val="31"/>
          <w:lang w:val="en-US" w:eastAsia="zh-CN" w:bidi="ar-SA"/>
        </w:rPr>
        <w:t>坚持不折不扣地将党的教育方针落实到办学治校、人才培养、队伍建设各领域。加强学校阵地管理，严格落实意识形态工作责任制，牢牢掌握教育领域意识形态工作主动权。强化</w:t>
      </w:r>
      <w:r>
        <w:rPr>
          <w:rFonts w:hint="eastAsia" w:ascii="仿宋_GB2312" w:hAnsi="仿宋_GB2312" w:eastAsia="仿宋_GB2312" w:cs="仿宋_GB2312"/>
          <w:color w:val="000000"/>
          <w:kern w:val="0"/>
          <w:sz w:val="31"/>
          <w:szCs w:val="31"/>
          <w:lang w:val="en-US" w:eastAsia="zh-CN" w:bidi="ar-SA"/>
        </w:rPr>
        <w:t>县</w:t>
      </w:r>
      <w:r>
        <w:rPr>
          <w:rFonts w:ascii="仿宋_GB2312" w:hAnsi="仿宋_GB2312" w:eastAsia="仿宋_GB2312" w:cs="仿宋_GB2312"/>
          <w:color w:val="000000"/>
          <w:kern w:val="0"/>
          <w:sz w:val="31"/>
          <w:szCs w:val="31"/>
          <w:lang w:val="en-US" w:eastAsia="zh-CN" w:bidi="ar-SA"/>
        </w:rPr>
        <w:t>委对全</w:t>
      </w:r>
      <w:r>
        <w:rPr>
          <w:rFonts w:hint="eastAsia" w:ascii="仿宋_GB2312" w:hAnsi="仿宋_GB2312" w:eastAsia="仿宋_GB2312" w:cs="仿宋_GB2312"/>
          <w:color w:val="000000"/>
          <w:kern w:val="0"/>
          <w:sz w:val="31"/>
          <w:szCs w:val="31"/>
          <w:lang w:val="en-US" w:eastAsia="zh-CN" w:bidi="ar-SA"/>
        </w:rPr>
        <w:t>县</w:t>
      </w:r>
      <w:r>
        <w:rPr>
          <w:rFonts w:ascii="仿宋_GB2312" w:hAnsi="仿宋_GB2312" w:eastAsia="仿宋_GB2312" w:cs="仿宋_GB2312"/>
          <w:color w:val="000000"/>
          <w:kern w:val="0"/>
          <w:sz w:val="31"/>
          <w:szCs w:val="31"/>
          <w:lang w:val="en-US" w:eastAsia="zh-CN" w:bidi="ar-SA"/>
        </w:rPr>
        <w:t>教育工作的领导，确保党的领导纵到底、横到边、全覆盖。</w:t>
      </w:r>
    </w:p>
    <w:p>
      <w:pPr>
        <w:widowControl/>
        <w:wordWrap/>
        <w:adjustRightInd/>
        <w:snapToGrid/>
        <w:spacing w:line="560" w:lineRule="exact"/>
        <w:ind w:left="0" w:leftChars="0" w:right="0" w:firstLine="640" w:firstLineChars="200"/>
        <w:jc w:val="both"/>
        <w:textAlignment w:val="baseline"/>
        <w:outlineLvl w:val="9"/>
        <w:rPr>
          <w:rFonts w:hint="eastAsia" w:ascii="仿宋_GB2312" w:hAnsi="仿宋_GB2312" w:eastAsia="仿宋_GB2312" w:cs="仿宋_GB2312"/>
          <w:color w:val="000000"/>
          <w:kern w:val="0"/>
          <w:sz w:val="31"/>
          <w:szCs w:val="31"/>
          <w:lang w:val="en-US" w:eastAsia="zh-CN" w:bidi="ar-SA"/>
        </w:rPr>
      </w:pPr>
      <w:r>
        <w:rPr>
          <w:rFonts w:hint="eastAsia" w:ascii="仿宋_GB2312" w:hAnsi="仿宋_GB2312" w:eastAsia="仿宋_GB2312" w:cs="仿宋_GB2312"/>
          <w:b/>
          <w:bCs/>
          <w:color w:val="auto"/>
          <w:sz w:val="32"/>
          <w:szCs w:val="32"/>
          <w:lang w:val="en-US" w:eastAsia="zh-CN"/>
        </w:rPr>
        <w:t>2.</w:t>
      </w:r>
      <w:r>
        <w:rPr>
          <w:rFonts w:ascii="仿宋_GB2312" w:hAnsi="仿宋_GB2312" w:eastAsia="仿宋_GB2312" w:cs="仿宋_GB2312"/>
          <w:b/>
          <w:bCs/>
          <w:color w:val="000000"/>
          <w:kern w:val="0"/>
          <w:sz w:val="32"/>
          <w:szCs w:val="32"/>
          <w:lang w:val="en-US" w:eastAsia="zh-CN" w:bidi="ar-SA"/>
        </w:rPr>
        <w:t>坚持以习近平新时代中国特色社会主义思想铸魂育人</w:t>
      </w:r>
      <w:r>
        <w:rPr>
          <w:rFonts w:hint="eastAsia" w:ascii="仿宋_GB2312" w:hAnsi="仿宋_GB2312" w:eastAsia="仿宋_GB2312" w:cs="仿宋_GB2312"/>
          <w:b/>
          <w:bCs/>
          <w:color w:val="000000"/>
          <w:kern w:val="0"/>
          <w:sz w:val="32"/>
          <w:szCs w:val="32"/>
          <w:lang w:val="en-US" w:eastAsia="zh-CN" w:bidi="ar-SA"/>
        </w:rPr>
        <w:t>。</w:t>
      </w:r>
      <w:r>
        <w:rPr>
          <w:rFonts w:hint="eastAsia" w:ascii="仿宋_GB2312" w:hAnsi="仿宋_GB2312" w:eastAsia="仿宋_GB2312" w:cs="仿宋_GB2312"/>
          <w:b w:val="0"/>
          <w:bCs w:val="0"/>
          <w:color w:val="auto"/>
          <w:sz w:val="32"/>
          <w:szCs w:val="32"/>
          <w:lang w:val="en-US" w:eastAsia="zh-CN"/>
        </w:rPr>
        <w:t>坚持为党育人，为国育才。</w:t>
      </w:r>
      <w:r>
        <w:rPr>
          <w:rFonts w:hint="eastAsia" w:ascii="仿宋_GB2312" w:hAnsi="仿宋_GB2312" w:eastAsia="仿宋_GB2312" w:cs="仿宋_GB2312"/>
          <w:color w:val="auto"/>
          <w:sz w:val="32"/>
          <w:szCs w:val="32"/>
          <w:lang w:val="en-US" w:eastAsia="zh-CN"/>
        </w:rPr>
        <w:t>坚持把习近平总书记关于教育的重要指示批示作为政治要件，推动党史学习教育常态化长效化，巩固深化“不忘初心、牢记使命”主题教育成果。认真开展“大学习、深调研、真落实”活动。</w:t>
      </w:r>
      <w:r>
        <w:rPr>
          <w:rFonts w:ascii="仿宋_GB2312" w:hAnsi="仿宋_GB2312" w:eastAsia="仿宋_GB2312" w:cs="仿宋_GB2312"/>
          <w:color w:val="000000"/>
          <w:kern w:val="0"/>
          <w:sz w:val="31"/>
          <w:szCs w:val="31"/>
          <w:lang w:val="en-US" w:eastAsia="zh-CN" w:bidi="ar-SA"/>
        </w:rPr>
        <w:t>推动习近平新时代中国特色社会主义思想进教材进课堂进头脑</w:t>
      </w:r>
      <w:r>
        <w:rPr>
          <w:rFonts w:hint="eastAsia" w:ascii="仿宋_GB2312" w:hAnsi="仿宋_GB2312" w:eastAsia="仿宋_GB2312" w:cs="仿宋_GB2312"/>
          <w:color w:val="000000"/>
          <w:kern w:val="0"/>
          <w:sz w:val="31"/>
          <w:szCs w:val="31"/>
          <w:lang w:val="en-US" w:eastAsia="zh-CN" w:bidi="ar-SA"/>
        </w:rPr>
        <w:t>。</w:t>
      </w:r>
    </w:p>
    <w:p>
      <w:pPr>
        <w:widowControl/>
        <w:wordWrap/>
        <w:adjustRightInd/>
        <w:snapToGrid/>
        <w:spacing w:line="56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val="0"/>
          <w:color w:val="auto"/>
          <w:sz w:val="32"/>
          <w:szCs w:val="32"/>
          <w:lang w:val="en-US" w:eastAsia="zh-CN"/>
        </w:rPr>
        <w:t>健全完善党的制度体系</w:t>
      </w:r>
      <w:r>
        <w:rPr>
          <w:rFonts w:hint="eastAsia" w:ascii="仿宋_GB2312" w:hAnsi="仿宋_GB2312" w:eastAsia="仿宋_GB2312" w:cs="仿宋_GB2312"/>
          <w:color w:val="auto"/>
          <w:sz w:val="32"/>
          <w:szCs w:val="32"/>
          <w:lang w:val="en-US" w:eastAsia="zh-CN"/>
        </w:rPr>
        <w:t>。落实全面从严治党主体责任，加强教育系统党委和学校党的自身建设；深入推进公办中小学校党组织领导的校长负责制改革；加大发展党员和党组织组建力度，选优配强党组织书记；打造一批学校党建工作示范点，以点带面提升党建质量，</w:t>
      </w:r>
      <w:r>
        <w:rPr>
          <w:rFonts w:ascii="仿宋_GB2312" w:hAnsi="仿宋_GB2312" w:eastAsia="仿宋_GB2312" w:cs="仿宋_GB2312"/>
          <w:color w:val="000000"/>
          <w:kern w:val="0"/>
          <w:sz w:val="31"/>
          <w:szCs w:val="31"/>
          <w:lang w:val="en-US" w:eastAsia="zh-CN" w:bidi="ar-SA"/>
        </w:rPr>
        <w:t>激发教育系统党员干部队伍生机活力</w:t>
      </w:r>
      <w:r>
        <w:rPr>
          <w:rFonts w:hint="eastAsia" w:ascii="仿宋_GB2312" w:hAnsi="仿宋_GB2312" w:eastAsia="仿宋_GB2312" w:cs="仿宋_GB2312"/>
          <w:color w:val="000000"/>
          <w:kern w:val="0"/>
          <w:sz w:val="31"/>
          <w:szCs w:val="31"/>
          <w:lang w:val="en-US" w:eastAsia="zh-CN" w:bidi="ar-SA"/>
        </w:rPr>
        <w:t>。</w:t>
      </w:r>
      <w:r>
        <w:rPr>
          <w:rFonts w:ascii="仿宋_GB2312" w:hAnsi="仿宋_GB2312" w:eastAsia="仿宋_GB2312" w:cs="仿宋_GB2312"/>
          <w:color w:val="000000"/>
          <w:kern w:val="0"/>
          <w:sz w:val="31"/>
          <w:szCs w:val="31"/>
          <w:lang w:val="en-US" w:eastAsia="zh-CN" w:bidi="ar-SA"/>
        </w:rPr>
        <w:t>将党建工作纳入学校总体工作格局。加强对教育系统各级各类学校党组织党建工作的分类指导，强化基层党建带动工会、共青团、少先队、学生会、学生社团建设</w:t>
      </w:r>
      <w:r>
        <w:rPr>
          <w:rFonts w:hint="eastAsia" w:ascii="仿宋_GB2312" w:hAnsi="仿宋_GB2312" w:eastAsia="仿宋_GB2312" w:cs="仿宋_GB2312"/>
          <w:color w:val="000000"/>
          <w:kern w:val="0"/>
          <w:sz w:val="31"/>
          <w:szCs w:val="31"/>
          <w:lang w:val="en-US" w:eastAsia="zh-CN" w:bidi="ar-SA"/>
        </w:rPr>
        <w:t>，</w:t>
      </w:r>
      <w:bookmarkStart w:id="100" w:name="_Toc2047_WPSOffice_Level2"/>
      <w:r>
        <w:rPr>
          <w:rFonts w:hint="eastAsia" w:ascii="仿宋_GB2312" w:hAnsi="仿宋_GB2312" w:eastAsia="仿宋_GB2312" w:cs="仿宋_GB2312"/>
          <w:b w:val="0"/>
          <w:bCs w:val="0"/>
          <w:color w:val="auto"/>
          <w:sz w:val="32"/>
          <w:szCs w:val="32"/>
          <w:lang w:val="en-US" w:eastAsia="zh-CN"/>
        </w:rPr>
        <w:t>全面强化基层党组织建设制度化、规范化、科学化水平，不断提升基层党组织和政治领导力、思想引领力、群众组织力、社会号召力。</w:t>
      </w:r>
    </w:p>
    <w:p>
      <w:pPr>
        <w:pStyle w:val="3"/>
        <w:wordWrap/>
        <w:adjustRightInd/>
        <w:snapToGrid/>
        <w:spacing w:line="560" w:lineRule="exact"/>
        <w:ind w:left="0" w:leftChars="0" w:right="0" w:firstLine="640" w:firstLineChars="200"/>
        <w:rPr>
          <w:rFonts w:hint="eastAsia"/>
          <w:color w:val="auto"/>
        </w:rPr>
      </w:pPr>
      <w:bookmarkStart w:id="101" w:name="_Toc16734"/>
      <w:bookmarkStart w:id="102" w:name="_Toc19022"/>
      <w:r>
        <w:rPr>
          <w:rFonts w:hint="eastAsia"/>
          <w:color w:val="auto"/>
          <w:lang w:eastAsia="zh-CN"/>
        </w:rPr>
        <w:t>（二）全面</w:t>
      </w:r>
      <w:r>
        <w:rPr>
          <w:rFonts w:hint="eastAsia"/>
          <w:color w:val="auto"/>
        </w:rPr>
        <w:t>落实立德树人根本任务</w:t>
      </w:r>
      <w:bookmarkEnd w:id="100"/>
      <w:bookmarkEnd w:id="101"/>
      <w:bookmarkEnd w:id="102"/>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1.强化全员全过程全方位立德树人意识。</w:t>
      </w:r>
      <w:r>
        <w:rPr>
          <w:rFonts w:hint="eastAsia" w:ascii="仿宋_GB2312" w:hAnsi="仿宋_GB2312" w:eastAsia="仿宋_GB2312" w:cs="仿宋_GB2312"/>
          <w:color w:val="auto"/>
          <w:kern w:val="2"/>
          <w:sz w:val="32"/>
          <w:szCs w:val="32"/>
          <w:highlight w:val="none"/>
          <w:u w:val="none" w:color="auto"/>
          <w:lang w:val="en-US" w:eastAsia="zh-CN" w:bidi="ar-SA"/>
        </w:rPr>
        <w:t>坚持把立德树人成效作为检验学校一切工作的根本标准, 融入思想道德教育、文化知识教育、社会实践教育各环节, 贯穿义务教育、高中教育、职业教育各领域。</w:t>
      </w:r>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highlight w:val="none"/>
          <w:u w:val="none" w:color="auto"/>
          <w:lang w:val="en-US" w:eastAsia="zh-CN" w:bidi="ar-SA"/>
        </w:rPr>
        <w:t>2.</w:t>
      </w:r>
      <w:r>
        <w:rPr>
          <w:rFonts w:hint="eastAsia" w:ascii="仿宋_GB2312" w:hAnsi="仿宋_GB2312" w:eastAsia="仿宋_GB2312" w:cs="仿宋_GB2312"/>
          <w:b/>
          <w:bCs/>
          <w:color w:val="auto"/>
          <w:sz w:val="32"/>
          <w:szCs w:val="32"/>
          <w:lang w:val="en-US" w:eastAsia="zh-CN"/>
        </w:rPr>
        <w:t>完善中小幼思政课程建设。</w:t>
      </w:r>
      <w:r>
        <w:rPr>
          <w:rFonts w:hint="eastAsia" w:ascii="仿宋_GB2312" w:hAnsi="仿宋_GB2312" w:eastAsia="仿宋_GB2312" w:cs="仿宋_GB2312"/>
          <w:color w:val="auto"/>
          <w:kern w:val="2"/>
          <w:sz w:val="32"/>
          <w:szCs w:val="32"/>
          <w:highlight w:val="none"/>
          <w:u w:val="none" w:color="auto"/>
          <w:lang w:val="en-US" w:eastAsia="zh-CN" w:bidi="ar-SA"/>
        </w:rPr>
        <w:t>大力培育和弘扬社会主义核心价值观,</w:t>
      </w:r>
      <w:r>
        <w:rPr>
          <w:rFonts w:hint="eastAsia" w:ascii="仿宋_GB2312" w:hAnsi="仿宋_GB2312" w:eastAsia="仿宋_GB2312" w:cs="仿宋_GB2312"/>
          <w:color w:val="auto"/>
          <w:sz w:val="32"/>
          <w:szCs w:val="32"/>
        </w:rPr>
        <w:t>加大思政课程整合力度，</w:t>
      </w:r>
      <w:r>
        <w:rPr>
          <w:rFonts w:hint="eastAsia" w:ascii="仿宋_GB2312" w:hAnsi="仿宋_GB2312" w:eastAsia="仿宋_GB2312" w:cs="仿宋_GB2312"/>
          <w:color w:val="auto"/>
          <w:kern w:val="2"/>
          <w:sz w:val="32"/>
          <w:szCs w:val="32"/>
          <w:highlight w:val="none"/>
          <w:u w:val="none" w:color="auto"/>
          <w:lang w:val="en-US" w:eastAsia="zh-CN" w:bidi="ar-SA"/>
        </w:rPr>
        <w:t>建立富有县域特色、学校特色的思政课程资源库</w:t>
      </w:r>
      <w:r>
        <w:rPr>
          <w:rFonts w:hint="eastAsia" w:ascii="仿宋_GB2312" w:hAnsi="仿宋_GB2312" w:eastAsia="仿宋_GB2312" w:cs="仿宋_GB2312"/>
          <w:color w:val="auto"/>
          <w:sz w:val="32"/>
          <w:szCs w:val="32"/>
        </w:rPr>
        <w:t>；整合设计学校班会和思政实践活动，设计不同学段、不同年级思政实践活动教案。深化精品思政课程建设，强化思政课教研与科研工作，推进思政课教育教学改革，不断增强思政课的思想性、理论性和亲和力、针对性。</w:t>
      </w:r>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b w:val="0"/>
          <w:bCs w:val="0"/>
          <w:color w:val="3366FF"/>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3.促进学生综合素质全面提升。</w:t>
      </w:r>
      <w:r>
        <w:rPr>
          <w:rFonts w:hint="eastAsia" w:ascii="仿宋_GB2312" w:hAnsi="仿宋_GB2312" w:eastAsia="仿宋_GB2312" w:cs="仿宋_GB2312"/>
          <w:b w:val="0"/>
          <w:bCs w:val="0"/>
          <w:color w:val="auto"/>
          <w:kern w:val="2"/>
          <w:sz w:val="32"/>
          <w:szCs w:val="32"/>
          <w:highlight w:val="none"/>
          <w:u w:val="none" w:color="auto"/>
          <w:lang w:val="en-US" w:eastAsia="zh-CN" w:bidi="ar-SA"/>
        </w:rPr>
        <w:t>以“五育并举”为抓手，</w:t>
      </w:r>
      <w:r>
        <w:rPr>
          <w:rFonts w:hint="eastAsia" w:ascii="仿宋_GB2312" w:hAnsi="仿宋_GB2312" w:eastAsia="仿宋_GB2312" w:cs="仿宋_GB2312"/>
          <w:b w:val="0"/>
          <w:bCs w:val="0"/>
          <w:color w:val="auto"/>
          <w:sz w:val="32"/>
          <w:szCs w:val="32"/>
          <w:lang w:eastAsia="zh-CN"/>
        </w:rPr>
        <w:t>大力推进学校素质教育，</w:t>
      </w:r>
      <w:r>
        <w:rPr>
          <w:rFonts w:hint="eastAsia" w:ascii="仿宋_GB2312" w:hAnsi="仿宋_GB2312" w:eastAsia="仿宋_GB2312" w:cs="仿宋_GB2312"/>
          <w:b w:val="0"/>
          <w:bCs w:val="0"/>
          <w:color w:val="auto"/>
          <w:kern w:val="2"/>
          <w:sz w:val="32"/>
          <w:szCs w:val="32"/>
          <w:highlight w:val="none"/>
          <w:u w:val="none" w:color="auto"/>
          <w:lang w:val="en-US" w:eastAsia="zh-CN" w:bidi="ar-SA"/>
        </w:rPr>
        <w:t>注重学生综合素质的培养,</w:t>
      </w:r>
      <w:r>
        <w:rPr>
          <w:rFonts w:hint="eastAsia" w:ascii="仿宋_GB2312" w:hAnsi="仿宋_GB2312" w:eastAsia="仿宋_GB2312" w:cs="仿宋_GB2312"/>
          <w:b w:val="0"/>
          <w:bCs w:val="0"/>
          <w:color w:val="auto"/>
          <w:sz w:val="32"/>
          <w:szCs w:val="32"/>
          <w:lang w:eastAsia="zh-CN"/>
        </w:rPr>
        <w:t>全面执行国家课程标准，</w:t>
      </w:r>
      <w:r>
        <w:rPr>
          <w:rFonts w:hint="eastAsia" w:ascii="仿宋_GB2312" w:hAnsi="仿宋_GB2312" w:eastAsia="仿宋_GB2312" w:cs="仿宋_GB2312"/>
          <w:b w:val="0"/>
          <w:bCs w:val="0"/>
          <w:color w:val="auto"/>
          <w:kern w:val="2"/>
          <w:sz w:val="32"/>
          <w:szCs w:val="32"/>
          <w:highlight w:val="none"/>
          <w:u w:val="none" w:color="auto"/>
          <w:lang w:val="en-US" w:eastAsia="zh-CN" w:bidi="ar-SA"/>
        </w:rPr>
        <w:t>开足开齐体育、美育、劳动教育等课程，</w:t>
      </w:r>
      <w:r>
        <w:rPr>
          <w:rFonts w:hint="eastAsia" w:ascii="仿宋_GB2312" w:hAnsi="仿宋_GB2312" w:eastAsia="仿宋_GB2312" w:cs="仿宋_GB2312"/>
          <w:b w:val="0"/>
          <w:bCs w:val="0"/>
          <w:color w:val="auto"/>
          <w:sz w:val="32"/>
          <w:szCs w:val="32"/>
        </w:rPr>
        <w:t>帮助学生</w:t>
      </w:r>
      <w:r>
        <w:rPr>
          <w:rFonts w:hint="eastAsia" w:ascii="仿宋_GB2312" w:hAnsi="仿宋_GB2312" w:eastAsia="仿宋_GB2312" w:cs="仿宋_GB2312"/>
          <w:b w:val="0"/>
          <w:bCs w:val="0"/>
          <w:color w:val="auto"/>
          <w:kern w:val="2"/>
          <w:sz w:val="32"/>
          <w:szCs w:val="32"/>
          <w:highlight w:val="none"/>
          <w:u w:val="none" w:color="auto"/>
          <w:lang w:val="en-US" w:eastAsia="zh-CN" w:bidi="ar-SA"/>
        </w:rPr>
        <w:t>至少掌握1至2项体育、艺术技能。</w:t>
      </w:r>
      <w:r>
        <w:rPr>
          <w:rFonts w:hint="eastAsia" w:ascii="仿宋_GB2312" w:hAnsi="仿宋_GB2312" w:eastAsia="仿宋_GB2312" w:cs="仿宋_GB2312"/>
          <w:b w:val="0"/>
          <w:bCs w:val="0"/>
          <w:color w:val="auto"/>
          <w:sz w:val="32"/>
          <w:szCs w:val="32"/>
          <w:lang w:val="en-US" w:eastAsia="zh-CN"/>
        </w:rPr>
        <w:t>全面加强学校体育工作。</w:t>
      </w:r>
      <w:r>
        <w:rPr>
          <w:rFonts w:hint="eastAsia" w:ascii="仿宋_GB2312" w:hAnsi="仿宋_GB2312" w:eastAsia="仿宋_GB2312" w:cs="仿宋_GB2312"/>
          <w:b w:val="0"/>
          <w:bCs w:val="0"/>
          <w:color w:val="auto"/>
          <w:sz w:val="32"/>
          <w:szCs w:val="32"/>
        </w:rPr>
        <w:t>全面贯彻落实新时代学校《学校体育、美育、卫生工作条例》精神，加</w:t>
      </w:r>
      <w:r>
        <w:rPr>
          <w:rFonts w:hint="eastAsia" w:ascii="仿宋_GB2312" w:hAnsi="仿宋_GB2312" w:eastAsia="仿宋_GB2312" w:cs="仿宋_GB2312"/>
          <w:b w:val="0"/>
          <w:bCs w:val="0"/>
          <w:color w:val="auto"/>
          <w:sz w:val="32"/>
          <w:szCs w:val="32"/>
          <w:lang w:eastAsia="zh-CN"/>
        </w:rPr>
        <w:t>大《国家学生体质健康标准》实施力度，</w:t>
      </w:r>
      <w:r>
        <w:rPr>
          <w:rFonts w:hint="default" w:ascii="仿宋_GB2312" w:hAnsi="仿宋_GB2312" w:eastAsia="仿宋_GB2312" w:cs="仿宋_GB2312"/>
          <w:b w:val="0"/>
          <w:bCs w:val="0"/>
          <w:color w:val="auto"/>
          <w:sz w:val="32"/>
          <w:szCs w:val="32"/>
          <w:lang w:eastAsia="zh-CN"/>
        </w:rPr>
        <w:t>完成《国家学生体质健康标准》各年度达标任务。</w:t>
      </w:r>
      <w:r>
        <w:rPr>
          <w:rFonts w:hint="eastAsia" w:ascii="仿宋_GB2312" w:hAnsi="仿宋_GB2312" w:eastAsia="仿宋_GB2312" w:cs="仿宋_GB2312"/>
          <w:b w:val="0"/>
          <w:bCs w:val="0"/>
          <w:color w:val="auto"/>
          <w:sz w:val="32"/>
          <w:szCs w:val="32"/>
        </w:rPr>
        <w:t>大力推广校园足球活动开展，不断创新和丰富学校阳光体育和大课间活动内容、形式和方法，确保学生每天一小时校园体育活动时间</w:t>
      </w:r>
      <w:r>
        <w:rPr>
          <w:rFonts w:hint="eastAsia" w:ascii="仿宋_GB2312" w:hAnsi="仿宋_GB2312" w:eastAsia="仿宋_GB2312" w:cs="仿宋_GB2312"/>
          <w:b w:val="0"/>
          <w:bCs w:val="0"/>
          <w:color w:val="auto"/>
          <w:sz w:val="32"/>
          <w:szCs w:val="32"/>
          <w:lang w:eastAsia="zh-CN"/>
        </w:rPr>
        <w:t>，切实提高学生体质健康水平</w:t>
      </w:r>
      <w:r>
        <w:rPr>
          <w:rFonts w:hint="eastAsia" w:ascii="仿宋_GB2312" w:hAnsi="仿宋_GB2312" w:eastAsia="仿宋_GB2312" w:cs="仿宋_GB2312"/>
          <w:b w:val="0"/>
          <w:bCs w:val="0"/>
          <w:color w:val="auto"/>
          <w:sz w:val="32"/>
          <w:szCs w:val="32"/>
        </w:rPr>
        <w:t>。全面加强卫生健康教育，引导学生树立正确的健康观。</w:t>
      </w:r>
      <w:r>
        <w:rPr>
          <w:rFonts w:hint="eastAsia" w:ascii="仿宋_GB2312" w:hAnsi="仿宋_GB2312" w:eastAsia="仿宋_GB2312" w:cs="仿宋_GB2312"/>
          <w:b w:val="0"/>
          <w:bCs w:val="0"/>
          <w:color w:val="auto"/>
          <w:sz w:val="32"/>
          <w:szCs w:val="32"/>
          <w:lang w:val="en-US" w:eastAsia="zh-CN"/>
        </w:rPr>
        <w:t>加强和改进学校美育工作。</w:t>
      </w:r>
      <w:r>
        <w:rPr>
          <w:rFonts w:hint="eastAsia" w:ascii="仿宋_GB2312" w:hAnsi="仿宋_GB2312" w:eastAsia="仿宋_GB2312" w:cs="仿宋_GB2312"/>
          <w:b w:val="0"/>
          <w:bCs w:val="0"/>
          <w:color w:val="auto"/>
          <w:sz w:val="32"/>
          <w:szCs w:val="32"/>
        </w:rPr>
        <w:t>落实学校美育课程开设刚性要求，开展美育活动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加强新时代劳动教育。</w:t>
      </w:r>
      <w:r>
        <w:rPr>
          <w:rFonts w:hint="eastAsia" w:ascii="仿宋_GB2312" w:hAnsi="仿宋_GB2312" w:eastAsia="仿宋_GB2312" w:cs="仿宋_GB2312"/>
          <w:b w:val="0"/>
          <w:bCs w:val="0"/>
          <w:color w:val="auto"/>
          <w:sz w:val="32"/>
          <w:szCs w:val="32"/>
        </w:rPr>
        <w:t>进一步加强劳动教育基地建设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积极开发博物馆、图书馆、体育馆、</w:t>
      </w:r>
      <w:r>
        <w:rPr>
          <w:rFonts w:hint="eastAsia" w:ascii="仿宋_GB2312" w:hAnsi="仿宋_GB2312" w:eastAsia="仿宋_GB2312" w:cs="仿宋_GB2312"/>
          <w:b w:val="0"/>
          <w:bCs w:val="0"/>
          <w:color w:val="auto"/>
          <w:sz w:val="32"/>
          <w:szCs w:val="32"/>
          <w:lang w:eastAsia="zh-CN"/>
        </w:rPr>
        <w:t>研学</w:t>
      </w:r>
      <w:r>
        <w:rPr>
          <w:rFonts w:hint="eastAsia" w:ascii="仿宋_GB2312" w:hAnsi="仿宋_GB2312" w:eastAsia="仿宋_GB2312" w:cs="仿宋_GB2312"/>
          <w:b w:val="0"/>
          <w:bCs w:val="0"/>
          <w:color w:val="auto"/>
          <w:sz w:val="32"/>
          <w:szCs w:val="32"/>
        </w:rPr>
        <w:t>基地等校外场地的劳动实践教育价值。</w:t>
      </w:r>
      <w:r>
        <w:rPr>
          <w:rFonts w:hint="eastAsia" w:ascii="仿宋_GB2312" w:hAnsi="仿宋_GB2312" w:eastAsia="仿宋_GB2312" w:cs="仿宋_GB2312"/>
          <w:b w:val="0"/>
          <w:bCs w:val="0"/>
          <w:color w:val="auto"/>
          <w:sz w:val="32"/>
          <w:szCs w:val="32"/>
          <w:lang w:val="en-US" w:eastAsia="zh-CN"/>
        </w:rPr>
        <w:t>加强国防教育以及国家安全和公共安全教育。实施心理健康教育行动，切实做好学生心理健康问题干预。结合实际开展</w:t>
      </w:r>
      <w:r>
        <w:rPr>
          <w:rFonts w:hint="eastAsia" w:ascii="仿宋_GB2312" w:hAnsi="仿宋_GB2312" w:eastAsia="仿宋_GB2312" w:cs="仿宋_GB2312"/>
          <w:b w:val="0"/>
          <w:bCs w:val="0"/>
          <w:color w:val="auto"/>
          <w:sz w:val="32"/>
          <w:szCs w:val="32"/>
        </w:rPr>
        <w:t>各学段学生</w:t>
      </w:r>
      <w:r>
        <w:rPr>
          <w:rFonts w:hint="eastAsia" w:ascii="仿宋_GB2312" w:hAnsi="仿宋_GB2312" w:eastAsia="仿宋_GB2312" w:cs="仿宋_GB2312"/>
          <w:b w:val="0"/>
          <w:bCs w:val="0"/>
          <w:color w:val="auto"/>
          <w:sz w:val="32"/>
          <w:szCs w:val="32"/>
          <w:lang w:val="en-US" w:eastAsia="zh-CN"/>
        </w:rPr>
        <w:t>德智体美劳</w:t>
      </w:r>
      <w:r>
        <w:rPr>
          <w:rFonts w:hint="eastAsia" w:ascii="仿宋_GB2312" w:hAnsi="仿宋_GB2312" w:eastAsia="仿宋_GB2312" w:cs="仿宋_GB2312"/>
          <w:b w:val="0"/>
          <w:bCs w:val="0"/>
          <w:color w:val="auto"/>
          <w:sz w:val="32"/>
          <w:szCs w:val="32"/>
        </w:rPr>
        <w:t>综合素质</w:t>
      </w:r>
      <w:r>
        <w:rPr>
          <w:rFonts w:hint="eastAsia" w:ascii="仿宋_GB2312" w:hAnsi="仿宋_GB2312" w:eastAsia="仿宋_GB2312" w:cs="仿宋_GB2312"/>
          <w:b w:val="0"/>
          <w:bCs w:val="0"/>
          <w:color w:val="auto"/>
          <w:sz w:val="32"/>
          <w:szCs w:val="32"/>
          <w:lang w:val="en-US" w:eastAsia="zh-CN"/>
        </w:rPr>
        <w:t>过程性评价</w:t>
      </w:r>
      <w:r>
        <w:rPr>
          <w:rFonts w:hint="eastAsia" w:ascii="仿宋_GB2312" w:hAnsi="仿宋_GB2312" w:eastAsia="仿宋_GB2312" w:cs="仿宋_GB2312"/>
          <w:b w:val="0"/>
          <w:bCs w:val="0"/>
          <w:color w:val="auto"/>
          <w:sz w:val="32"/>
          <w:szCs w:val="32"/>
        </w:rPr>
        <w:t>。</w:t>
      </w:r>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kern w:val="2"/>
          <w:sz w:val="32"/>
          <w:szCs w:val="32"/>
          <w:highlight w:val="none"/>
          <w:u w:val="none" w:color="auto"/>
          <w:lang w:val="en-US" w:eastAsia="zh-CN" w:bidi="ar-SA"/>
        </w:rPr>
        <w:t>4.</w:t>
      </w:r>
      <w:r>
        <w:rPr>
          <w:rFonts w:hint="eastAsia" w:ascii="仿宋_GB2312" w:hAnsi="仿宋_GB2312" w:eastAsia="仿宋_GB2312" w:cs="仿宋_GB2312"/>
          <w:b/>
          <w:bCs/>
          <w:color w:val="auto"/>
          <w:sz w:val="32"/>
          <w:szCs w:val="32"/>
          <w:lang w:eastAsia="zh-CN"/>
        </w:rPr>
        <w:t>构建</w:t>
      </w:r>
      <w:r>
        <w:rPr>
          <w:rFonts w:hint="eastAsia" w:ascii="仿宋_GB2312" w:hAnsi="仿宋_GB2312" w:eastAsia="仿宋_GB2312" w:cs="仿宋_GB2312"/>
          <w:b/>
          <w:bCs/>
          <w:color w:val="auto"/>
          <w:sz w:val="32"/>
          <w:szCs w:val="32"/>
        </w:rPr>
        <w:t>家庭学校社会协同育人体系</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Cs/>
          <w:color w:val="auto"/>
          <w:sz w:val="32"/>
          <w:szCs w:val="32"/>
        </w:rPr>
        <w:t>抓好中小学生作业、睡眠、手机、读物、体质“五个管理”。</w:t>
      </w:r>
      <w:r>
        <w:rPr>
          <w:rFonts w:hint="eastAsia" w:ascii="仿宋_GB2312" w:hAnsi="仿宋_GB2312" w:eastAsia="仿宋_GB2312" w:cs="仿宋_GB2312"/>
          <w:color w:val="auto"/>
          <w:kern w:val="2"/>
          <w:sz w:val="32"/>
          <w:szCs w:val="32"/>
          <w:highlight w:val="none"/>
          <w:u w:val="none" w:color="auto"/>
          <w:lang w:val="en-US" w:eastAsia="zh-CN" w:bidi="ar-SA"/>
        </w:rPr>
        <w:t>充分发挥教育行政部门、学校、家庭和社会各界力量,融合校内校外多种教育形式,构建覆盖城乡的家庭教育制度服务及家校共育体系，建立全社会协同育人的体制机制。</w:t>
      </w:r>
      <w:r>
        <w:rPr>
          <w:rFonts w:hint="eastAsia" w:ascii="仿宋_GB2312" w:hAnsi="仿宋_GB2312" w:eastAsia="仿宋_GB2312" w:cs="仿宋_GB2312"/>
          <w:color w:val="auto"/>
          <w:sz w:val="32"/>
          <w:szCs w:val="32"/>
        </w:rPr>
        <w:t>发挥学校主导作用，</w:t>
      </w:r>
      <w:r>
        <w:rPr>
          <w:rFonts w:hint="eastAsia" w:ascii="仿宋_GB2312" w:hAnsi="仿宋_GB2312" w:eastAsia="仿宋_GB2312" w:cs="仿宋_GB2312"/>
          <w:color w:val="auto"/>
          <w:sz w:val="32"/>
          <w:szCs w:val="32"/>
          <w:lang w:eastAsia="zh-CN"/>
        </w:rPr>
        <w:t>完善家访制度，</w:t>
      </w:r>
      <w:r>
        <w:rPr>
          <w:rFonts w:hint="eastAsia" w:ascii="仿宋_GB2312" w:hAnsi="仿宋_GB2312" w:eastAsia="仿宋_GB2312" w:cs="仿宋_GB2312"/>
          <w:color w:val="auto"/>
          <w:sz w:val="32"/>
          <w:szCs w:val="32"/>
        </w:rPr>
        <w:t>强化家长教育，向家长普及正确教育理念和科学教育方法，引导父母做好学生的第一任老师，培育好家风，传承好家训，促进青少年人格养成和心理健康成长</w:t>
      </w:r>
      <w:r>
        <w:rPr>
          <w:rFonts w:hint="eastAsia" w:ascii="仿宋_GB2312" w:hAnsi="仿宋_GB2312" w:eastAsia="仿宋_GB2312" w:cs="仿宋_GB2312"/>
          <w:color w:val="auto"/>
          <w:sz w:val="32"/>
          <w:szCs w:val="32"/>
          <w:lang w:eastAsia="zh-CN"/>
        </w:rPr>
        <w:t>。</w:t>
      </w:r>
    </w:p>
    <w:p>
      <w:pPr>
        <w:widowControl/>
        <w:wordWrap/>
        <w:adjustRightInd/>
        <w:snapToGrid/>
        <w:spacing w:line="560" w:lineRule="exact"/>
        <w:ind w:left="0" w:leftChars="0" w:right="0" w:firstLine="640" w:firstLineChars="200"/>
        <w:jc w:val="both"/>
        <w:textAlignment w:val="baseline"/>
        <w:rPr>
          <w:rFonts w:hint="eastAsia"/>
          <w:color w:val="auto"/>
          <w:lang w:eastAsia="zh-CN"/>
        </w:rPr>
      </w:pPr>
      <w:r>
        <w:rPr>
          <w:rFonts w:hint="eastAsia" w:ascii="仿宋_GB2312" w:hAnsi="仿宋_GB2312" w:eastAsia="仿宋_GB2312" w:cs="仿宋_GB2312"/>
          <w:b/>
          <w:bCs/>
          <w:color w:val="auto"/>
          <w:kern w:val="2"/>
          <w:sz w:val="32"/>
          <w:szCs w:val="32"/>
          <w:highlight w:val="none"/>
          <w:u w:val="none" w:color="auto"/>
          <w:lang w:val="en-US" w:eastAsia="zh-CN" w:bidi="ar-SA"/>
        </w:rPr>
        <w:t>5.加强校园文化建设。</w:t>
      </w:r>
      <w:r>
        <w:rPr>
          <w:rFonts w:hint="eastAsia" w:ascii="仿宋_GB2312" w:hAnsi="仿宋_GB2312" w:eastAsia="仿宋_GB2312" w:cs="仿宋_GB2312"/>
          <w:color w:val="auto"/>
          <w:sz w:val="32"/>
          <w:szCs w:val="32"/>
        </w:rPr>
        <w:t>深化“文化兴校、文化育人”举措，坚持社会主义核心价值观引领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highlight w:val="none"/>
          <w:u w:val="none" w:color="auto"/>
          <w:lang w:val="en-US" w:eastAsia="zh-CN" w:bidi="ar-SA"/>
        </w:rPr>
        <w:t>融合本地红色文化资源等，着力打造文化育人特色学校。</w:t>
      </w:r>
      <w:bookmarkStart w:id="103" w:name="_Toc18567_WPSOffice_Level2"/>
    </w:p>
    <w:p>
      <w:pPr>
        <w:pStyle w:val="3"/>
        <w:wordWrap/>
        <w:adjustRightInd/>
        <w:snapToGrid/>
        <w:spacing w:line="560" w:lineRule="exact"/>
        <w:ind w:left="0" w:leftChars="0" w:right="0"/>
        <w:rPr>
          <w:rFonts w:hint="eastAsia"/>
          <w:color w:val="auto"/>
          <w:lang w:eastAsia="zh-CN"/>
        </w:rPr>
      </w:pPr>
      <w:bookmarkStart w:id="104" w:name="_Toc27649"/>
      <w:bookmarkStart w:id="105" w:name="_Toc30221"/>
      <w:r>
        <w:rPr>
          <w:rFonts w:hint="eastAsia"/>
          <w:color w:val="auto"/>
          <w:lang w:eastAsia="zh-CN"/>
        </w:rPr>
        <w:t>（三）持续推进基础教育高质量发展</w:t>
      </w:r>
      <w:bookmarkEnd w:id="103"/>
      <w:bookmarkEnd w:id="104"/>
      <w:bookmarkEnd w:id="105"/>
    </w:p>
    <w:p>
      <w:pPr>
        <w:pStyle w:val="23"/>
        <w:widowControl w:val="0"/>
        <w:wordWrap/>
        <w:adjustRightInd/>
        <w:snapToGrid/>
        <w:spacing w:line="560" w:lineRule="exact"/>
        <w:ind w:left="0" w:leftChars="0" w:right="0" w:firstLine="643" w:firstLineChars="200"/>
        <w:jc w:val="left"/>
        <w:textAlignment w:val="auto"/>
        <w:rPr>
          <w:rFonts w:hint="eastAsia" w:ascii="仿宋_GB2312" w:hAnsi="仿宋_GB2312" w:eastAsia="仿宋_GB2312" w:cs="仿宋"/>
          <w:b w:val="0"/>
          <w:bCs w:val="0"/>
          <w:color w:val="auto"/>
          <w:sz w:val="32"/>
          <w:szCs w:val="32"/>
          <w:u w:val="none" w:color="auto"/>
        </w:rPr>
      </w:pPr>
      <w:r>
        <w:rPr>
          <w:rFonts w:hint="eastAsia" w:ascii="楷体_GB2312" w:hAnsi="楷体_GB2312" w:eastAsia="楷体_GB2312" w:cs="楷体_GB2312"/>
          <w:b/>
          <w:bCs w:val="0"/>
          <w:color w:val="auto"/>
          <w:sz w:val="32"/>
          <w:szCs w:val="32"/>
          <w:lang w:val="en-US" w:eastAsia="zh-CN"/>
        </w:rPr>
        <w:t>1.</w:t>
      </w:r>
      <w:r>
        <w:rPr>
          <w:rFonts w:hint="eastAsia" w:ascii="楷体_GB2312" w:hAnsi="楷体_GB2312" w:eastAsia="楷体_GB2312" w:cs="楷体_GB2312"/>
          <w:b/>
          <w:bCs w:val="0"/>
          <w:color w:val="auto"/>
          <w:sz w:val="32"/>
          <w:szCs w:val="32"/>
        </w:rPr>
        <w:t>推进学前教育普惠安全优质发展</w:t>
      </w:r>
      <w:r>
        <w:rPr>
          <w:rFonts w:hint="eastAsia" w:ascii="仿宋_GB2312" w:hAnsi="仿宋_GB2312" w:eastAsia="仿宋_GB2312" w:cs="仿宋"/>
          <w:b/>
          <w:bCs/>
          <w:color w:val="auto"/>
          <w:sz w:val="32"/>
          <w:szCs w:val="32"/>
          <w:u w:val="none" w:color="auto"/>
          <w:lang w:eastAsia="zh-CN"/>
        </w:rPr>
        <w:t>。</w:t>
      </w:r>
      <w:r>
        <w:rPr>
          <w:rFonts w:hint="eastAsia" w:ascii="仿宋_GB2312" w:hAnsi="仿宋_GB2312" w:eastAsia="仿宋_GB2312" w:cs="仿宋"/>
          <w:b w:val="0"/>
          <w:bCs w:val="0"/>
          <w:color w:val="auto"/>
          <w:sz w:val="32"/>
          <w:szCs w:val="32"/>
          <w:u w:val="none" w:color="auto"/>
          <w:lang w:eastAsia="zh-CN"/>
        </w:rPr>
        <w:t>统筹推进学前教育健康发展，完善幼儿园评价机制，</w:t>
      </w:r>
      <w:r>
        <w:rPr>
          <w:rFonts w:hint="eastAsia" w:ascii="仿宋_GB2312" w:hAnsi="仿宋_GB2312" w:eastAsia="仿宋_GB2312" w:cs="仿宋_GB2312"/>
          <w:color w:val="auto"/>
          <w:sz w:val="32"/>
          <w:szCs w:val="32"/>
          <w:u w:val="none" w:color="auto"/>
          <w:lang w:val="en-US" w:eastAsia="zh-CN"/>
        </w:rPr>
        <w:t>健全幼儿园教师待遇保障机制，进一步加大学前教育培训力度，逐步提高学前教育财政投入和支持水平。</w:t>
      </w:r>
      <w:r>
        <w:rPr>
          <w:rFonts w:hint="eastAsia" w:ascii="仿宋_GB2312" w:hAnsi="仿宋_GB2312" w:eastAsia="仿宋_GB2312" w:cs="仿宋"/>
          <w:b w:val="0"/>
          <w:bCs w:val="0"/>
          <w:color w:val="auto"/>
          <w:sz w:val="32"/>
          <w:szCs w:val="32"/>
          <w:u w:val="none" w:color="auto"/>
          <w:lang w:eastAsia="zh-CN"/>
        </w:rPr>
        <w:t>增加公办幼儿园和</w:t>
      </w:r>
      <w:r>
        <w:rPr>
          <w:rFonts w:hint="eastAsia" w:ascii="仿宋_GB2312" w:hAnsi="仿宋_GB2312" w:eastAsia="仿宋_GB2312" w:cs="仿宋"/>
          <w:b w:val="0"/>
          <w:bCs w:val="0"/>
          <w:color w:val="auto"/>
          <w:sz w:val="32"/>
          <w:szCs w:val="32"/>
          <w:u w:val="none" w:color="auto"/>
        </w:rPr>
        <w:t>普惠性</w:t>
      </w:r>
      <w:r>
        <w:rPr>
          <w:rFonts w:hint="eastAsia" w:ascii="仿宋_GB2312" w:hAnsi="仿宋_GB2312" w:eastAsia="仿宋_GB2312" w:cs="仿宋"/>
          <w:b w:val="0"/>
          <w:bCs w:val="0"/>
          <w:color w:val="auto"/>
          <w:sz w:val="32"/>
          <w:szCs w:val="32"/>
          <w:u w:val="none" w:color="auto"/>
          <w:lang w:eastAsia="zh-CN"/>
        </w:rPr>
        <w:t>幼儿园学位供给，</w:t>
      </w:r>
      <w:r>
        <w:rPr>
          <w:rFonts w:hint="eastAsia" w:ascii="仿宋_GB2312" w:hAnsi="仿宋_GB2312" w:eastAsia="仿宋_GB2312" w:cs="仿宋"/>
          <w:b w:val="0"/>
          <w:bCs w:val="0"/>
          <w:color w:val="auto"/>
          <w:sz w:val="32"/>
          <w:szCs w:val="32"/>
          <w:u w:val="none" w:color="auto"/>
        </w:rPr>
        <w:t>提高规范化幼儿园覆盖率</w:t>
      </w:r>
      <w:r>
        <w:rPr>
          <w:rFonts w:hint="eastAsia" w:ascii="仿宋_GB2312" w:hAnsi="仿宋_GB2312" w:eastAsia="仿宋_GB2312" w:cs="仿宋"/>
          <w:b w:val="0"/>
          <w:bCs w:val="0"/>
          <w:color w:val="auto"/>
          <w:sz w:val="32"/>
          <w:szCs w:val="32"/>
          <w:u w:val="none" w:color="auto"/>
          <w:lang w:eastAsia="zh-CN"/>
        </w:rPr>
        <w:t>。</w:t>
      </w:r>
      <w:r>
        <w:rPr>
          <w:rFonts w:hint="eastAsia" w:ascii="仿宋_GB2312" w:hAnsi="仿宋_GB2312" w:eastAsia="仿宋_GB2312" w:cs="仿宋"/>
          <w:b w:val="0"/>
          <w:bCs w:val="0"/>
          <w:color w:val="auto"/>
          <w:sz w:val="32"/>
          <w:szCs w:val="32"/>
          <w:u w:val="none" w:color="auto"/>
        </w:rPr>
        <w:t>积极扶持民办</w:t>
      </w:r>
      <w:r>
        <w:rPr>
          <w:rFonts w:hint="eastAsia" w:ascii="仿宋_GB2312" w:hAnsi="仿宋_GB2312" w:eastAsia="仿宋_GB2312" w:cs="仿宋"/>
          <w:b w:val="0"/>
          <w:bCs w:val="0"/>
          <w:color w:val="auto"/>
          <w:sz w:val="32"/>
          <w:szCs w:val="32"/>
          <w:u w:val="none" w:color="auto"/>
          <w:lang w:eastAsia="zh-CN"/>
        </w:rPr>
        <w:t>幼儿</w:t>
      </w:r>
      <w:r>
        <w:rPr>
          <w:rFonts w:hint="eastAsia" w:ascii="仿宋_GB2312" w:hAnsi="仿宋_GB2312" w:eastAsia="仿宋_GB2312" w:cs="仿宋"/>
          <w:b w:val="0"/>
          <w:bCs w:val="0"/>
          <w:color w:val="auto"/>
          <w:sz w:val="32"/>
          <w:szCs w:val="32"/>
          <w:u w:val="none" w:color="auto"/>
        </w:rPr>
        <w:t>园</w:t>
      </w:r>
      <w:r>
        <w:rPr>
          <w:rFonts w:hint="eastAsia" w:ascii="仿宋_GB2312" w:hAnsi="仿宋_GB2312" w:eastAsia="仿宋_GB2312" w:cs="仿宋"/>
          <w:b w:val="0"/>
          <w:bCs w:val="0"/>
          <w:color w:val="auto"/>
          <w:sz w:val="32"/>
          <w:szCs w:val="32"/>
          <w:u w:val="none" w:color="auto"/>
          <w:lang w:eastAsia="zh-CN"/>
        </w:rPr>
        <w:t>发展</w:t>
      </w:r>
      <w:r>
        <w:rPr>
          <w:rFonts w:hint="eastAsia" w:ascii="仿宋_GB2312" w:hAnsi="仿宋_GB2312" w:eastAsia="仿宋_GB2312" w:cs="仿宋"/>
          <w:b w:val="0"/>
          <w:bCs w:val="0"/>
          <w:color w:val="auto"/>
          <w:sz w:val="32"/>
          <w:szCs w:val="32"/>
          <w:u w:val="none" w:color="auto"/>
        </w:rPr>
        <w:t>，提供普惠性服务，规范营利性民办</w:t>
      </w:r>
      <w:r>
        <w:rPr>
          <w:rFonts w:hint="eastAsia" w:ascii="仿宋_GB2312" w:hAnsi="仿宋_GB2312" w:eastAsia="仿宋_GB2312" w:cs="仿宋"/>
          <w:b w:val="0"/>
          <w:bCs w:val="0"/>
          <w:color w:val="auto"/>
          <w:sz w:val="32"/>
          <w:szCs w:val="32"/>
          <w:u w:val="none" w:color="auto"/>
          <w:lang w:eastAsia="zh-CN"/>
        </w:rPr>
        <w:t>幼儿</w:t>
      </w:r>
      <w:r>
        <w:rPr>
          <w:rFonts w:hint="eastAsia" w:ascii="仿宋_GB2312" w:hAnsi="仿宋_GB2312" w:eastAsia="仿宋_GB2312" w:cs="仿宋"/>
          <w:b w:val="0"/>
          <w:bCs w:val="0"/>
          <w:color w:val="auto"/>
          <w:sz w:val="32"/>
          <w:szCs w:val="32"/>
          <w:u w:val="none" w:color="auto"/>
        </w:rPr>
        <w:t>园发展。</w:t>
      </w:r>
    </w:p>
    <w:p>
      <w:pPr>
        <w:numPr>
          <w:numId w:val="0"/>
        </w:numPr>
        <w:wordWrap/>
        <w:adjustRightInd/>
        <w:snapToGrid/>
        <w:spacing w:line="560" w:lineRule="exact"/>
        <w:ind w:left="0" w:leftChars="0" w:right="0"/>
        <w:rPr>
          <w:rFonts w:hint="default" w:ascii="仿宋_GB2312" w:hAnsi="仿宋_GB2312" w:eastAsia="仿宋_GB2312" w:cs="仿宋"/>
          <w:b w:val="0"/>
          <w:bCs w:val="0"/>
          <w:color w:val="auto"/>
          <w:sz w:val="32"/>
          <w:szCs w:val="32"/>
          <w:u w:val="none" w:color="auto"/>
          <w:lang w:val="en-US" w:eastAsia="zh-CN"/>
        </w:rPr>
      </w:pPr>
      <w:r>
        <w:rPr>
          <w:rFonts w:hint="eastAsia" w:ascii="仿宋_GB2312" w:hAnsi="仿宋_GB2312" w:eastAsia="仿宋_GB2312" w:cs="仿宋"/>
          <w:b/>
          <w:bCs/>
          <w:color w:val="auto"/>
          <w:sz w:val="32"/>
          <w:szCs w:val="32"/>
          <w:u w:val="none" w:color="auto"/>
          <w:lang w:val="en-US" w:eastAsia="zh-CN"/>
        </w:rPr>
        <w:t xml:space="preserve">    2.</w:t>
      </w:r>
      <w:r>
        <w:rPr>
          <w:rFonts w:hint="eastAsia" w:ascii="仿宋_GB2312" w:hAnsi="仿宋_GB2312" w:eastAsia="仿宋_GB2312" w:cs="仿宋"/>
          <w:b/>
          <w:bCs/>
          <w:color w:val="auto"/>
          <w:sz w:val="32"/>
          <w:szCs w:val="32"/>
          <w:u w:val="none" w:color="auto"/>
          <w:lang w:eastAsia="zh-CN"/>
        </w:rPr>
        <w:t>推进义务</w:t>
      </w:r>
      <w:r>
        <w:rPr>
          <w:rFonts w:hint="eastAsia" w:ascii="仿宋_GB2312" w:hAnsi="仿宋_GB2312" w:eastAsia="仿宋_GB2312" w:cs="仿宋"/>
          <w:b/>
          <w:bCs/>
          <w:color w:val="auto"/>
          <w:sz w:val="32"/>
          <w:szCs w:val="32"/>
          <w:u w:val="none" w:color="auto"/>
        </w:rPr>
        <w:t>教育</w:t>
      </w:r>
      <w:r>
        <w:rPr>
          <w:rFonts w:hint="eastAsia" w:ascii="仿宋_GB2312" w:hAnsi="仿宋_GB2312" w:eastAsia="仿宋_GB2312" w:cs="仿宋"/>
          <w:b/>
          <w:bCs/>
          <w:color w:val="auto"/>
          <w:sz w:val="32"/>
          <w:szCs w:val="32"/>
          <w:u w:val="none" w:color="auto"/>
          <w:lang w:eastAsia="zh-CN"/>
        </w:rPr>
        <w:t>优质均衡发展</w:t>
      </w:r>
      <w:r>
        <w:rPr>
          <w:rFonts w:hint="eastAsia" w:ascii="仿宋_GB2312" w:hAnsi="仿宋_GB2312" w:eastAsia="仿宋_GB2312" w:cs="仿宋"/>
          <w:b/>
          <w:bCs/>
          <w:color w:val="auto"/>
          <w:sz w:val="32"/>
          <w:szCs w:val="32"/>
          <w:u w:val="none" w:color="auto"/>
        </w:rPr>
        <w:t>。</w:t>
      </w:r>
      <w:r>
        <w:rPr>
          <w:rFonts w:hint="eastAsia" w:ascii="仿宋_GB2312" w:hAnsi="仿宋_GB2312" w:eastAsia="仿宋_GB2312" w:cs="仿宋"/>
          <w:b/>
          <w:bCs/>
          <w:color w:val="auto"/>
          <w:sz w:val="32"/>
          <w:szCs w:val="32"/>
          <w:u w:val="none" w:color="auto"/>
          <w:lang w:eastAsia="zh-CN"/>
        </w:rPr>
        <w:t>一是</w:t>
      </w:r>
      <w:r>
        <w:rPr>
          <w:rFonts w:hint="eastAsia" w:ascii="仿宋_GB2312" w:hAnsi="仿宋_GB2312" w:eastAsia="仿宋_GB2312" w:cs="仿宋"/>
          <w:b w:val="0"/>
          <w:bCs w:val="0"/>
          <w:color w:val="auto"/>
          <w:sz w:val="32"/>
          <w:szCs w:val="32"/>
          <w:u w:val="none" w:color="auto"/>
        </w:rPr>
        <w:t>推进教育治理体系现代化</w:t>
      </w:r>
      <w:r>
        <w:rPr>
          <w:rFonts w:hint="eastAsia" w:ascii="仿宋_GB2312" w:hAnsi="仿宋_GB2312" w:eastAsia="仿宋_GB2312" w:cs="仿宋"/>
          <w:b w:val="0"/>
          <w:bCs w:val="0"/>
          <w:color w:val="auto"/>
          <w:sz w:val="32"/>
          <w:szCs w:val="32"/>
          <w:u w:val="none" w:color="auto"/>
          <w:lang w:eastAsia="zh-CN"/>
        </w:rPr>
        <w:t>，完善中小学校的评价体系，推进</w:t>
      </w:r>
      <w:r>
        <w:rPr>
          <w:rFonts w:hint="eastAsia" w:ascii="仿宋_GB2312" w:hAnsi="仿宋_GB2312" w:eastAsia="仿宋_GB2312" w:cs="仿宋"/>
          <w:b w:val="0"/>
          <w:bCs w:val="0"/>
          <w:color w:val="auto"/>
          <w:sz w:val="32"/>
          <w:szCs w:val="32"/>
          <w:u w:val="none" w:color="auto"/>
        </w:rPr>
        <w:t>教育共同体发展</w:t>
      </w:r>
      <w:r>
        <w:rPr>
          <w:rFonts w:hint="eastAsia" w:ascii="仿宋_GB2312" w:hAnsi="仿宋_GB2312" w:eastAsia="仿宋_GB2312" w:cs="仿宋"/>
          <w:b w:val="0"/>
          <w:bCs w:val="0"/>
          <w:color w:val="auto"/>
          <w:sz w:val="32"/>
          <w:szCs w:val="32"/>
          <w:u w:val="none" w:color="auto"/>
          <w:lang w:eastAsia="zh-CN"/>
        </w:rPr>
        <w:t>。</w:t>
      </w:r>
      <w:r>
        <w:rPr>
          <w:rFonts w:hint="eastAsia" w:ascii="仿宋_GB2312" w:hAnsi="仿宋_GB2312" w:eastAsia="仿宋_GB2312" w:cs="仿宋"/>
          <w:b/>
          <w:bCs/>
          <w:color w:val="auto"/>
          <w:sz w:val="32"/>
          <w:szCs w:val="32"/>
          <w:u w:val="none" w:color="auto"/>
          <w:lang w:eastAsia="zh-CN"/>
        </w:rPr>
        <w:t>二是</w:t>
      </w:r>
      <w:r>
        <w:rPr>
          <w:rFonts w:hint="eastAsia" w:ascii="仿宋_GB2312" w:hAnsi="仿宋_GB2312" w:eastAsia="仿宋_GB2312" w:cs="仿宋"/>
          <w:b w:val="0"/>
          <w:bCs w:val="0"/>
          <w:color w:val="auto"/>
          <w:sz w:val="32"/>
          <w:szCs w:val="32"/>
          <w:u w:val="none" w:color="auto"/>
          <w:lang w:eastAsia="zh-CN"/>
        </w:rPr>
        <w:t>加强教学质量监测，提升教育教学整体水平，抓好学业水平测试和中考改革，多渠道筹措资金完善中考改革考场建设项目，缩小城乡校际差距，促进优质均衡发展。</w:t>
      </w:r>
      <w:r>
        <w:rPr>
          <w:rFonts w:hint="eastAsia" w:ascii="仿宋_GB2312" w:hAnsi="仿宋_GB2312" w:eastAsia="仿宋_GB2312" w:cs="仿宋"/>
          <w:b/>
          <w:bCs/>
          <w:color w:val="auto"/>
          <w:sz w:val="32"/>
          <w:szCs w:val="32"/>
          <w:u w:val="none" w:color="auto"/>
          <w:lang w:eastAsia="zh-CN"/>
        </w:rPr>
        <w:t>三是</w:t>
      </w:r>
      <w:r>
        <w:rPr>
          <w:rFonts w:hint="eastAsia" w:ascii="仿宋_GB2312" w:hAnsi="仿宋_GB2312" w:eastAsia="仿宋_GB2312" w:cs="仿宋"/>
          <w:b w:val="0"/>
          <w:bCs w:val="0"/>
          <w:color w:val="auto"/>
          <w:sz w:val="32"/>
          <w:szCs w:val="32"/>
          <w:u w:val="none" w:color="auto"/>
          <w:lang w:eastAsia="zh-CN"/>
        </w:rPr>
        <w:t>继续提升义务教育学校标准化建设水平，推进智能化校园建设，提升信息化水平。</w:t>
      </w:r>
      <w:r>
        <w:rPr>
          <w:rFonts w:hint="eastAsia" w:ascii="仿宋_GB2312" w:hAnsi="仿宋_GB2312" w:eastAsia="仿宋_GB2312" w:cs="仿宋"/>
          <w:b/>
          <w:bCs/>
          <w:color w:val="auto"/>
          <w:sz w:val="32"/>
          <w:szCs w:val="32"/>
          <w:u w:val="none" w:color="auto"/>
          <w:lang w:eastAsia="zh-CN"/>
        </w:rPr>
        <w:t>四是</w:t>
      </w:r>
      <w:r>
        <w:rPr>
          <w:rFonts w:hint="eastAsia" w:ascii="仿宋_GB2312" w:hAnsi="仿宋_GB2312" w:eastAsia="仿宋_GB2312" w:cs="仿宋_GB2312"/>
          <w:color w:val="auto"/>
          <w:sz w:val="32"/>
          <w:szCs w:val="32"/>
          <w:highlight w:val="none"/>
          <w:lang w:val="en-US" w:eastAsia="zh-CN"/>
        </w:rPr>
        <w:t>整合教育资源，进一步调整农村小规模学校布局，使学生享受到更加公平优质的教育，</w:t>
      </w:r>
      <w:r>
        <w:rPr>
          <w:rFonts w:hint="eastAsia" w:ascii="仿宋_GB2312" w:hAnsi="仿宋_GB2312" w:eastAsia="仿宋_GB2312" w:cs="仿宋"/>
          <w:b w:val="0"/>
          <w:bCs w:val="0"/>
          <w:color w:val="auto"/>
          <w:sz w:val="32"/>
          <w:szCs w:val="32"/>
          <w:u w:val="none" w:color="auto"/>
          <w:lang w:eastAsia="zh-CN"/>
        </w:rPr>
        <w:t>全面实施乡镇小学学生</w:t>
      </w:r>
      <w:r>
        <w:rPr>
          <w:rFonts w:hint="eastAsia" w:ascii="仿宋_GB2312" w:hAnsi="仿宋_GB2312" w:eastAsia="仿宋_GB2312" w:cs="仿宋_GB2312"/>
          <w:color w:val="auto"/>
          <w:sz w:val="32"/>
          <w:szCs w:val="32"/>
          <w:highlight w:val="none"/>
          <w:lang w:eastAsia="zh-CN"/>
        </w:rPr>
        <w:t>上下学校车接送服务，努力实现</w:t>
      </w:r>
      <w:r>
        <w:rPr>
          <w:rFonts w:hint="eastAsia" w:ascii="仿宋_GB2312" w:hAnsi="仿宋_GB2312" w:eastAsia="仿宋_GB2312" w:cs="仿宋_GB2312"/>
          <w:sz w:val="32"/>
          <w:szCs w:val="32"/>
          <w:lang w:eastAsia="zh-CN"/>
        </w:rPr>
        <w:t>全县“乡镇小学校园专线运行全覆盖”总体目标</w:t>
      </w:r>
      <w:r>
        <w:rPr>
          <w:rFonts w:hint="eastAsia" w:ascii="仿宋_GB2312" w:hAnsi="仿宋_GB2312" w:eastAsia="仿宋_GB2312" w:cs="仿宋"/>
          <w:b w:val="0"/>
          <w:bCs w:val="0"/>
          <w:color w:val="auto"/>
          <w:sz w:val="32"/>
          <w:szCs w:val="32"/>
          <w:highlight w:val="none"/>
          <w:u w:val="none" w:color="auto"/>
          <w:lang w:eastAsia="zh-CN"/>
        </w:rPr>
        <w:t>。</w:t>
      </w:r>
      <w:r>
        <w:rPr>
          <w:rFonts w:hint="eastAsia" w:ascii="仿宋_GB2312" w:hAnsi="仿宋_GB2312" w:eastAsia="仿宋_GB2312" w:cs="仿宋"/>
          <w:b/>
          <w:bCs/>
          <w:color w:val="auto"/>
          <w:sz w:val="32"/>
          <w:szCs w:val="32"/>
          <w:u w:val="none" w:color="auto"/>
          <w:lang w:eastAsia="zh-CN"/>
        </w:rPr>
        <w:t>五是</w:t>
      </w:r>
      <w:r>
        <w:rPr>
          <w:rFonts w:hint="eastAsia" w:ascii="仿宋_GB2312" w:hAnsi="仿宋_GB2312" w:eastAsia="仿宋_GB2312" w:cs="仿宋"/>
          <w:b w:val="0"/>
          <w:bCs w:val="0"/>
          <w:color w:val="auto"/>
          <w:sz w:val="32"/>
          <w:szCs w:val="32"/>
          <w:highlight w:val="none"/>
          <w:u w:val="none" w:color="auto"/>
          <w:lang w:eastAsia="zh-CN"/>
        </w:rPr>
        <w:t>加强两类学校建设，进一步完善乡镇寄宿制学校和乡镇小规模学校办学条件，有序撤并部分农村小规模学校（教学点），办好需保留的教学点</w:t>
      </w:r>
      <w:r>
        <w:rPr>
          <w:rFonts w:hint="eastAsia" w:ascii="仿宋_GB2312" w:hAnsi="仿宋_GB2312" w:eastAsia="仿宋_GB2312" w:cs="仿宋"/>
          <w:b w:val="0"/>
          <w:bCs w:val="0"/>
          <w:color w:val="auto"/>
          <w:sz w:val="32"/>
          <w:szCs w:val="32"/>
          <w:u w:val="none" w:color="auto"/>
          <w:lang w:eastAsia="zh-CN"/>
        </w:rPr>
        <w:t>。</w:t>
      </w:r>
      <w:r>
        <w:rPr>
          <w:rFonts w:hint="eastAsia" w:ascii="仿宋_GB2312" w:hAnsi="仿宋_GB2312" w:eastAsia="仿宋_GB2312" w:cs="仿宋"/>
          <w:b/>
          <w:bCs/>
          <w:color w:val="auto"/>
          <w:sz w:val="32"/>
          <w:szCs w:val="32"/>
          <w:u w:val="none" w:color="auto"/>
          <w:lang w:eastAsia="zh-CN"/>
        </w:rPr>
        <w:t>六是</w:t>
      </w:r>
      <w:r>
        <w:rPr>
          <w:rFonts w:hint="eastAsia" w:ascii="仿宋_GB2312" w:hAnsi="仿宋_GB2312" w:eastAsia="仿宋_GB2312" w:cs="仿宋_GB2312"/>
          <w:bCs/>
          <w:color w:val="auto"/>
          <w:sz w:val="32"/>
          <w:szCs w:val="32"/>
          <w:lang w:eastAsia="zh-CN"/>
        </w:rPr>
        <w:t>推动“双减”工作落地落实，进一步减轻义务教育阶段学生作业负担和校外培训负担，有序推进学校课后服务，规范校外培训机构办学行为，切实压减学科类校外培训。</w:t>
      </w:r>
      <w:r>
        <w:rPr>
          <w:rFonts w:hint="eastAsia" w:ascii="仿宋_GB2312" w:hAnsi="仿宋_GB2312" w:eastAsia="仿宋_GB2312" w:cs="仿宋_GB2312"/>
          <w:b/>
          <w:bCs w:val="0"/>
          <w:color w:val="auto"/>
          <w:sz w:val="32"/>
          <w:szCs w:val="32"/>
          <w:lang w:eastAsia="zh-CN"/>
        </w:rPr>
        <w:t>七是</w:t>
      </w:r>
      <w:r>
        <w:rPr>
          <w:rFonts w:hint="eastAsia" w:ascii="仿宋_GB2312" w:hAnsi="仿宋_GB2312" w:eastAsia="仿宋_GB2312" w:cs="仿宋_GB2312"/>
          <w:bCs/>
          <w:color w:val="auto"/>
          <w:sz w:val="32"/>
          <w:szCs w:val="32"/>
          <w:lang w:eastAsia="zh-CN"/>
        </w:rPr>
        <w:t>加</w:t>
      </w:r>
      <w:r>
        <w:rPr>
          <w:rFonts w:hint="eastAsia" w:ascii="仿宋_GB2312" w:hAnsi="仿宋_GB2312" w:eastAsia="仿宋_GB2312" w:cs="仿宋_GB2312"/>
          <w:bCs/>
          <w:color w:val="auto"/>
          <w:sz w:val="32"/>
          <w:szCs w:val="32"/>
        </w:rPr>
        <w:t>大控辍保学工作力度</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形成家庭、学校、政府、社会齐抓共管工作机制，精准开展控辍保学工作，确保适龄</w:t>
      </w:r>
      <w:r>
        <w:rPr>
          <w:rFonts w:hint="eastAsia" w:ascii="仿宋_GB2312" w:hAnsi="仿宋_GB2312" w:eastAsia="仿宋_GB2312" w:cs="仿宋_GB2312"/>
          <w:bCs/>
          <w:color w:val="auto"/>
          <w:sz w:val="32"/>
          <w:szCs w:val="32"/>
          <w:lang w:eastAsia="zh-CN"/>
        </w:rPr>
        <w:t>儿童少年</w:t>
      </w:r>
      <w:r>
        <w:rPr>
          <w:rFonts w:hint="eastAsia" w:ascii="仿宋_GB2312" w:hAnsi="仿宋_GB2312" w:eastAsia="仿宋_GB2312" w:cs="仿宋_GB2312"/>
          <w:bCs/>
          <w:color w:val="auto"/>
          <w:sz w:val="32"/>
          <w:szCs w:val="32"/>
        </w:rPr>
        <w:t>依法完成九年义务教育。</w:t>
      </w:r>
      <w:r>
        <w:rPr>
          <w:rFonts w:hint="eastAsia" w:ascii="仿宋_GB2312" w:hAnsi="仿宋_GB2312" w:eastAsia="仿宋_GB2312" w:cs="仿宋_GB2312"/>
          <w:b/>
          <w:bCs w:val="0"/>
          <w:color w:val="auto"/>
          <w:sz w:val="32"/>
          <w:szCs w:val="32"/>
          <w:lang w:eastAsia="zh-CN"/>
        </w:rPr>
        <w:t>八是</w:t>
      </w:r>
      <w:r>
        <w:rPr>
          <w:rFonts w:hint="eastAsia" w:ascii="仿宋_GB2312" w:hAnsi="仿宋_GB2312" w:eastAsia="仿宋_GB2312" w:cs="仿宋_GB2312"/>
          <w:bCs/>
          <w:color w:val="auto"/>
          <w:sz w:val="32"/>
          <w:szCs w:val="32"/>
        </w:rPr>
        <w:t>健全家庭经济困难学生、残疾儿童、留守儿童、</w:t>
      </w:r>
      <w:r>
        <w:rPr>
          <w:rFonts w:hint="eastAsia" w:ascii="仿宋_GB2312" w:hAnsi="仿宋_GB2312" w:eastAsia="仿宋_GB2312" w:cs="仿宋"/>
          <w:b w:val="0"/>
          <w:bCs w:val="0"/>
          <w:color w:val="auto"/>
          <w:sz w:val="32"/>
          <w:szCs w:val="32"/>
          <w:highlight w:val="none"/>
          <w:u w:val="none" w:color="auto"/>
          <w:lang w:eastAsia="zh-CN"/>
        </w:rPr>
        <w:t>困境儿童</w:t>
      </w:r>
      <w:r>
        <w:rPr>
          <w:rFonts w:hint="eastAsia" w:ascii="仿宋_GB2312" w:hAnsi="仿宋_GB2312" w:eastAsia="仿宋_GB2312" w:cs="仿宋_GB2312"/>
          <w:bCs/>
          <w:color w:val="auto"/>
          <w:sz w:val="32"/>
          <w:szCs w:val="32"/>
        </w:rPr>
        <w:t>随迁子女、特殊需要学生的精准帮扶责任制度，进一步预防因贫因困辍学。</w:t>
      </w:r>
    </w:p>
    <w:p>
      <w:pPr>
        <w:wordWrap/>
        <w:adjustRightInd/>
        <w:snapToGrid/>
        <w:spacing w:line="560" w:lineRule="exact"/>
        <w:ind w:left="0" w:leftChars="0" w:right="0" w:firstLine="640" w:firstLineChars="200"/>
        <w:rPr>
          <w:rFonts w:hint="eastAsia" w:ascii="仿宋_GB2312" w:hAnsi="仿宋_GB2312" w:eastAsia="仿宋_GB2312" w:cs="仿宋"/>
          <w:color w:val="auto"/>
          <w:sz w:val="32"/>
          <w:szCs w:val="32"/>
          <w:u w:val="none" w:color="auto"/>
        </w:rPr>
      </w:pPr>
      <w:r>
        <w:rPr>
          <w:rFonts w:hint="eastAsia" w:ascii="仿宋_GB2312" w:hAnsi="仿宋_GB2312" w:eastAsia="仿宋_GB2312" w:cs="仿宋_GB2312"/>
          <w:b/>
          <w:bCs w:val="0"/>
          <w:color w:val="auto"/>
          <w:sz w:val="32"/>
          <w:szCs w:val="32"/>
          <w:lang w:val="en-US" w:eastAsia="zh-CN"/>
        </w:rPr>
        <w:t>3.</w:t>
      </w:r>
      <w:r>
        <w:rPr>
          <w:rFonts w:hint="eastAsia" w:ascii="仿宋_GB2312" w:hAnsi="仿宋_GB2312" w:eastAsia="仿宋_GB2312" w:cs="仿宋_GB2312"/>
          <w:b/>
          <w:bCs w:val="0"/>
          <w:color w:val="auto"/>
          <w:sz w:val="32"/>
          <w:szCs w:val="32"/>
        </w:rPr>
        <w:t>推进普通高中教育优质特色多样化发展</w:t>
      </w:r>
      <w:r>
        <w:rPr>
          <w:rFonts w:hint="eastAsia" w:ascii="仿宋_GB2312" w:hAnsi="仿宋_GB2312" w:eastAsia="仿宋_GB2312" w:cs="仿宋"/>
          <w:b/>
          <w:bCs/>
          <w:color w:val="auto"/>
          <w:sz w:val="32"/>
          <w:szCs w:val="32"/>
          <w:u w:val="none" w:color="auto"/>
          <w:lang w:eastAsia="zh-CN"/>
        </w:rPr>
        <w:t>。</w:t>
      </w:r>
      <w:r>
        <w:rPr>
          <w:rFonts w:hint="eastAsia" w:ascii="仿宋_GB2312" w:hAnsi="仿宋_GB2312" w:eastAsia="仿宋_GB2312" w:cs="仿宋_GB2312"/>
          <w:bCs/>
          <w:color w:val="auto"/>
          <w:sz w:val="32"/>
          <w:szCs w:val="32"/>
          <w:lang w:eastAsia="zh-CN"/>
        </w:rPr>
        <w:t>加</w:t>
      </w:r>
      <w:r>
        <w:rPr>
          <w:rFonts w:hint="eastAsia" w:ascii="仿宋_GB2312" w:hAnsi="仿宋_GB2312" w:eastAsia="仿宋_GB2312" w:cs="仿宋_GB2312"/>
          <w:bCs/>
          <w:color w:val="auto"/>
          <w:sz w:val="32"/>
          <w:szCs w:val="32"/>
        </w:rPr>
        <w:t>大普通高中学位供给保障力度，</w:t>
      </w:r>
      <w:r>
        <w:rPr>
          <w:rFonts w:hint="eastAsia" w:ascii="仿宋_GB2312" w:hAnsi="仿宋_GB2312" w:eastAsia="仿宋_GB2312" w:cs="仿宋_GB2312"/>
          <w:bCs/>
          <w:color w:val="auto"/>
          <w:sz w:val="32"/>
          <w:szCs w:val="32"/>
          <w:lang w:eastAsia="zh-CN"/>
        </w:rPr>
        <w:t>大力推进佛冈县第一中学和佛冈中学配套设施工程建设</w:t>
      </w:r>
      <w:r>
        <w:rPr>
          <w:rFonts w:hint="eastAsia" w:ascii="仿宋_GB2312" w:hAnsi="仿宋_GB2312" w:eastAsia="仿宋_GB2312" w:cs="仿宋_GB2312"/>
          <w:bCs/>
          <w:color w:val="auto"/>
          <w:sz w:val="32"/>
          <w:szCs w:val="32"/>
        </w:rPr>
        <w:t>，新</w:t>
      </w:r>
      <w:r>
        <w:rPr>
          <w:rFonts w:hint="eastAsia" w:ascii="仿宋_GB2312" w:hAnsi="仿宋_GB2312" w:eastAsia="仿宋_GB2312" w:cs="仿宋_GB2312"/>
          <w:bCs/>
          <w:color w:val="auto"/>
          <w:sz w:val="32"/>
          <w:szCs w:val="32"/>
          <w:highlight w:val="none"/>
        </w:rPr>
        <w:t>增</w:t>
      </w:r>
      <w:r>
        <w:rPr>
          <w:rFonts w:hint="eastAsia" w:ascii="仿宋_GB2312" w:hAnsi="仿宋_GB2312" w:eastAsia="仿宋_GB2312" w:cs="仿宋_GB2312"/>
          <w:bCs/>
          <w:color w:val="auto"/>
          <w:sz w:val="32"/>
          <w:szCs w:val="32"/>
        </w:rPr>
        <w:t>公办普通高中学位</w:t>
      </w:r>
      <w:r>
        <w:rPr>
          <w:rFonts w:hint="eastAsia" w:ascii="仿宋_GB2312" w:hAnsi="仿宋_GB2312" w:eastAsia="仿宋_GB2312" w:cs="仿宋_GB2312"/>
          <w:bCs/>
          <w:color w:val="auto"/>
          <w:sz w:val="32"/>
          <w:szCs w:val="32"/>
          <w:highlight w:val="none"/>
          <w:lang w:val="en-US" w:eastAsia="zh-CN"/>
        </w:rPr>
        <w:t>2700</w:t>
      </w:r>
      <w:r>
        <w:rPr>
          <w:rFonts w:hint="eastAsia" w:ascii="仿宋_GB2312" w:hAnsi="仿宋_GB2312" w:eastAsia="仿宋_GB2312" w:cs="仿宋_GB2312"/>
          <w:bCs/>
          <w:color w:val="auto"/>
          <w:sz w:val="32"/>
          <w:szCs w:val="32"/>
          <w:highlight w:val="none"/>
        </w:rPr>
        <w:t>个</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lang w:eastAsia="zh-CN"/>
        </w:rPr>
        <w:t>优化教育资源配置和学校布局，</w:t>
      </w:r>
      <w:r>
        <w:rPr>
          <w:rFonts w:hint="eastAsia" w:ascii="仿宋_GB2312" w:hAnsi="仿宋_GB2312" w:eastAsia="仿宋_GB2312" w:cs="仿宋_GB2312"/>
          <w:color w:val="auto"/>
          <w:sz w:val="32"/>
          <w:szCs w:val="32"/>
          <w:lang w:val="en-US" w:eastAsia="zh-CN"/>
        </w:rPr>
        <w:t>力争在2023年前我县两所普通高中学校恢复初中招生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rPr>
        <w:t>实施特色高中工程，</w:t>
      </w:r>
      <w:r>
        <w:rPr>
          <w:rFonts w:hint="eastAsia" w:ascii="仿宋_GB2312" w:hAnsi="仿宋_GB2312" w:eastAsia="仿宋_GB2312" w:cs="仿宋_GB2312"/>
          <w:color w:val="auto"/>
          <w:sz w:val="32"/>
          <w:szCs w:val="32"/>
          <w:lang w:eastAsia="zh-CN"/>
        </w:rPr>
        <w:t>有效促进</w:t>
      </w:r>
      <w:r>
        <w:rPr>
          <w:rFonts w:hint="eastAsia" w:ascii="仿宋_GB2312" w:hAnsi="仿宋_GB2312" w:eastAsia="仿宋_GB2312" w:cs="仿宋_GB2312"/>
          <w:color w:val="auto"/>
          <w:sz w:val="32"/>
          <w:szCs w:val="32"/>
          <w:lang w:val="en-US" w:eastAsia="zh-CN"/>
        </w:rPr>
        <w:t>我县</w:t>
      </w:r>
      <w:r>
        <w:rPr>
          <w:rFonts w:hint="eastAsia" w:ascii="仿宋_GB2312" w:hAnsi="仿宋_GB2312" w:eastAsia="仿宋_GB2312" w:cs="仿宋_GB2312"/>
          <w:color w:val="auto"/>
          <w:sz w:val="32"/>
          <w:szCs w:val="32"/>
          <w:lang w:eastAsia="zh-CN"/>
        </w:rPr>
        <w:t>普通高中振兴发展，着力提升</w:t>
      </w:r>
      <w:r>
        <w:rPr>
          <w:rFonts w:hint="eastAsia" w:ascii="仿宋_GB2312" w:hAnsi="仿宋_GB2312" w:eastAsia="仿宋_GB2312" w:cs="仿宋_GB2312"/>
          <w:color w:val="auto"/>
          <w:sz w:val="32"/>
          <w:szCs w:val="32"/>
          <w:lang w:val="en-US" w:eastAsia="zh-CN"/>
        </w:rPr>
        <w:t>学校的办学</w:t>
      </w:r>
      <w:r>
        <w:rPr>
          <w:rFonts w:hint="eastAsia" w:ascii="仿宋_GB2312" w:hAnsi="仿宋_GB2312" w:eastAsia="仿宋_GB2312" w:cs="仿宋_GB2312"/>
          <w:color w:val="auto"/>
          <w:sz w:val="32"/>
          <w:szCs w:val="32"/>
          <w:lang w:eastAsia="zh-CN"/>
        </w:rPr>
        <w:t>水平。</w:t>
      </w:r>
      <w:r>
        <w:rPr>
          <w:rFonts w:hint="eastAsia" w:ascii="仿宋_GB2312" w:hAnsi="仿宋_GB2312" w:eastAsia="仿宋_GB2312" w:cs="仿宋_GB2312"/>
          <w:b w:val="0"/>
          <w:bCs w:val="0"/>
          <w:color w:val="auto"/>
          <w:sz w:val="32"/>
          <w:szCs w:val="32"/>
        </w:rPr>
        <w:t>构建丰富多样、促进学生全面而有个性发展的普通高中课程体系。深化课程教学改革，按照高考综合改革需要，改进教学组织管理，加大班级编排、学生管理、教师调配等统筹协调力度，因校制宜开展选课走班，引导学生理性选科</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到</w:t>
      </w:r>
      <w:r>
        <w:rPr>
          <w:rFonts w:hint="eastAsia" w:ascii="仿宋_GB2312" w:hAnsi="仿宋_GB2312" w:eastAsia="仿宋_GB2312" w:cs="仿宋_GB2312"/>
          <w:b w:val="0"/>
          <w:bCs w:val="0"/>
          <w:color w:val="auto"/>
          <w:sz w:val="32"/>
          <w:szCs w:val="32"/>
          <w:highlight w:val="none"/>
          <w:lang w:val="en-US" w:eastAsia="zh-CN"/>
        </w:rPr>
        <w:t>2025年，普通高中学业水平考试C级以上达到75%以上，毕业生升学率达到95%以上。</w:t>
      </w:r>
      <w:r>
        <w:rPr>
          <w:rFonts w:hint="eastAsia" w:ascii="仿宋_GB2312" w:hAnsi="仿宋_GB2312" w:eastAsia="仿宋_GB2312" w:cs="仿宋_GB2312"/>
          <w:b w:val="0"/>
          <w:bCs w:val="0"/>
          <w:color w:val="auto"/>
          <w:sz w:val="32"/>
          <w:szCs w:val="32"/>
          <w:highlight w:val="none"/>
        </w:rPr>
        <w:t>在学校常规管理督导的基础上，</w:t>
      </w:r>
      <w:r>
        <w:rPr>
          <w:rFonts w:hint="eastAsia" w:ascii="仿宋_GB2312" w:hAnsi="仿宋_GB2312" w:eastAsia="仿宋_GB2312" w:cs="仿宋_GB2312"/>
          <w:b w:val="0"/>
          <w:bCs w:val="0"/>
          <w:color w:val="auto"/>
          <w:sz w:val="32"/>
          <w:szCs w:val="32"/>
        </w:rPr>
        <w:t>积极探索建立学生学</w:t>
      </w:r>
      <w:r>
        <w:rPr>
          <w:rFonts w:hint="eastAsia" w:ascii="仿宋_GB2312" w:hAnsi="仿宋_GB2312" w:eastAsia="仿宋_GB2312" w:cs="仿宋_GB2312"/>
          <w:color w:val="auto"/>
          <w:sz w:val="32"/>
          <w:szCs w:val="32"/>
        </w:rPr>
        <w:t>习诊断和质量分析系统，充分利用大数据构建学生学习水平能力提升的智能分析体系，加强对教育质量的跟踪监控。</w:t>
      </w:r>
    </w:p>
    <w:p>
      <w:pPr>
        <w:wordWrap/>
        <w:adjustRightInd/>
        <w:snapToGrid/>
        <w:spacing w:line="560" w:lineRule="exact"/>
        <w:ind w:left="0" w:leftChars="0" w:right="0" w:firstLine="643" w:firstLineChars="200"/>
        <w:rPr>
          <w:rFonts w:hint="eastAsia" w:ascii="仿宋_GB2312" w:hAnsi="仿宋_GB2312" w:eastAsia="仿宋_GB2312" w:cs="仿宋"/>
          <w:color w:val="auto"/>
          <w:sz w:val="32"/>
          <w:szCs w:val="32"/>
          <w:highlight w:val="yellow"/>
          <w:u w:val="none" w:color="auto"/>
          <w:lang w:eastAsia="zh-CN"/>
        </w:rPr>
      </w:pPr>
      <w:r>
        <w:rPr>
          <w:rFonts w:hint="eastAsia" w:ascii="仿宋_GB2312" w:hAnsi="仿宋_GB2312" w:eastAsia="仿宋_GB2312" w:cs="仿宋_GB2312"/>
          <w:b/>
          <w:bCs/>
          <w:color w:val="auto"/>
          <w:kern w:val="2"/>
          <w:sz w:val="32"/>
          <w:szCs w:val="32"/>
          <w:lang w:val="en-US" w:eastAsia="zh-CN" w:bidi="ar-SA"/>
        </w:rPr>
        <w:t>4.推进职业教育扩容提质。</w:t>
      </w:r>
      <w:r>
        <w:rPr>
          <w:rFonts w:hint="eastAsia" w:ascii="仿宋_GB2312" w:hAnsi="仿宋_GB2312" w:eastAsia="仿宋_GB2312" w:cs="仿宋"/>
          <w:b/>
          <w:bCs/>
          <w:color w:val="auto"/>
          <w:sz w:val="32"/>
          <w:szCs w:val="32"/>
          <w:u w:val="none" w:color="auto"/>
          <w:lang w:eastAsia="zh-CN"/>
        </w:rPr>
        <w:t>一是</w:t>
      </w:r>
      <w:r>
        <w:rPr>
          <w:rFonts w:hint="eastAsia" w:ascii="仿宋_GB2312" w:hAnsi="仿宋_GB2312" w:eastAsia="仿宋_GB2312" w:cs="仿宋_GB2312"/>
          <w:color w:val="auto"/>
          <w:kern w:val="2"/>
          <w:sz w:val="32"/>
          <w:szCs w:val="32"/>
          <w:lang w:val="en-US" w:eastAsia="zh-CN" w:bidi="ar-SA"/>
        </w:rPr>
        <w:t>扩大优质职业教育资源供给，根据教育部印发的《中等职业学校设置标准》要求及国家招生政策的改变，为满足初中毕业生入学需求，拟在原三八中学旧址异地新建县职业技术学校，项目占地面积122.1亩，建筑总面积约49000平方米，可新增学位1250个。</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构建现代职业教育体系“立交桥”，提升人才培养质量。推进中高本贯通人才培养。大力推进中职、高职、本科院校衔接人才培养模式改革。推进中职学校与省职教城实现中高职三二分段衔接。推进学历教育与职业培训协同并进，助力乡村振兴。深入实施“粤菜师傅”“南粤家政”“广东技工”“乡村工匠”工程，大力培养新型职业农民与新生代产业工人。依托省职教城人力智力资源优势服务乡村发展。整合资源，打造技术技能培训基地，组建技术技能培训师资团队，围绕重点人群重点培训项目开发培训课程，健全完善考评机制。深入推进1+X证书试点。</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推进产教融合、校企合作，全面推行现代</w:t>
      </w:r>
      <w:r>
        <w:rPr>
          <w:rFonts w:hint="eastAsia" w:ascii="仿宋_GB2312" w:hAnsi="仿宋_GB2312" w:eastAsia="仿宋_GB2312" w:cs="仿宋"/>
          <w:color w:val="auto"/>
          <w:sz w:val="32"/>
          <w:szCs w:val="32"/>
          <w:u w:val="none" w:color="auto"/>
          <w:lang w:eastAsia="zh-CN"/>
        </w:rPr>
        <w:t>学徒制，</w:t>
      </w:r>
      <w:r>
        <w:rPr>
          <w:rFonts w:hint="eastAsia" w:ascii="仿宋_GB2312" w:hAnsi="仿宋_GB2312" w:eastAsia="仿宋_GB2312" w:cs="仿宋"/>
          <w:color w:val="auto"/>
          <w:sz w:val="32"/>
          <w:szCs w:val="32"/>
          <w:u w:val="none" w:color="auto"/>
          <w:lang w:val="en-US" w:eastAsia="zh-CN"/>
        </w:rPr>
        <w:t>提升就业服务质量。</w:t>
      </w:r>
    </w:p>
    <w:p>
      <w:pPr>
        <w:wordWrap/>
        <w:adjustRightInd/>
        <w:snapToGrid/>
        <w:spacing w:line="560" w:lineRule="exact"/>
        <w:ind w:left="0" w:leftChars="0" w:right="0" w:firstLine="640" w:firstLineChars="200"/>
        <w:rPr>
          <w:rFonts w:hint="default" w:ascii="仿宋_GB2312" w:hAnsi="仿宋_GB2312" w:eastAsia="仿宋_GB2312" w:cs="仿宋"/>
          <w:color w:val="auto"/>
          <w:sz w:val="32"/>
          <w:szCs w:val="32"/>
          <w:highlight w:val="yellow"/>
          <w:u w:val="none" w:color="auto"/>
          <w:lang w:val="en-US" w:eastAsia="zh-CN"/>
        </w:rPr>
      </w:pPr>
      <w:bookmarkStart w:id="106" w:name="_Toc14121"/>
      <w:bookmarkStart w:id="107" w:name="_Toc19449"/>
      <w:bookmarkStart w:id="108" w:name="_Toc28073"/>
      <w:bookmarkStart w:id="109" w:name="_Toc67038458"/>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推</w:t>
      </w:r>
      <w:r>
        <w:rPr>
          <w:rFonts w:hint="eastAsia" w:ascii="仿宋_GB2312" w:hAnsi="仿宋_GB2312" w:eastAsia="仿宋_GB2312" w:cs="仿宋_GB2312"/>
          <w:b/>
          <w:bCs/>
          <w:color w:val="auto"/>
          <w:sz w:val="32"/>
          <w:szCs w:val="32"/>
          <w:lang w:eastAsia="zh-CN"/>
        </w:rPr>
        <w:t>进</w:t>
      </w:r>
      <w:r>
        <w:rPr>
          <w:rFonts w:hint="eastAsia" w:ascii="仿宋_GB2312" w:hAnsi="仿宋_GB2312" w:eastAsia="仿宋_GB2312" w:cs="仿宋_GB2312"/>
          <w:b/>
          <w:bCs/>
          <w:color w:val="auto"/>
          <w:sz w:val="32"/>
          <w:szCs w:val="32"/>
        </w:rPr>
        <w:t>特殊教育公平融合发展。</w:t>
      </w:r>
      <w:r>
        <w:rPr>
          <w:rFonts w:hint="eastAsia" w:ascii="仿宋_GB2312" w:hAnsi="仿宋_GB2312" w:eastAsia="仿宋_GB2312" w:cs="仿宋_GB2312"/>
          <w:color w:val="auto"/>
          <w:sz w:val="32"/>
          <w:szCs w:val="32"/>
        </w:rPr>
        <w:t>健全残疾儿童少年招生入学工作机制，</w:t>
      </w:r>
      <w:r>
        <w:rPr>
          <w:rFonts w:hint="default" w:ascii="仿宋_GB2312" w:hAnsi="仿宋_GB2312" w:eastAsia="仿宋_GB2312" w:cs="仿宋_GB2312"/>
          <w:color w:val="auto"/>
          <w:sz w:val="32"/>
          <w:szCs w:val="32"/>
        </w:rPr>
        <w:t>进一步发挥</w:t>
      </w:r>
      <w:r>
        <w:rPr>
          <w:rFonts w:hint="eastAsia" w:ascii="仿宋_GB2312" w:hAnsi="仿宋_GB2312" w:eastAsia="仿宋_GB2312" w:cs="仿宋_GB2312"/>
          <w:color w:val="auto"/>
          <w:sz w:val="32"/>
          <w:szCs w:val="32"/>
        </w:rPr>
        <w:t>县残疾人教育专家委员会</w:t>
      </w:r>
      <w:r>
        <w:rPr>
          <w:rFonts w:hint="default" w:ascii="仿宋_GB2312" w:hAnsi="仿宋_GB2312" w:eastAsia="仿宋_GB2312" w:cs="仿宋_GB2312"/>
          <w:color w:val="auto"/>
          <w:sz w:val="32"/>
          <w:szCs w:val="32"/>
        </w:rPr>
        <w:t>的作用</w:t>
      </w:r>
      <w:r>
        <w:rPr>
          <w:rFonts w:hint="eastAsia" w:ascii="仿宋_GB2312" w:hAnsi="仿宋_GB2312" w:eastAsia="仿宋_GB2312" w:cs="仿宋_GB2312"/>
          <w:color w:val="auto"/>
          <w:sz w:val="32"/>
          <w:szCs w:val="32"/>
        </w:rPr>
        <w:t>，合理安置适龄儿童少年入学。改善特殊教育办学条件，</w:t>
      </w:r>
      <w:r>
        <w:rPr>
          <w:rFonts w:hint="default"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rPr>
        <w:t>特殊教育资源中心和资源教室建设。到2025年，适龄残疾儿童少年义务教育入学率</w:t>
      </w:r>
      <w:r>
        <w:rPr>
          <w:rFonts w:hint="eastAsia" w:ascii="仿宋_GB2312" w:hAnsi="仿宋_GB2312" w:eastAsia="仿宋_GB2312" w:cs="仿宋_GB2312"/>
          <w:color w:val="auto"/>
          <w:sz w:val="32"/>
          <w:szCs w:val="32"/>
          <w:lang w:eastAsia="zh-CN"/>
        </w:rPr>
        <w:t>保持在</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%以上，送教上门比例</w:t>
      </w:r>
      <w:r>
        <w:rPr>
          <w:rFonts w:hint="eastAsia" w:ascii="仿宋_GB2312" w:hAnsi="仿宋_GB2312" w:eastAsia="仿宋_GB2312" w:cs="仿宋_GB2312"/>
          <w:color w:val="auto"/>
          <w:sz w:val="32"/>
          <w:szCs w:val="32"/>
          <w:lang w:eastAsia="zh-CN"/>
        </w:rPr>
        <w:t>达到国家要求</w:t>
      </w:r>
      <w:r>
        <w:rPr>
          <w:rFonts w:hint="eastAsia" w:ascii="仿宋_GB2312" w:hAnsi="仿宋_GB2312" w:eastAsia="仿宋_GB2312" w:cs="仿宋_GB2312"/>
          <w:color w:val="auto"/>
          <w:sz w:val="32"/>
          <w:szCs w:val="32"/>
        </w:rPr>
        <w:t>。加强专业化特殊教育教师队伍建设。加强特殊教育保障。落实特殊教育相关工作经费，健全家庭经济困难学生、特殊儿童、留守儿童和随迁子女等特殊群体关爱与精准帮扶机制。</w:t>
      </w:r>
      <w:bookmarkEnd w:id="106"/>
      <w:bookmarkEnd w:id="107"/>
      <w:bookmarkEnd w:id="108"/>
      <w:bookmarkEnd w:id="109"/>
    </w:p>
    <w:p>
      <w:pPr>
        <w:pStyle w:val="3"/>
        <w:wordWrap/>
        <w:adjustRightInd/>
        <w:snapToGrid/>
        <w:spacing w:line="560" w:lineRule="exact"/>
        <w:ind w:left="0" w:leftChars="0" w:right="0"/>
        <w:rPr>
          <w:rFonts w:hint="eastAsia"/>
          <w:color w:val="auto"/>
          <w:lang w:eastAsia="zh-CN"/>
        </w:rPr>
      </w:pPr>
      <w:bookmarkStart w:id="110" w:name="_Toc5145_WPSOffice_Level2"/>
      <w:bookmarkStart w:id="111" w:name="_Toc24947"/>
      <w:bookmarkStart w:id="112" w:name="_Toc2205"/>
      <w:r>
        <w:rPr>
          <w:rFonts w:hint="eastAsia"/>
          <w:color w:val="auto"/>
          <w:lang w:eastAsia="zh-CN"/>
        </w:rPr>
        <w:t>（四）着力加强基础设施建设</w:t>
      </w:r>
      <w:bookmarkEnd w:id="110"/>
      <w:bookmarkEnd w:id="111"/>
      <w:bookmarkEnd w:id="112"/>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加快推进新建城南幼儿园、城北篁胜小学，扩建城北中学、城东中学新教学楼，新建城西时代小学项目建设，按计划投入使用；规划扩建佛冈一中和佛冈中学（</w:t>
      </w:r>
      <w:r>
        <w:rPr>
          <w:rFonts w:hint="eastAsia" w:ascii="仿宋_GB2312" w:hAnsi="仿宋_GB2312" w:eastAsia="仿宋_GB2312" w:cs="仿宋_GB2312"/>
          <w:color w:val="auto"/>
          <w:sz w:val="32"/>
          <w:szCs w:val="32"/>
          <w:lang w:val="en-US" w:eastAsia="zh-CN"/>
        </w:rPr>
        <w:t>全县校园配套设施工程</w:t>
      </w:r>
      <w:r>
        <w:rPr>
          <w:rFonts w:hint="eastAsia" w:ascii="仿宋_GB2312" w:hAnsi="仿宋_GB2312" w:eastAsia="仿宋_GB2312" w:cs="仿宋_GB2312"/>
          <w:color w:val="auto"/>
          <w:sz w:val="32"/>
          <w:szCs w:val="32"/>
          <w:lang w:eastAsia="zh-CN"/>
        </w:rPr>
        <w:t>）、民安中学、四九中学、潖江中学、</w:t>
      </w:r>
      <w:r>
        <w:rPr>
          <w:rFonts w:hint="eastAsia" w:ascii="仿宋_GB2312" w:hAnsi="仿宋_GB2312" w:eastAsia="仿宋_GB2312" w:cs="仿宋_GB2312"/>
          <w:color w:val="auto"/>
          <w:sz w:val="32"/>
          <w:szCs w:val="32"/>
          <w:lang w:val="en-US" w:eastAsia="zh-CN"/>
        </w:rPr>
        <w:t>蓓蕾幼儿园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快佛冈县职业技术学校新校区建设。积极推进佛冈县恒大花溪谷小学（暂名）等小区配套学校和佛冈县实验中学（暂名）规划建设。共可增加优质学位16090个，其中学前学位630个，小学学位4860个，初中学位5150个，高中阶段学位5450个。</w:t>
      </w:r>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加快推动全县学校灯光照明改造、中小学“厕所革命”、寄宿制学校建设、</w:t>
      </w:r>
      <w:r>
        <w:rPr>
          <w:rFonts w:hint="eastAsia" w:ascii="仿宋_GB2312" w:hAnsi="仿宋_GB2312" w:eastAsia="仿宋_GB2312" w:cs="仿宋"/>
          <w:b w:val="0"/>
          <w:bCs w:val="0"/>
          <w:color w:val="auto"/>
          <w:sz w:val="32"/>
          <w:szCs w:val="32"/>
          <w:highlight w:val="none"/>
          <w:u w:val="none" w:color="auto"/>
          <w:lang w:eastAsia="zh-CN"/>
        </w:rPr>
        <w:t>乡镇小规模学校办学条件改善</w:t>
      </w:r>
      <w:r>
        <w:rPr>
          <w:rFonts w:hint="eastAsia" w:ascii="仿宋_GB2312" w:hAnsi="仿宋_GB2312" w:eastAsia="仿宋_GB2312" w:cs="仿宋_GB2312"/>
          <w:color w:val="auto"/>
          <w:sz w:val="32"/>
          <w:szCs w:val="32"/>
          <w:lang w:eastAsia="zh-CN"/>
        </w:rPr>
        <w:t>等项目建设</w:t>
      </w:r>
      <w:r>
        <w:rPr>
          <w:rFonts w:hint="eastAsia" w:ascii="仿宋_GB2312" w:hAnsi="仿宋_GB2312" w:eastAsia="仿宋_GB2312" w:cs="仿宋_GB2312"/>
          <w:color w:val="auto"/>
          <w:sz w:val="32"/>
          <w:szCs w:val="32"/>
          <w:lang w:val="en-US" w:eastAsia="zh-CN"/>
        </w:rPr>
        <w:t>。</w:t>
      </w:r>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eastAsia="zh-CN"/>
        </w:rPr>
        <w:sectPr>
          <w:footerReference r:id="rId9" w:type="default"/>
          <w:pgSz w:w="11906" w:h="16838"/>
          <w:pgMar w:top="1440" w:right="1800" w:bottom="1440" w:left="1800" w:header="851" w:footer="992" w:gutter="0"/>
          <w:pgNumType w:fmt="numberInDash" w:start="1"/>
          <w:cols w:space="720" w:num="1"/>
          <w:docGrid w:type="lines" w:linePitch="312" w:charSpace="0"/>
        </w:sectPr>
      </w:pPr>
    </w:p>
    <w:p>
      <w:pPr>
        <w:widowControl/>
        <w:wordWrap/>
        <w:adjustRightInd/>
        <w:snapToGrid/>
        <w:spacing w:line="560" w:lineRule="exact"/>
        <w:jc w:val="both"/>
        <w:textAlignment w:val="baseline"/>
        <w:rPr>
          <w:rFonts w:hint="eastAsia" w:ascii="仿宋_GB2312" w:hAnsi="仿宋_GB2312" w:eastAsia="仿宋_GB2312" w:cs="仿宋_GB2312"/>
          <w:color w:val="auto"/>
          <w:sz w:val="32"/>
          <w:szCs w:val="32"/>
        </w:rPr>
      </w:pPr>
    </w:p>
    <w:p>
      <w:pPr>
        <w:widowControl/>
        <w:wordWrap/>
        <w:adjustRightInd/>
        <w:snapToGrid/>
        <w:spacing w:line="560" w:lineRule="exact"/>
        <w:ind w:firstLine="640" w:firstLineChars="200"/>
        <w:jc w:val="center"/>
        <w:textAlignment w:val="baseline"/>
        <w:rPr>
          <w:rFonts w:hint="eastAsia" w:ascii="仿宋_GB2312" w:hAnsi="仿宋_GB2312" w:eastAsia="仿宋_GB2312" w:cs="仿宋_GB2312"/>
          <w:b/>
          <w:bCs/>
          <w:color w:val="auto"/>
          <w:sz w:val="40"/>
          <w:szCs w:val="40"/>
          <w:lang w:val="en-US" w:eastAsia="zh-CN"/>
        </w:rPr>
      </w:pPr>
      <w:r>
        <w:rPr>
          <w:rFonts w:hint="eastAsia" w:ascii="仿宋_GB2312" w:hAnsi="仿宋_GB2312" w:eastAsia="仿宋_GB2312" w:cs="仿宋_GB2312"/>
          <w:b/>
          <w:bCs/>
          <w:color w:val="auto"/>
          <w:sz w:val="40"/>
          <w:szCs w:val="40"/>
        </w:rPr>
        <w:t>“十四五”期间</w:t>
      </w:r>
      <w:r>
        <w:rPr>
          <w:rFonts w:hint="eastAsia" w:ascii="仿宋_GB2312" w:hAnsi="仿宋_GB2312" w:eastAsia="仿宋_GB2312" w:cs="仿宋_GB2312"/>
          <w:b/>
          <w:bCs/>
          <w:color w:val="auto"/>
          <w:sz w:val="40"/>
          <w:szCs w:val="40"/>
          <w:lang w:eastAsia="zh-CN"/>
        </w:rPr>
        <w:t>佛冈</w:t>
      </w:r>
      <w:r>
        <w:rPr>
          <w:rFonts w:hint="eastAsia" w:ascii="仿宋_GB2312" w:hAnsi="仿宋_GB2312" w:eastAsia="仿宋_GB2312" w:cs="仿宋_GB2312"/>
          <w:b/>
          <w:bCs/>
          <w:color w:val="auto"/>
          <w:sz w:val="40"/>
          <w:szCs w:val="40"/>
        </w:rPr>
        <w:t>教育事业</w:t>
      </w:r>
      <w:r>
        <w:rPr>
          <w:rFonts w:hint="eastAsia" w:ascii="仿宋_GB2312" w:hAnsi="仿宋_GB2312" w:eastAsia="仿宋_GB2312" w:cs="仿宋_GB2312"/>
          <w:b/>
          <w:bCs/>
          <w:color w:val="auto"/>
          <w:sz w:val="40"/>
          <w:szCs w:val="40"/>
          <w:lang w:val="en-US" w:eastAsia="zh-CN"/>
        </w:rPr>
        <w:t>重点建设项目</w:t>
      </w:r>
      <w:r>
        <w:rPr>
          <w:rFonts w:hint="eastAsia" w:ascii="仿宋_GB2312" w:hAnsi="仿宋_GB2312" w:eastAsia="仿宋_GB2312" w:cs="仿宋_GB2312"/>
          <w:b/>
          <w:bCs/>
          <w:color w:val="auto"/>
          <w:sz w:val="40"/>
          <w:szCs w:val="40"/>
        </w:rPr>
        <w:t>表</w:t>
      </w:r>
      <w:r>
        <w:rPr>
          <w:rFonts w:hint="eastAsia" w:ascii="仿宋_GB2312" w:hAnsi="仿宋_GB2312" w:eastAsia="仿宋_GB2312" w:cs="仿宋_GB2312"/>
          <w:b/>
          <w:bCs/>
          <w:color w:val="auto"/>
          <w:sz w:val="40"/>
          <w:szCs w:val="40"/>
          <w:lang w:eastAsia="zh-CN"/>
        </w:rPr>
        <w:t>（新建学校或教学楼）</w:t>
      </w:r>
    </w:p>
    <w:tbl>
      <w:tblPr>
        <w:tblStyle w:val="20"/>
        <w:tblW w:w="14670"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
        <w:gridCol w:w="1980"/>
        <w:gridCol w:w="675"/>
        <w:gridCol w:w="615"/>
        <w:gridCol w:w="675"/>
        <w:gridCol w:w="870"/>
        <w:gridCol w:w="855"/>
        <w:gridCol w:w="675"/>
        <w:gridCol w:w="20"/>
        <w:gridCol w:w="610"/>
        <w:gridCol w:w="20"/>
        <w:gridCol w:w="590"/>
        <w:gridCol w:w="10"/>
        <w:gridCol w:w="620"/>
        <w:gridCol w:w="1250"/>
        <w:gridCol w:w="1303"/>
        <w:gridCol w:w="1097"/>
        <w:gridCol w:w="109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序号</w:t>
            </w:r>
          </w:p>
        </w:tc>
        <w:tc>
          <w:tcPr>
            <w:tcW w:w="198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拟新建改（扩）学校名称</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 xml:space="preserve">所属 </w:t>
            </w:r>
            <w:r>
              <w:rPr>
                <w:rFonts w:hint="eastAsia" w:ascii="仿宋_GB2312" w:hAnsi="仿宋_GB2312" w:eastAsia="仿宋_GB2312" w:cs="仿宋_GB2312"/>
                <w:b/>
                <w:bCs/>
                <w:color w:val="auto"/>
                <w:sz w:val="21"/>
                <w:szCs w:val="21"/>
                <w:lang w:eastAsia="zh-CN"/>
              </w:rPr>
              <w:br/>
            </w:r>
            <w:r>
              <w:rPr>
                <w:rFonts w:hint="eastAsia" w:ascii="仿宋_GB2312" w:hAnsi="仿宋_GB2312" w:eastAsia="仿宋_GB2312" w:cs="仿宋_GB2312"/>
                <w:b/>
                <w:bCs/>
                <w:color w:val="auto"/>
                <w:sz w:val="21"/>
                <w:szCs w:val="21"/>
                <w:lang w:eastAsia="zh-CN"/>
              </w:rPr>
              <w:t>区域</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性质</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 xml:space="preserve">办学 </w:t>
            </w:r>
            <w:r>
              <w:rPr>
                <w:rFonts w:hint="eastAsia" w:ascii="仿宋_GB2312" w:hAnsi="仿宋_GB2312" w:eastAsia="仿宋_GB2312" w:cs="仿宋_GB2312"/>
                <w:b/>
                <w:bCs/>
                <w:color w:val="auto"/>
                <w:sz w:val="21"/>
                <w:szCs w:val="21"/>
                <w:lang w:eastAsia="zh-CN"/>
              </w:rPr>
              <w:br/>
            </w:r>
            <w:r>
              <w:rPr>
                <w:rFonts w:hint="eastAsia" w:ascii="仿宋_GB2312" w:hAnsi="仿宋_GB2312" w:eastAsia="仿宋_GB2312" w:cs="仿宋_GB2312"/>
                <w:b/>
                <w:bCs/>
                <w:color w:val="auto"/>
                <w:sz w:val="21"/>
                <w:szCs w:val="21"/>
                <w:lang w:eastAsia="zh-CN"/>
              </w:rPr>
              <w:t>层次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建设</w:t>
            </w:r>
            <w:r>
              <w:rPr>
                <w:rFonts w:hint="eastAsia" w:ascii="仿宋_GB2312" w:hAnsi="仿宋_GB2312" w:eastAsia="仿宋_GB2312" w:cs="仿宋_GB2312"/>
                <w:b/>
                <w:bCs/>
                <w:color w:val="auto"/>
                <w:sz w:val="21"/>
                <w:szCs w:val="21"/>
                <w:lang w:val="en-US" w:eastAsia="zh-CN"/>
              </w:rPr>
              <w:t xml:space="preserve">  </w:t>
            </w:r>
            <w:r>
              <w:rPr>
                <w:rFonts w:hint="eastAsia" w:ascii="仿宋_GB2312" w:hAnsi="仿宋_GB2312" w:eastAsia="仿宋_GB2312" w:cs="仿宋_GB2312"/>
                <w:b/>
                <w:bCs/>
                <w:color w:val="auto"/>
                <w:sz w:val="21"/>
                <w:szCs w:val="21"/>
                <w:lang w:eastAsia="zh-CN"/>
              </w:rPr>
              <w:t>类型</w:t>
            </w:r>
          </w:p>
        </w:tc>
        <w:tc>
          <w:tcPr>
            <w:tcW w:w="3400" w:type="dxa"/>
            <w:gridSpan w:val="8"/>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计划新增学位数（个）</w:t>
            </w:r>
          </w:p>
        </w:tc>
        <w:tc>
          <w:tcPr>
            <w:tcW w:w="1250"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 xml:space="preserve">计划完成  </w:t>
            </w:r>
            <w:r>
              <w:rPr>
                <w:rFonts w:hint="eastAsia" w:ascii="仿宋_GB2312" w:hAnsi="仿宋_GB2312" w:eastAsia="仿宋_GB2312" w:cs="仿宋_GB2312"/>
                <w:b/>
                <w:bCs/>
                <w:color w:val="auto"/>
                <w:sz w:val="21"/>
                <w:szCs w:val="21"/>
                <w:lang w:eastAsia="zh-CN"/>
              </w:rPr>
              <w:br/>
            </w:r>
            <w:r>
              <w:rPr>
                <w:rFonts w:hint="eastAsia" w:ascii="仿宋_GB2312" w:hAnsi="仿宋_GB2312" w:eastAsia="仿宋_GB2312" w:cs="仿宋_GB2312"/>
                <w:b/>
                <w:bCs/>
                <w:color w:val="auto"/>
                <w:sz w:val="21"/>
                <w:szCs w:val="21"/>
                <w:lang w:eastAsia="zh-CN"/>
              </w:rPr>
              <w:t>时间</w:t>
            </w:r>
          </w:p>
        </w:tc>
        <w:tc>
          <w:tcPr>
            <w:tcW w:w="1303" w:type="dxa"/>
            <w:vMerge w:val="restart"/>
            <w:tcBorders>
              <w:top w:val="single" w:color="000000" w:sz="4" w:space="0"/>
              <w:lef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建筑面积</w:t>
            </w:r>
            <w:r>
              <w:rPr>
                <w:rFonts w:hint="eastAsia" w:ascii="仿宋_GB2312" w:hAnsi="仿宋_GB2312" w:eastAsia="仿宋_GB2312" w:cs="仿宋_GB2312"/>
                <w:b/>
                <w:bCs/>
                <w:color w:val="auto"/>
                <w:sz w:val="21"/>
                <w:szCs w:val="21"/>
                <w:lang w:val="en-US" w:eastAsia="zh-CN"/>
              </w:rPr>
              <w:t xml:space="preserve"> </w:t>
            </w:r>
            <w:r>
              <w:rPr>
                <w:rFonts w:hint="eastAsia" w:ascii="仿宋_GB2312" w:hAnsi="仿宋_GB2312" w:eastAsia="仿宋_GB2312" w:cs="仿宋_GB2312"/>
                <w:b/>
                <w:bCs/>
                <w:color w:val="auto"/>
                <w:sz w:val="21"/>
                <w:szCs w:val="21"/>
                <w:lang w:eastAsia="zh-CN"/>
              </w:rPr>
              <w:t>（平方米）</w:t>
            </w:r>
          </w:p>
        </w:tc>
        <w:tc>
          <w:tcPr>
            <w:tcW w:w="1097" w:type="dxa"/>
            <w:vMerge w:val="restart"/>
            <w:tcBorders>
              <w:top w:val="single" w:color="000000" w:sz="4" w:space="0"/>
              <w:lef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用地需求（亩）</w:t>
            </w:r>
          </w:p>
        </w:tc>
        <w:tc>
          <w:tcPr>
            <w:tcW w:w="1095"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资金测算（万元）</w:t>
            </w:r>
          </w:p>
        </w:tc>
        <w:tc>
          <w:tcPr>
            <w:tcW w:w="1230"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atLeast"/>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合计</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幼儿园</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小学</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初中</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高中</w:t>
            </w:r>
          </w:p>
        </w:tc>
        <w:tc>
          <w:tcPr>
            <w:tcW w:w="1250"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p>
        </w:tc>
        <w:tc>
          <w:tcPr>
            <w:tcW w:w="1303" w:type="dxa"/>
            <w:vMerge w:val="continue"/>
            <w:tcBorders>
              <w:left w:val="single" w:color="000000" w:sz="4" w:space="0"/>
              <w:bottom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p>
        </w:tc>
        <w:tc>
          <w:tcPr>
            <w:tcW w:w="1097" w:type="dxa"/>
            <w:vMerge w:val="continue"/>
            <w:tcBorders>
              <w:left w:val="single" w:color="000000" w:sz="4" w:space="0"/>
              <w:bottom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p>
        </w:tc>
        <w:tc>
          <w:tcPr>
            <w:tcW w:w="1095"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p>
        </w:tc>
        <w:tc>
          <w:tcPr>
            <w:tcW w:w="1230"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19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cs="宋体"/>
                <w:i w:val="0"/>
                <w:color w:val="auto"/>
                <w:kern w:val="0"/>
                <w:sz w:val="20"/>
                <w:szCs w:val="20"/>
                <w:u w:val="none"/>
                <w:lang w:val="en-US" w:eastAsia="zh-CN" w:bidi="ar-SA"/>
              </w:rPr>
              <w:t>佛冈县城南幼儿园</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县城</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公办</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cs="宋体"/>
                <w:i w:val="0"/>
                <w:color w:val="auto"/>
                <w:kern w:val="0"/>
                <w:sz w:val="18"/>
                <w:szCs w:val="18"/>
                <w:u w:val="none"/>
                <w:lang w:val="en-US" w:eastAsia="zh-CN" w:bidi="ar-SA"/>
              </w:rPr>
              <w:t>幼儿园</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新建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cs="宋体"/>
                <w:i w:val="0"/>
                <w:color w:val="auto"/>
                <w:kern w:val="0"/>
                <w:sz w:val="20"/>
                <w:szCs w:val="20"/>
                <w:u w:val="none"/>
                <w:lang w:val="en-US" w:eastAsia="zh-CN" w:bidi="ar-SA"/>
              </w:rPr>
              <w:t>360</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lang w:val="en-US" w:eastAsia="zh-CN"/>
              </w:rPr>
            </w:pPr>
            <w:r>
              <w:rPr>
                <w:rFonts w:hint="eastAsia" w:ascii="宋体" w:hAnsi="宋体" w:eastAsia="宋体" w:cs="宋体"/>
                <w:i w:val="0"/>
                <w:color w:val="auto"/>
                <w:kern w:val="0"/>
                <w:sz w:val="20"/>
                <w:szCs w:val="20"/>
                <w:u w:val="none"/>
                <w:lang w:val="en-US" w:eastAsia="zh-CN" w:bidi="ar-SA"/>
              </w:rPr>
              <w:t>360</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lang w:eastAsia="zh-CN"/>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lang w:eastAsia="zh-CN"/>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cs="宋体"/>
                <w:i w:val="0"/>
                <w:color w:val="auto"/>
                <w:kern w:val="0"/>
                <w:sz w:val="18"/>
                <w:szCs w:val="18"/>
                <w:u w:val="none"/>
                <w:lang w:val="en-US" w:eastAsia="zh-CN" w:bidi="ar-SA"/>
              </w:rPr>
              <w:t>2021年</w:t>
            </w:r>
            <w:r>
              <w:rPr>
                <w:rFonts w:hint="eastAsia" w:ascii="宋体" w:hAnsi="宋体" w:eastAsia="宋体" w:cs="宋体"/>
                <w:i w:val="0"/>
                <w:color w:val="auto"/>
                <w:kern w:val="0"/>
                <w:sz w:val="18"/>
                <w:szCs w:val="18"/>
                <w:u w:val="none"/>
                <w:lang w:val="en-US" w:eastAsia="zh-CN" w:bidi="ar-SA"/>
              </w:rPr>
              <w:t>8月</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cs="宋体"/>
                <w:i w:val="0"/>
                <w:color w:val="auto"/>
                <w:kern w:val="0"/>
                <w:sz w:val="20"/>
                <w:szCs w:val="20"/>
                <w:u w:val="none"/>
                <w:lang w:val="en-US" w:eastAsia="zh-CN" w:bidi="ar-SA"/>
              </w:rPr>
              <w:t>4517.7</w:t>
            </w:r>
          </w:p>
        </w:tc>
        <w:tc>
          <w:tcPr>
            <w:tcW w:w="1097" w:type="dxa"/>
            <w:tcBorders>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cs="宋体"/>
                <w:i w:val="0"/>
                <w:color w:val="auto"/>
                <w:kern w:val="0"/>
                <w:sz w:val="20"/>
                <w:szCs w:val="20"/>
                <w:u w:val="none"/>
                <w:lang w:val="en-US" w:eastAsia="zh-CN" w:bidi="ar-SA"/>
              </w:rPr>
              <w:t>10.51</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cs="宋体"/>
                <w:i w:val="0"/>
                <w:color w:val="auto"/>
                <w:kern w:val="0"/>
                <w:sz w:val="20"/>
                <w:szCs w:val="20"/>
                <w:u w:val="none"/>
                <w:lang w:val="en-US" w:eastAsia="zh-CN" w:bidi="ar-SA"/>
              </w:rPr>
              <w:t>2032</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0"/>
                <w:szCs w:val="1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p>
        </w:tc>
        <w:tc>
          <w:tcPr>
            <w:tcW w:w="19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textAlignment w:val="center"/>
              <w:rPr>
                <w:rFonts w:hint="eastAsia" w:ascii="仿宋_GB2312" w:hAnsi="仿宋_GB2312" w:eastAsia="仿宋_GB2312" w:cs="仿宋_GB2312"/>
                <w:color w:val="auto"/>
                <w:sz w:val="16"/>
                <w:szCs w:val="16"/>
                <w:lang w:eastAsia="zh-CN"/>
              </w:rPr>
            </w:pPr>
            <w:r>
              <w:rPr>
                <w:rFonts w:hint="eastAsia" w:ascii="宋体" w:hAnsi="宋体" w:eastAsia="宋体" w:cs="宋体"/>
                <w:i w:val="0"/>
                <w:color w:val="auto"/>
                <w:kern w:val="0"/>
                <w:sz w:val="20"/>
                <w:szCs w:val="20"/>
                <w:u w:val="none"/>
                <w:lang w:val="en-US" w:eastAsia="zh-CN" w:bidi="ar-SA"/>
              </w:rPr>
              <w:t>佛冈县城北篁胜小学</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lang w:eastAsia="zh-CN"/>
              </w:rPr>
            </w:pPr>
            <w:r>
              <w:rPr>
                <w:rFonts w:hint="eastAsia" w:ascii="宋体" w:hAnsi="宋体" w:eastAsia="宋体" w:cs="宋体"/>
                <w:i w:val="0"/>
                <w:color w:val="auto"/>
                <w:kern w:val="0"/>
                <w:sz w:val="18"/>
                <w:szCs w:val="18"/>
                <w:u w:val="none"/>
                <w:lang w:val="en-US" w:eastAsia="zh-CN" w:bidi="ar-SA"/>
              </w:rPr>
              <w:t>县城</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lang w:eastAsia="zh-CN"/>
              </w:rPr>
            </w:pPr>
            <w:r>
              <w:rPr>
                <w:rFonts w:hint="eastAsia" w:ascii="宋体" w:hAnsi="宋体" w:eastAsia="宋体" w:cs="宋体"/>
                <w:i w:val="0"/>
                <w:color w:val="auto"/>
                <w:kern w:val="0"/>
                <w:sz w:val="18"/>
                <w:szCs w:val="18"/>
                <w:u w:val="none"/>
                <w:lang w:val="en-US" w:eastAsia="zh-CN" w:bidi="ar-SA"/>
              </w:rPr>
              <w:t>公办</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lang w:eastAsia="zh-CN"/>
              </w:rPr>
            </w:pPr>
            <w:r>
              <w:rPr>
                <w:rFonts w:hint="eastAsia" w:ascii="宋体" w:hAnsi="宋体" w:eastAsia="宋体" w:cs="宋体"/>
                <w:i w:val="0"/>
                <w:color w:val="auto"/>
                <w:kern w:val="0"/>
                <w:sz w:val="18"/>
                <w:szCs w:val="18"/>
                <w:u w:val="none"/>
                <w:lang w:val="en-US" w:eastAsia="zh-CN" w:bidi="ar-SA"/>
              </w:rPr>
              <w:t>小学</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lang w:eastAsia="zh-CN"/>
              </w:rPr>
            </w:pPr>
            <w:r>
              <w:rPr>
                <w:rFonts w:hint="eastAsia" w:ascii="宋体" w:hAnsi="宋体" w:eastAsia="宋体" w:cs="宋体"/>
                <w:i w:val="0"/>
                <w:color w:val="auto"/>
                <w:kern w:val="0"/>
                <w:sz w:val="18"/>
                <w:szCs w:val="18"/>
                <w:u w:val="none"/>
                <w:lang w:val="en-US" w:eastAsia="zh-CN" w:bidi="ar-SA"/>
              </w:rPr>
              <w:t>新建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lang w:eastAsia="zh-CN"/>
              </w:rPr>
            </w:pPr>
            <w:r>
              <w:rPr>
                <w:rFonts w:hint="eastAsia" w:ascii="宋体" w:hAnsi="宋体" w:eastAsia="宋体" w:cs="宋体"/>
                <w:i w:val="0"/>
                <w:color w:val="auto"/>
                <w:kern w:val="0"/>
                <w:sz w:val="20"/>
                <w:szCs w:val="20"/>
                <w:u w:val="none"/>
                <w:lang w:val="en-US" w:eastAsia="zh-CN" w:bidi="ar-SA"/>
              </w:rPr>
              <w:t>2160</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lang w:eastAsia="zh-CN"/>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lang w:eastAsia="zh-CN"/>
              </w:rPr>
            </w:pPr>
            <w:r>
              <w:rPr>
                <w:rFonts w:hint="eastAsia" w:ascii="宋体" w:hAnsi="宋体" w:eastAsia="宋体" w:cs="宋体"/>
                <w:i w:val="0"/>
                <w:color w:val="auto"/>
                <w:kern w:val="0"/>
                <w:sz w:val="20"/>
                <w:szCs w:val="20"/>
                <w:u w:val="none"/>
                <w:lang w:val="en-US" w:eastAsia="zh-CN" w:bidi="ar-SA"/>
              </w:rPr>
              <w:t>2160</w:t>
            </w: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lang w:eastAsia="zh-CN"/>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lang w:eastAsia="zh-CN"/>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4"/>
                <w:szCs w:val="4"/>
                <w:lang w:eastAsia="zh-CN"/>
              </w:rPr>
            </w:pPr>
            <w:r>
              <w:rPr>
                <w:rFonts w:hint="eastAsia" w:ascii="宋体" w:hAnsi="宋体" w:eastAsia="宋体" w:cs="宋体"/>
                <w:i w:val="0"/>
                <w:color w:val="auto"/>
                <w:kern w:val="0"/>
                <w:sz w:val="18"/>
                <w:szCs w:val="18"/>
                <w:u w:val="none"/>
                <w:lang w:val="en-US" w:eastAsia="zh-CN" w:bidi="ar-SA"/>
              </w:rPr>
              <w:t>2021年8月</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25926.19</w:t>
            </w:r>
          </w:p>
        </w:tc>
        <w:tc>
          <w:tcPr>
            <w:tcW w:w="1097" w:type="dxa"/>
            <w:tcBorders>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58.29</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10800</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0"/>
                <w:szCs w:val="1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p>
        </w:tc>
        <w:tc>
          <w:tcPr>
            <w:tcW w:w="19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textAlignment w:val="center"/>
              <w:rPr>
                <w:rFonts w:hint="eastAsia" w:ascii="仿宋_GB2312" w:hAnsi="仿宋_GB2312" w:eastAsia="仿宋_GB2312" w:cs="仿宋_GB2312"/>
                <w:color w:val="auto"/>
                <w:sz w:val="16"/>
                <w:szCs w:val="16"/>
                <w:lang w:eastAsia="zh-CN"/>
              </w:rPr>
            </w:pPr>
            <w:r>
              <w:rPr>
                <w:rFonts w:hint="eastAsia" w:ascii="宋体" w:hAnsi="宋体" w:eastAsia="宋体" w:cs="宋体"/>
                <w:i w:val="0"/>
                <w:color w:val="auto"/>
                <w:kern w:val="0"/>
                <w:sz w:val="20"/>
                <w:szCs w:val="20"/>
                <w:u w:val="none"/>
                <w:lang w:val="en-US" w:eastAsia="zh-CN" w:bidi="ar-SA"/>
              </w:rPr>
              <w:t>佛冈县石角镇中心小学吉田教学点</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lang w:eastAsia="zh-CN"/>
              </w:rPr>
            </w:pPr>
            <w:r>
              <w:rPr>
                <w:rFonts w:hint="eastAsia" w:ascii="宋体" w:hAnsi="宋体" w:eastAsia="宋体" w:cs="宋体"/>
                <w:i w:val="0"/>
                <w:color w:val="auto"/>
                <w:kern w:val="0"/>
                <w:sz w:val="18"/>
                <w:szCs w:val="18"/>
                <w:u w:val="none"/>
                <w:lang w:val="en-US" w:eastAsia="zh-CN" w:bidi="ar-SA"/>
              </w:rPr>
              <w:t>乡镇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lang w:eastAsia="zh-CN"/>
              </w:rPr>
            </w:pPr>
            <w:r>
              <w:rPr>
                <w:rFonts w:hint="eastAsia" w:ascii="宋体" w:hAnsi="宋体" w:eastAsia="宋体" w:cs="宋体"/>
                <w:i w:val="0"/>
                <w:color w:val="auto"/>
                <w:kern w:val="0"/>
                <w:sz w:val="18"/>
                <w:szCs w:val="18"/>
                <w:u w:val="none"/>
                <w:lang w:val="en-US" w:eastAsia="zh-CN" w:bidi="ar-SA"/>
              </w:rPr>
              <w:t>公办</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lang w:eastAsia="zh-CN"/>
              </w:rPr>
            </w:pPr>
            <w:r>
              <w:rPr>
                <w:rFonts w:hint="eastAsia" w:ascii="宋体" w:hAnsi="宋体" w:eastAsia="宋体" w:cs="宋体"/>
                <w:i w:val="0"/>
                <w:color w:val="auto"/>
                <w:kern w:val="0"/>
                <w:sz w:val="18"/>
                <w:szCs w:val="18"/>
                <w:u w:val="none"/>
                <w:lang w:val="en-US" w:eastAsia="zh-CN" w:bidi="ar-SA"/>
              </w:rPr>
              <w:t>小学</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lang w:eastAsia="zh-CN"/>
              </w:rPr>
            </w:pPr>
            <w:r>
              <w:rPr>
                <w:rFonts w:hint="eastAsia" w:ascii="宋体" w:hAnsi="宋体" w:eastAsia="宋体" w:cs="宋体"/>
                <w:i w:val="0"/>
                <w:color w:val="auto"/>
                <w:kern w:val="0"/>
                <w:sz w:val="18"/>
                <w:szCs w:val="18"/>
                <w:u w:val="none"/>
                <w:lang w:val="en-US" w:eastAsia="zh-CN" w:bidi="ar-SA"/>
              </w:rPr>
              <w:t>改扩建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lang w:eastAsia="zh-CN"/>
              </w:rPr>
            </w:pPr>
            <w:r>
              <w:rPr>
                <w:rFonts w:hint="eastAsia" w:ascii="宋体" w:hAnsi="宋体" w:eastAsia="宋体" w:cs="宋体"/>
                <w:i w:val="0"/>
                <w:color w:val="auto"/>
                <w:kern w:val="0"/>
                <w:sz w:val="20"/>
                <w:szCs w:val="20"/>
                <w:u w:val="none"/>
                <w:lang w:val="en-US" w:eastAsia="zh-CN" w:bidi="ar-SA"/>
              </w:rPr>
              <w:t>540</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lang w:eastAsia="zh-CN"/>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lang w:eastAsia="zh-CN"/>
              </w:rPr>
            </w:pPr>
            <w:r>
              <w:rPr>
                <w:rFonts w:hint="eastAsia" w:ascii="宋体" w:hAnsi="宋体" w:eastAsia="宋体" w:cs="宋体"/>
                <w:i w:val="0"/>
                <w:color w:val="auto"/>
                <w:kern w:val="0"/>
                <w:sz w:val="20"/>
                <w:szCs w:val="20"/>
                <w:u w:val="none"/>
                <w:lang w:val="en-US" w:eastAsia="zh-CN" w:bidi="ar-SA"/>
              </w:rPr>
              <w:t>540</w:t>
            </w: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lang w:eastAsia="zh-CN"/>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lang w:eastAsia="zh-CN"/>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4"/>
                <w:szCs w:val="4"/>
                <w:lang w:eastAsia="zh-CN"/>
              </w:rPr>
            </w:pPr>
            <w:r>
              <w:rPr>
                <w:rFonts w:hint="eastAsia" w:ascii="宋体" w:hAnsi="宋体" w:eastAsia="宋体" w:cs="宋体"/>
                <w:i w:val="0"/>
                <w:color w:val="auto"/>
                <w:kern w:val="0"/>
                <w:sz w:val="18"/>
                <w:szCs w:val="18"/>
                <w:u w:val="none"/>
                <w:lang w:val="en-US" w:eastAsia="zh-CN" w:bidi="ar-SA"/>
              </w:rPr>
              <w:t>2021年8月</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3171.65</w:t>
            </w:r>
          </w:p>
        </w:tc>
        <w:tc>
          <w:tcPr>
            <w:tcW w:w="1097"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0.95</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2700</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0"/>
                <w:szCs w:val="1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lang w:eastAsia="zh-CN"/>
              </w:rPr>
            </w:pPr>
            <w:r>
              <w:rPr>
                <w:rFonts w:hint="eastAsia" w:ascii="宋体" w:hAnsi="宋体" w:eastAsia="宋体" w:cs="宋体"/>
                <w:i w:val="0"/>
                <w:color w:val="auto"/>
                <w:kern w:val="0"/>
                <w:sz w:val="20"/>
                <w:szCs w:val="20"/>
                <w:u w:val="none"/>
                <w:lang w:val="en-US" w:eastAsia="zh-CN" w:bidi="ar-SA"/>
              </w:rPr>
              <w:t>佛冈县</w:t>
            </w:r>
            <w:r>
              <w:rPr>
                <w:rFonts w:hint="eastAsia" w:ascii="宋体" w:hAnsi="宋体" w:cs="宋体"/>
                <w:i w:val="0"/>
                <w:color w:val="auto"/>
                <w:kern w:val="0"/>
                <w:sz w:val="20"/>
                <w:szCs w:val="20"/>
                <w:u w:val="none"/>
                <w:lang w:val="en-US" w:eastAsia="zh-CN" w:bidi="ar-SA"/>
              </w:rPr>
              <w:t>城西</w:t>
            </w:r>
            <w:r>
              <w:rPr>
                <w:rFonts w:hint="eastAsia" w:ascii="宋体" w:hAnsi="宋体" w:eastAsia="宋体" w:cs="宋体"/>
                <w:i w:val="0"/>
                <w:color w:val="auto"/>
                <w:kern w:val="0"/>
                <w:sz w:val="20"/>
                <w:szCs w:val="20"/>
                <w:u w:val="none"/>
                <w:lang w:val="en-US" w:eastAsia="zh-CN" w:bidi="ar-SA"/>
              </w:rPr>
              <w:t>时代小学</w:t>
            </w:r>
          </w:p>
        </w:tc>
        <w:tc>
          <w:tcPr>
            <w:tcW w:w="67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lang w:eastAsia="zh-CN"/>
              </w:rPr>
            </w:pPr>
            <w:r>
              <w:rPr>
                <w:rFonts w:hint="eastAsia" w:ascii="宋体" w:hAnsi="宋体" w:eastAsia="宋体" w:cs="宋体"/>
                <w:i w:val="0"/>
                <w:color w:val="auto"/>
                <w:kern w:val="0"/>
                <w:sz w:val="18"/>
                <w:szCs w:val="18"/>
                <w:u w:val="none"/>
                <w:lang w:val="en-US" w:eastAsia="zh-CN" w:bidi="ar-SA"/>
              </w:rPr>
              <w:t>县城</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lang w:eastAsia="zh-CN"/>
              </w:rPr>
            </w:pPr>
            <w:r>
              <w:rPr>
                <w:rFonts w:hint="eastAsia" w:ascii="宋体" w:hAnsi="宋体" w:eastAsia="宋体" w:cs="宋体"/>
                <w:i w:val="0"/>
                <w:color w:val="auto"/>
                <w:kern w:val="0"/>
                <w:sz w:val="18"/>
                <w:szCs w:val="18"/>
                <w:u w:val="none"/>
                <w:lang w:val="en-US" w:eastAsia="zh-CN" w:bidi="ar-SA"/>
              </w:rPr>
              <w:t>公办</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lang w:eastAsia="zh-CN"/>
              </w:rPr>
            </w:pPr>
            <w:r>
              <w:rPr>
                <w:rFonts w:hint="eastAsia" w:ascii="宋体" w:hAnsi="宋体" w:eastAsia="宋体" w:cs="宋体"/>
                <w:i w:val="0"/>
                <w:color w:val="auto"/>
                <w:kern w:val="0"/>
                <w:sz w:val="18"/>
                <w:szCs w:val="18"/>
                <w:u w:val="none"/>
                <w:lang w:val="en-US" w:eastAsia="zh-CN" w:bidi="ar-SA"/>
              </w:rPr>
              <w:t>小学</w:t>
            </w:r>
          </w:p>
        </w:tc>
        <w:tc>
          <w:tcPr>
            <w:tcW w:w="87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lang w:eastAsia="zh-CN"/>
              </w:rPr>
            </w:pPr>
            <w:r>
              <w:rPr>
                <w:rFonts w:hint="eastAsia" w:ascii="宋体" w:hAnsi="宋体" w:eastAsia="宋体" w:cs="宋体"/>
                <w:i w:val="0"/>
                <w:color w:val="auto"/>
                <w:kern w:val="0"/>
                <w:sz w:val="18"/>
                <w:szCs w:val="18"/>
                <w:u w:val="none"/>
                <w:lang w:val="en-US" w:eastAsia="zh-CN" w:bidi="ar-SA"/>
              </w:rPr>
              <w:t>新建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lang w:eastAsia="zh-CN"/>
              </w:rPr>
            </w:pPr>
            <w:r>
              <w:rPr>
                <w:rFonts w:hint="eastAsia" w:ascii="宋体" w:hAnsi="宋体" w:eastAsia="宋体" w:cs="宋体"/>
                <w:i w:val="0"/>
                <w:color w:val="auto"/>
                <w:kern w:val="0"/>
                <w:sz w:val="20"/>
                <w:szCs w:val="20"/>
                <w:u w:val="none"/>
                <w:lang w:val="en-US" w:eastAsia="zh-CN" w:bidi="ar-SA"/>
              </w:rPr>
              <w:t>1080</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lang w:eastAsia="zh-CN"/>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lang w:eastAsia="zh-CN"/>
              </w:rPr>
            </w:pPr>
            <w:r>
              <w:rPr>
                <w:rFonts w:hint="eastAsia" w:ascii="宋体" w:hAnsi="宋体" w:eastAsia="宋体" w:cs="宋体"/>
                <w:i w:val="0"/>
                <w:color w:val="auto"/>
                <w:kern w:val="0"/>
                <w:sz w:val="20"/>
                <w:szCs w:val="20"/>
                <w:u w:val="none"/>
                <w:lang w:val="en-US" w:eastAsia="zh-CN" w:bidi="ar-SA"/>
              </w:rPr>
              <w:t>1080</w:t>
            </w: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lang w:eastAsia="zh-CN"/>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lang w:eastAsia="zh-CN"/>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4"/>
                <w:szCs w:val="4"/>
                <w:lang w:eastAsia="zh-CN"/>
              </w:rPr>
            </w:pPr>
            <w:r>
              <w:rPr>
                <w:rFonts w:hint="eastAsia" w:ascii="宋体" w:hAnsi="宋体" w:eastAsia="宋体" w:cs="宋体"/>
                <w:i w:val="0"/>
                <w:color w:val="auto"/>
                <w:kern w:val="0"/>
                <w:sz w:val="18"/>
                <w:szCs w:val="18"/>
                <w:u w:val="none"/>
                <w:lang w:val="en-US" w:eastAsia="zh-CN" w:bidi="ar-SA"/>
              </w:rPr>
              <w:t>2022年12月</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7560</w:t>
            </w:r>
          </w:p>
        </w:tc>
        <w:tc>
          <w:tcPr>
            <w:tcW w:w="1097"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29.15</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5400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1"/>
                <w:szCs w:val="11"/>
                <w:lang w:eastAsia="zh-CN"/>
              </w:rPr>
            </w:pPr>
            <w:r>
              <w:rPr>
                <w:rFonts w:hint="eastAsia" w:ascii="宋体" w:hAnsi="宋体" w:eastAsia="宋体" w:cs="宋体"/>
                <w:i w:val="0"/>
                <w:color w:val="auto"/>
                <w:kern w:val="0"/>
                <w:sz w:val="16"/>
                <w:szCs w:val="16"/>
                <w:u w:val="none"/>
                <w:lang w:val="en-US" w:eastAsia="zh-CN" w:bidi="ar-SA"/>
              </w:rPr>
              <w:t>小区配套学校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佛冈县城东中学</w:t>
            </w:r>
          </w:p>
        </w:tc>
        <w:tc>
          <w:tcPr>
            <w:tcW w:w="67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县城</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公办</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初中</w:t>
            </w:r>
          </w:p>
        </w:tc>
        <w:tc>
          <w:tcPr>
            <w:tcW w:w="87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改扩建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1000</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highlight w:val="none"/>
                <w:lang w:eastAsia="zh-CN"/>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kern w:val="0"/>
                <w:sz w:val="20"/>
                <w:szCs w:val="20"/>
                <w:highlight w:val="none"/>
                <w:u w:val="none"/>
                <w:lang w:val="en-US" w:eastAsia="zh-CN" w:bidi="ar-SA"/>
              </w:rPr>
            </w:pP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highlight w:val="none"/>
                <w:lang w:eastAsia="zh-CN"/>
              </w:rPr>
            </w:pPr>
            <w:r>
              <w:rPr>
                <w:rFonts w:hint="eastAsia" w:ascii="宋体" w:hAnsi="宋体" w:eastAsia="宋体" w:cs="宋体"/>
                <w:i w:val="0"/>
                <w:color w:val="auto"/>
                <w:kern w:val="0"/>
                <w:sz w:val="18"/>
                <w:szCs w:val="18"/>
                <w:highlight w:val="none"/>
                <w:u w:val="none"/>
                <w:lang w:val="en-US" w:eastAsia="zh-CN" w:bidi="ar-SA"/>
              </w:rPr>
              <w:t>1000</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2022年8月</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3670</w:t>
            </w:r>
          </w:p>
        </w:tc>
        <w:tc>
          <w:tcPr>
            <w:tcW w:w="1097"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0.92</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4510</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kern w:val="0"/>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佛冈县城北中学</w:t>
            </w:r>
          </w:p>
        </w:tc>
        <w:tc>
          <w:tcPr>
            <w:tcW w:w="67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县城</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公办</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初中</w:t>
            </w:r>
          </w:p>
        </w:tc>
        <w:tc>
          <w:tcPr>
            <w:tcW w:w="87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改扩建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750</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highlight w:val="none"/>
                <w:lang w:eastAsia="zh-CN"/>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kern w:val="0"/>
                <w:sz w:val="20"/>
                <w:szCs w:val="20"/>
                <w:highlight w:val="none"/>
                <w:u w:val="none"/>
                <w:lang w:val="en-US" w:eastAsia="zh-CN" w:bidi="ar-SA"/>
              </w:rPr>
            </w:pP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highlight w:val="none"/>
                <w:lang w:eastAsia="zh-CN"/>
              </w:rPr>
            </w:pPr>
            <w:r>
              <w:rPr>
                <w:rFonts w:hint="eastAsia" w:ascii="宋体" w:hAnsi="宋体" w:eastAsia="宋体" w:cs="宋体"/>
                <w:i w:val="0"/>
                <w:color w:val="auto"/>
                <w:kern w:val="0"/>
                <w:sz w:val="20"/>
                <w:szCs w:val="20"/>
                <w:highlight w:val="none"/>
                <w:u w:val="none"/>
                <w:lang w:val="en-US" w:eastAsia="zh-CN" w:bidi="ar-SA"/>
              </w:rPr>
              <w:t>750</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2022年12月</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1500</w:t>
            </w:r>
          </w:p>
        </w:tc>
        <w:tc>
          <w:tcPr>
            <w:tcW w:w="1097"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0.37</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3075</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kern w:val="0"/>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w:t>
            </w:r>
          </w:p>
        </w:tc>
        <w:tc>
          <w:tcPr>
            <w:tcW w:w="19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textAlignment w:val="center"/>
              <w:rPr>
                <w:rFonts w:hint="eastAsia" w:ascii="宋体" w:hAnsi="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佛冈县石角镇中心</w:t>
            </w:r>
            <w:r>
              <w:rPr>
                <w:rFonts w:hint="eastAsia" w:ascii="宋体" w:hAnsi="宋体" w:eastAsia="宋体" w:cs="宋体"/>
                <w:i w:val="0"/>
                <w:color w:val="auto"/>
                <w:kern w:val="0"/>
                <w:sz w:val="20"/>
                <w:szCs w:val="20"/>
                <w:highlight w:val="none"/>
                <w:u w:val="none"/>
                <w:lang w:val="en-US" w:eastAsia="zh-CN" w:bidi="ar-SA"/>
              </w:rPr>
              <w:br/>
            </w:r>
            <w:r>
              <w:rPr>
                <w:rFonts w:hint="eastAsia" w:ascii="宋体" w:hAnsi="宋体" w:eastAsia="宋体" w:cs="宋体"/>
                <w:i w:val="0"/>
                <w:color w:val="auto"/>
                <w:kern w:val="0"/>
                <w:sz w:val="20"/>
                <w:szCs w:val="20"/>
                <w:highlight w:val="none"/>
                <w:u w:val="none"/>
                <w:lang w:val="en-US" w:eastAsia="zh-CN" w:bidi="ar-SA"/>
              </w:rPr>
              <w:t>幼儿园吉田分园</w:t>
            </w:r>
          </w:p>
        </w:tc>
        <w:tc>
          <w:tcPr>
            <w:tcW w:w="67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highlight w:val="none"/>
                <w:lang w:eastAsia="zh-CN"/>
              </w:rPr>
            </w:pPr>
            <w:r>
              <w:rPr>
                <w:rFonts w:hint="eastAsia" w:ascii="宋体" w:hAnsi="宋体" w:eastAsia="宋体" w:cs="宋体"/>
                <w:i w:val="0"/>
                <w:color w:val="auto"/>
                <w:kern w:val="0"/>
                <w:sz w:val="18"/>
                <w:szCs w:val="18"/>
                <w:highlight w:val="none"/>
                <w:u w:val="none"/>
                <w:lang w:val="en-US" w:eastAsia="zh-CN" w:bidi="ar-SA"/>
              </w:rPr>
              <w:t>乡镇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highlight w:val="none"/>
                <w:lang w:eastAsia="zh-CN"/>
              </w:rPr>
            </w:pPr>
            <w:r>
              <w:rPr>
                <w:rFonts w:hint="eastAsia" w:ascii="宋体" w:hAnsi="宋体" w:eastAsia="宋体" w:cs="宋体"/>
                <w:i w:val="0"/>
                <w:color w:val="auto"/>
                <w:kern w:val="0"/>
                <w:sz w:val="18"/>
                <w:szCs w:val="18"/>
                <w:highlight w:val="none"/>
                <w:u w:val="none"/>
                <w:lang w:val="en-US" w:eastAsia="zh-CN" w:bidi="ar-SA"/>
              </w:rPr>
              <w:t>公办</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highlight w:val="none"/>
                <w:lang w:eastAsia="zh-CN"/>
              </w:rPr>
            </w:pPr>
            <w:r>
              <w:rPr>
                <w:rFonts w:hint="eastAsia" w:ascii="宋体" w:hAnsi="宋体" w:eastAsia="宋体" w:cs="宋体"/>
                <w:i w:val="0"/>
                <w:color w:val="auto"/>
                <w:kern w:val="0"/>
                <w:sz w:val="18"/>
                <w:szCs w:val="18"/>
                <w:highlight w:val="none"/>
                <w:u w:val="none"/>
                <w:lang w:val="en-US" w:eastAsia="zh-CN" w:bidi="ar-SA"/>
              </w:rPr>
              <w:t>幼儿园</w:t>
            </w:r>
          </w:p>
        </w:tc>
        <w:tc>
          <w:tcPr>
            <w:tcW w:w="87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highlight w:val="none"/>
                <w:lang w:eastAsia="zh-CN"/>
              </w:rPr>
            </w:pPr>
            <w:r>
              <w:rPr>
                <w:rFonts w:hint="eastAsia" w:ascii="宋体" w:hAnsi="宋体" w:eastAsia="宋体" w:cs="宋体"/>
                <w:i w:val="0"/>
                <w:color w:val="auto"/>
                <w:kern w:val="0"/>
                <w:sz w:val="18"/>
                <w:szCs w:val="18"/>
                <w:highlight w:val="none"/>
                <w:u w:val="none"/>
                <w:lang w:val="en-US" w:eastAsia="zh-CN" w:bidi="ar-SA"/>
              </w:rPr>
              <w:t>改扩建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highlight w:val="none"/>
                <w:lang w:eastAsia="zh-CN"/>
              </w:rPr>
            </w:pPr>
            <w:r>
              <w:rPr>
                <w:rFonts w:hint="eastAsia" w:ascii="宋体" w:hAnsi="宋体" w:eastAsia="宋体" w:cs="宋体"/>
                <w:i w:val="0"/>
                <w:color w:val="auto"/>
                <w:kern w:val="0"/>
                <w:sz w:val="20"/>
                <w:szCs w:val="20"/>
                <w:highlight w:val="none"/>
                <w:u w:val="none"/>
                <w:lang w:val="en-US" w:eastAsia="zh-CN" w:bidi="ar-SA"/>
              </w:rPr>
              <w:t>90</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highlight w:val="none"/>
                <w:lang w:eastAsia="zh-CN"/>
              </w:rPr>
            </w:pPr>
            <w:r>
              <w:rPr>
                <w:rFonts w:hint="eastAsia" w:ascii="宋体" w:hAnsi="宋体" w:eastAsia="宋体" w:cs="宋体"/>
                <w:i w:val="0"/>
                <w:color w:val="auto"/>
                <w:kern w:val="0"/>
                <w:sz w:val="20"/>
                <w:szCs w:val="20"/>
                <w:highlight w:val="none"/>
                <w:u w:val="none"/>
                <w:lang w:val="en-US" w:eastAsia="zh-CN" w:bidi="ar-SA"/>
              </w:rPr>
              <w:t>90</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highlight w:val="none"/>
                <w:lang w:eastAsia="zh-CN"/>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highlight w:val="none"/>
                <w:lang w:eastAsia="zh-CN"/>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6"/>
                <w:szCs w:val="16"/>
                <w:highlight w:val="none"/>
                <w:lang w:eastAsia="zh-CN"/>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4"/>
                <w:szCs w:val="4"/>
                <w:highlight w:val="none"/>
                <w:lang w:eastAsia="zh-CN"/>
              </w:rPr>
            </w:pPr>
            <w:r>
              <w:rPr>
                <w:rFonts w:hint="eastAsia" w:ascii="宋体" w:hAnsi="宋体" w:eastAsia="宋体" w:cs="宋体"/>
                <w:i w:val="0"/>
                <w:color w:val="auto"/>
                <w:kern w:val="0"/>
                <w:sz w:val="18"/>
                <w:szCs w:val="18"/>
                <w:highlight w:val="none"/>
                <w:u w:val="none"/>
                <w:lang w:val="en-US" w:eastAsia="zh-CN" w:bidi="ar-SA"/>
              </w:rPr>
              <w:t>2022年12月</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highlight w:val="none"/>
                <w:lang w:eastAsia="zh-CN"/>
              </w:rPr>
            </w:pPr>
            <w:r>
              <w:rPr>
                <w:rFonts w:hint="eastAsia" w:ascii="宋体" w:hAnsi="宋体" w:eastAsia="宋体" w:cs="宋体"/>
                <w:i w:val="0"/>
                <w:color w:val="auto"/>
                <w:kern w:val="0"/>
                <w:sz w:val="20"/>
                <w:szCs w:val="20"/>
                <w:highlight w:val="none"/>
                <w:u w:val="none"/>
                <w:lang w:val="en-US" w:eastAsia="zh-CN" w:bidi="ar-SA"/>
              </w:rPr>
              <w:t>902</w:t>
            </w:r>
          </w:p>
        </w:tc>
        <w:tc>
          <w:tcPr>
            <w:tcW w:w="1097"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0.34</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230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1"/>
                <w:szCs w:val="11"/>
                <w:lang w:eastAsia="zh-CN"/>
              </w:rPr>
            </w:pPr>
            <w:r>
              <w:rPr>
                <w:rFonts w:hint="eastAsia" w:ascii="宋体" w:hAnsi="宋体" w:eastAsia="宋体" w:cs="宋体"/>
                <w:i w:val="0"/>
                <w:color w:val="auto"/>
                <w:kern w:val="0"/>
                <w:sz w:val="16"/>
                <w:szCs w:val="16"/>
                <w:u w:val="none"/>
                <w:lang w:val="en-US" w:eastAsia="zh-CN" w:bidi="ar-SA"/>
              </w:rPr>
              <w:t>需要上级专项资金的支持。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佛冈县民安中学</w:t>
            </w:r>
          </w:p>
        </w:tc>
        <w:tc>
          <w:tcPr>
            <w:tcW w:w="67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乡镇</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公办</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初中</w:t>
            </w:r>
          </w:p>
        </w:tc>
        <w:tc>
          <w:tcPr>
            <w:tcW w:w="87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改扩建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450</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450</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2023年12月</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1576</w:t>
            </w:r>
          </w:p>
        </w:tc>
        <w:tc>
          <w:tcPr>
            <w:tcW w:w="1097"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0.6</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2925</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480"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9</w:t>
            </w:r>
          </w:p>
        </w:tc>
        <w:tc>
          <w:tcPr>
            <w:tcW w:w="198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highlight w:val="none"/>
                <w:lang w:eastAsia="zh-CN"/>
              </w:rPr>
            </w:pPr>
            <w:r>
              <w:rPr>
                <w:rFonts w:hint="eastAsia" w:ascii="宋体" w:hAnsi="宋体" w:eastAsia="宋体" w:cs="宋体"/>
                <w:i w:val="0"/>
                <w:color w:val="auto"/>
                <w:kern w:val="0"/>
                <w:sz w:val="20"/>
                <w:szCs w:val="20"/>
                <w:highlight w:val="none"/>
                <w:u w:val="none"/>
                <w:lang w:val="en-US" w:eastAsia="zh-CN" w:bidi="ar-SA"/>
              </w:rPr>
              <w:t>佛冈县四九中学</w:t>
            </w:r>
          </w:p>
        </w:tc>
        <w:tc>
          <w:tcPr>
            <w:tcW w:w="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highlight w:val="none"/>
                <w:lang w:eastAsia="zh-CN"/>
              </w:rPr>
            </w:pPr>
            <w:r>
              <w:rPr>
                <w:rFonts w:hint="eastAsia" w:ascii="宋体" w:hAnsi="宋体" w:eastAsia="宋体" w:cs="宋体"/>
                <w:i w:val="0"/>
                <w:color w:val="auto"/>
                <w:kern w:val="0"/>
                <w:sz w:val="18"/>
                <w:szCs w:val="18"/>
                <w:highlight w:val="none"/>
                <w:u w:val="none"/>
                <w:lang w:val="en-US" w:eastAsia="zh-CN" w:bidi="ar-SA"/>
              </w:rPr>
              <w:t>乡镇</w:t>
            </w:r>
          </w:p>
        </w:tc>
        <w:tc>
          <w:tcPr>
            <w:tcW w:w="61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highlight w:val="none"/>
                <w:lang w:eastAsia="zh-CN"/>
              </w:rPr>
            </w:pPr>
            <w:r>
              <w:rPr>
                <w:rFonts w:hint="eastAsia" w:ascii="宋体" w:hAnsi="宋体" w:eastAsia="宋体" w:cs="宋体"/>
                <w:i w:val="0"/>
                <w:color w:val="auto"/>
                <w:kern w:val="0"/>
                <w:sz w:val="18"/>
                <w:szCs w:val="18"/>
                <w:highlight w:val="none"/>
                <w:u w:val="none"/>
                <w:lang w:val="en-US" w:eastAsia="zh-CN" w:bidi="ar-SA"/>
              </w:rPr>
              <w:t>公办</w:t>
            </w:r>
          </w:p>
        </w:tc>
        <w:tc>
          <w:tcPr>
            <w:tcW w:w="6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highlight w:val="none"/>
                <w:lang w:eastAsia="zh-CN"/>
              </w:rPr>
            </w:pPr>
            <w:r>
              <w:rPr>
                <w:rFonts w:hint="eastAsia" w:ascii="宋体" w:hAnsi="宋体" w:eastAsia="宋体" w:cs="宋体"/>
                <w:i w:val="0"/>
                <w:color w:val="auto"/>
                <w:kern w:val="0"/>
                <w:sz w:val="18"/>
                <w:szCs w:val="18"/>
                <w:highlight w:val="none"/>
                <w:u w:val="none"/>
                <w:lang w:val="en-US" w:eastAsia="zh-CN" w:bidi="ar-SA"/>
              </w:rPr>
              <w:t>初中</w:t>
            </w:r>
          </w:p>
        </w:tc>
        <w:tc>
          <w:tcPr>
            <w:tcW w:w="87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highlight w:val="none"/>
                <w:lang w:eastAsia="zh-CN"/>
              </w:rPr>
            </w:pPr>
            <w:r>
              <w:rPr>
                <w:rFonts w:hint="eastAsia" w:ascii="宋体" w:hAnsi="宋体" w:eastAsia="宋体" w:cs="宋体"/>
                <w:i w:val="0"/>
                <w:color w:val="auto"/>
                <w:kern w:val="0"/>
                <w:sz w:val="18"/>
                <w:szCs w:val="18"/>
                <w:highlight w:val="none"/>
                <w:u w:val="none"/>
                <w:lang w:val="en-US" w:eastAsia="zh-CN" w:bidi="ar-SA"/>
              </w:rPr>
              <w:t>改扩建</w:t>
            </w:r>
          </w:p>
        </w:tc>
        <w:tc>
          <w:tcPr>
            <w:tcW w:w="85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highlight w:val="none"/>
                <w:lang w:eastAsia="zh-CN"/>
              </w:rPr>
            </w:pPr>
            <w:r>
              <w:rPr>
                <w:rFonts w:hint="eastAsia" w:ascii="宋体" w:hAnsi="宋体" w:eastAsia="宋体" w:cs="宋体"/>
                <w:i w:val="0"/>
                <w:color w:val="auto"/>
                <w:kern w:val="0"/>
                <w:sz w:val="20"/>
                <w:szCs w:val="20"/>
                <w:highlight w:val="none"/>
                <w:u w:val="none"/>
                <w:lang w:val="en-US" w:eastAsia="zh-CN" w:bidi="ar-SA"/>
              </w:rPr>
              <w:t>450</w:t>
            </w:r>
          </w:p>
        </w:tc>
        <w:tc>
          <w:tcPr>
            <w:tcW w:w="695"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16"/>
                <w:szCs w:val="16"/>
                <w:highlight w:val="none"/>
                <w:lang w:eastAsia="zh-CN"/>
              </w:rPr>
            </w:pPr>
          </w:p>
        </w:tc>
        <w:tc>
          <w:tcPr>
            <w:tcW w:w="630"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16"/>
                <w:szCs w:val="16"/>
                <w:highlight w:val="none"/>
                <w:lang w:eastAsia="zh-CN"/>
              </w:rPr>
            </w:pPr>
          </w:p>
        </w:tc>
        <w:tc>
          <w:tcPr>
            <w:tcW w:w="59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highlight w:val="none"/>
                <w:lang w:eastAsia="zh-CN"/>
              </w:rPr>
            </w:pPr>
            <w:r>
              <w:rPr>
                <w:rFonts w:hint="eastAsia" w:ascii="宋体" w:hAnsi="宋体" w:eastAsia="宋体" w:cs="宋体"/>
                <w:i w:val="0"/>
                <w:color w:val="auto"/>
                <w:kern w:val="0"/>
                <w:sz w:val="20"/>
                <w:szCs w:val="20"/>
                <w:highlight w:val="none"/>
                <w:u w:val="none"/>
                <w:lang w:val="en-US" w:eastAsia="zh-CN" w:bidi="ar-SA"/>
              </w:rPr>
              <w:t>450</w:t>
            </w:r>
          </w:p>
        </w:tc>
        <w:tc>
          <w:tcPr>
            <w:tcW w:w="63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4"/>
                <w:szCs w:val="4"/>
                <w:highlight w:val="none"/>
                <w:lang w:eastAsia="zh-CN"/>
              </w:rPr>
            </w:pPr>
            <w:r>
              <w:rPr>
                <w:rFonts w:hint="eastAsia" w:ascii="宋体" w:hAnsi="宋体" w:eastAsia="宋体" w:cs="宋体"/>
                <w:i w:val="0"/>
                <w:color w:val="auto"/>
                <w:kern w:val="0"/>
                <w:sz w:val="18"/>
                <w:szCs w:val="18"/>
                <w:highlight w:val="none"/>
                <w:u w:val="none"/>
                <w:lang w:val="en-US" w:eastAsia="zh-CN" w:bidi="ar-SA"/>
              </w:rPr>
              <w:t>202</w:t>
            </w:r>
            <w:r>
              <w:rPr>
                <w:rFonts w:hint="eastAsia" w:ascii="宋体" w:hAnsi="宋体" w:cs="宋体"/>
                <w:i w:val="0"/>
                <w:color w:val="auto"/>
                <w:kern w:val="0"/>
                <w:sz w:val="18"/>
                <w:szCs w:val="18"/>
                <w:highlight w:val="none"/>
                <w:u w:val="none"/>
                <w:lang w:val="en-US" w:eastAsia="zh-CN" w:bidi="ar-SA"/>
              </w:rPr>
              <w:t>4</w:t>
            </w:r>
            <w:r>
              <w:rPr>
                <w:rFonts w:hint="eastAsia" w:ascii="宋体" w:hAnsi="宋体" w:eastAsia="宋体" w:cs="宋体"/>
                <w:i w:val="0"/>
                <w:color w:val="auto"/>
                <w:kern w:val="0"/>
                <w:sz w:val="18"/>
                <w:szCs w:val="18"/>
                <w:highlight w:val="none"/>
                <w:u w:val="none"/>
                <w:lang w:val="en-US" w:eastAsia="zh-CN" w:bidi="ar-SA"/>
              </w:rPr>
              <w:t>年</w:t>
            </w:r>
            <w:r>
              <w:rPr>
                <w:rFonts w:hint="eastAsia" w:ascii="宋体" w:hAnsi="宋体" w:cs="宋体"/>
                <w:i w:val="0"/>
                <w:color w:val="auto"/>
                <w:kern w:val="0"/>
                <w:sz w:val="18"/>
                <w:szCs w:val="18"/>
                <w:highlight w:val="none"/>
                <w:u w:val="none"/>
                <w:lang w:val="en-US" w:eastAsia="zh-CN" w:bidi="ar-SA"/>
              </w:rPr>
              <w:t>12</w:t>
            </w:r>
            <w:r>
              <w:rPr>
                <w:rFonts w:hint="eastAsia" w:ascii="宋体" w:hAnsi="宋体" w:eastAsia="宋体" w:cs="宋体"/>
                <w:i w:val="0"/>
                <w:color w:val="auto"/>
                <w:kern w:val="0"/>
                <w:sz w:val="18"/>
                <w:szCs w:val="18"/>
                <w:highlight w:val="none"/>
                <w:u w:val="none"/>
                <w:lang w:val="en-US" w:eastAsia="zh-CN" w:bidi="ar-SA"/>
              </w:rPr>
              <w:t>月</w:t>
            </w:r>
          </w:p>
        </w:tc>
        <w:tc>
          <w:tcPr>
            <w:tcW w:w="130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highlight w:val="none"/>
                <w:lang w:val="en-US" w:eastAsia="zh-CN"/>
              </w:rPr>
            </w:pPr>
            <w:r>
              <w:rPr>
                <w:rFonts w:hint="eastAsia" w:ascii="宋体" w:hAnsi="宋体" w:eastAsia="宋体" w:cs="宋体"/>
                <w:i w:val="0"/>
                <w:color w:val="auto"/>
                <w:kern w:val="0"/>
                <w:sz w:val="20"/>
                <w:szCs w:val="20"/>
                <w:highlight w:val="none"/>
                <w:u w:val="none"/>
                <w:lang w:val="en-US" w:eastAsia="zh-CN" w:bidi="ar-SA"/>
              </w:rPr>
              <w:t>1264</w:t>
            </w:r>
          </w:p>
        </w:tc>
        <w:tc>
          <w:tcPr>
            <w:tcW w:w="1097" w:type="dxa"/>
            <w:tcBorders>
              <w:top w:val="single" w:color="000000" w:sz="4" w:space="0"/>
              <w:left w:val="single" w:color="000000" w:sz="4" w:space="0"/>
              <w:bottom w:val="single" w:color="auto"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0.45</w:t>
            </w:r>
          </w:p>
        </w:tc>
        <w:tc>
          <w:tcPr>
            <w:tcW w:w="109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2925</w:t>
            </w:r>
          </w:p>
        </w:tc>
        <w:tc>
          <w:tcPr>
            <w:tcW w:w="123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11"/>
                <w:szCs w:val="1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480"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10</w:t>
            </w:r>
          </w:p>
        </w:tc>
        <w:tc>
          <w:tcPr>
            <w:tcW w:w="198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highlight w:val="none"/>
                <w:lang w:eastAsia="zh-CN"/>
              </w:rPr>
            </w:pPr>
            <w:r>
              <w:rPr>
                <w:rFonts w:hint="eastAsia" w:ascii="宋体" w:hAnsi="宋体" w:eastAsia="宋体" w:cs="宋体"/>
                <w:i w:val="0"/>
                <w:color w:val="auto"/>
                <w:kern w:val="0"/>
                <w:sz w:val="20"/>
                <w:szCs w:val="20"/>
                <w:highlight w:val="none"/>
                <w:u w:val="none"/>
                <w:lang w:val="en-US" w:eastAsia="zh-CN" w:bidi="ar-SA"/>
              </w:rPr>
              <w:t>佛冈县潖江中学</w:t>
            </w:r>
          </w:p>
        </w:tc>
        <w:tc>
          <w:tcPr>
            <w:tcW w:w="67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highlight w:val="none"/>
                <w:lang w:eastAsia="zh-CN"/>
              </w:rPr>
            </w:pPr>
            <w:r>
              <w:rPr>
                <w:rFonts w:hint="eastAsia" w:ascii="宋体" w:hAnsi="宋体" w:eastAsia="宋体" w:cs="宋体"/>
                <w:i w:val="0"/>
                <w:color w:val="auto"/>
                <w:kern w:val="0"/>
                <w:sz w:val="18"/>
                <w:szCs w:val="18"/>
                <w:highlight w:val="none"/>
                <w:u w:val="none"/>
                <w:lang w:val="en-US" w:eastAsia="zh-CN" w:bidi="ar-SA"/>
              </w:rPr>
              <w:t>乡镇</w:t>
            </w:r>
          </w:p>
        </w:tc>
        <w:tc>
          <w:tcPr>
            <w:tcW w:w="61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highlight w:val="none"/>
                <w:lang w:eastAsia="zh-CN"/>
              </w:rPr>
            </w:pPr>
            <w:r>
              <w:rPr>
                <w:rFonts w:hint="eastAsia" w:ascii="宋体" w:hAnsi="宋体" w:eastAsia="宋体" w:cs="宋体"/>
                <w:i w:val="0"/>
                <w:color w:val="auto"/>
                <w:kern w:val="0"/>
                <w:sz w:val="18"/>
                <w:szCs w:val="18"/>
                <w:highlight w:val="none"/>
                <w:u w:val="none"/>
                <w:lang w:val="en-US" w:eastAsia="zh-CN" w:bidi="ar-SA"/>
              </w:rPr>
              <w:t>公办</w:t>
            </w:r>
          </w:p>
        </w:tc>
        <w:tc>
          <w:tcPr>
            <w:tcW w:w="67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highlight w:val="none"/>
                <w:lang w:eastAsia="zh-CN"/>
              </w:rPr>
            </w:pPr>
            <w:r>
              <w:rPr>
                <w:rFonts w:hint="eastAsia" w:ascii="宋体" w:hAnsi="宋体" w:eastAsia="宋体" w:cs="宋体"/>
                <w:i w:val="0"/>
                <w:color w:val="auto"/>
                <w:kern w:val="0"/>
                <w:sz w:val="18"/>
                <w:szCs w:val="18"/>
                <w:highlight w:val="none"/>
                <w:u w:val="none"/>
                <w:lang w:val="en-US" w:eastAsia="zh-CN" w:bidi="ar-SA"/>
              </w:rPr>
              <w:t>初中</w:t>
            </w:r>
          </w:p>
        </w:tc>
        <w:tc>
          <w:tcPr>
            <w:tcW w:w="87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5"/>
                <w:szCs w:val="15"/>
                <w:highlight w:val="none"/>
                <w:lang w:eastAsia="zh-CN"/>
              </w:rPr>
            </w:pPr>
            <w:r>
              <w:rPr>
                <w:rFonts w:hint="eastAsia" w:ascii="宋体" w:hAnsi="宋体" w:eastAsia="宋体" w:cs="宋体"/>
                <w:i w:val="0"/>
                <w:color w:val="auto"/>
                <w:kern w:val="0"/>
                <w:sz w:val="18"/>
                <w:szCs w:val="18"/>
                <w:highlight w:val="none"/>
                <w:u w:val="none"/>
                <w:lang w:val="en-US" w:eastAsia="zh-CN" w:bidi="ar-SA"/>
              </w:rPr>
              <w:t>改扩建</w:t>
            </w:r>
          </w:p>
        </w:tc>
        <w:tc>
          <w:tcPr>
            <w:tcW w:w="85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highlight w:val="none"/>
                <w:lang w:eastAsia="zh-CN"/>
              </w:rPr>
            </w:pPr>
            <w:r>
              <w:rPr>
                <w:rFonts w:hint="eastAsia" w:ascii="宋体" w:hAnsi="宋体" w:eastAsia="宋体" w:cs="宋体"/>
                <w:i w:val="0"/>
                <w:color w:val="auto"/>
                <w:kern w:val="0"/>
                <w:sz w:val="20"/>
                <w:szCs w:val="20"/>
                <w:highlight w:val="none"/>
                <w:u w:val="none"/>
                <w:lang w:val="en-US" w:eastAsia="zh-CN" w:bidi="ar-SA"/>
              </w:rPr>
              <w:t>1000</w:t>
            </w:r>
          </w:p>
        </w:tc>
        <w:tc>
          <w:tcPr>
            <w:tcW w:w="695"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16"/>
                <w:szCs w:val="16"/>
                <w:highlight w:val="none"/>
                <w:lang w:eastAsia="zh-CN"/>
              </w:rPr>
            </w:pPr>
          </w:p>
        </w:tc>
        <w:tc>
          <w:tcPr>
            <w:tcW w:w="630"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16"/>
                <w:szCs w:val="16"/>
                <w:highlight w:val="none"/>
                <w:lang w:eastAsia="zh-CN"/>
              </w:rPr>
            </w:pPr>
          </w:p>
        </w:tc>
        <w:tc>
          <w:tcPr>
            <w:tcW w:w="59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6"/>
                <w:szCs w:val="16"/>
                <w:highlight w:val="none"/>
                <w:lang w:eastAsia="zh-CN"/>
              </w:rPr>
            </w:pPr>
            <w:r>
              <w:rPr>
                <w:rFonts w:hint="eastAsia" w:ascii="宋体" w:hAnsi="宋体" w:eastAsia="宋体" w:cs="宋体"/>
                <w:i w:val="0"/>
                <w:color w:val="auto"/>
                <w:kern w:val="0"/>
                <w:sz w:val="18"/>
                <w:szCs w:val="18"/>
                <w:highlight w:val="none"/>
                <w:u w:val="none"/>
                <w:lang w:val="en-US" w:eastAsia="zh-CN" w:bidi="ar-SA"/>
              </w:rPr>
              <w:t>1000</w:t>
            </w:r>
          </w:p>
        </w:tc>
        <w:tc>
          <w:tcPr>
            <w:tcW w:w="630"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p>
        </w:tc>
        <w:tc>
          <w:tcPr>
            <w:tcW w:w="125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4"/>
                <w:szCs w:val="4"/>
                <w:highlight w:val="none"/>
                <w:lang w:eastAsia="zh-CN"/>
              </w:rPr>
            </w:pPr>
            <w:r>
              <w:rPr>
                <w:rFonts w:hint="eastAsia" w:ascii="宋体" w:hAnsi="宋体" w:eastAsia="宋体" w:cs="宋体"/>
                <w:i w:val="0"/>
                <w:color w:val="auto"/>
                <w:kern w:val="0"/>
                <w:sz w:val="18"/>
                <w:szCs w:val="18"/>
                <w:highlight w:val="none"/>
                <w:u w:val="none"/>
                <w:lang w:val="en-US" w:eastAsia="zh-CN" w:bidi="ar-SA"/>
              </w:rPr>
              <w:t>202</w:t>
            </w:r>
            <w:r>
              <w:rPr>
                <w:rFonts w:hint="eastAsia" w:ascii="宋体" w:hAnsi="宋体" w:cs="宋体"/>
                <w:i w:val="0"/>
                <w:color w:val="auto"/>
                <w:kern w:val="0"/>
                <w:sz w:val="18"/>
                <w:szCs w:val="18"/>
                <w:highlight w:val="none"/>
                <w:u w:val="none"/>
                <w:lang w:val="en-US" w:eastAsia="zh-CN" w:bidi="ar-SA"/>
              </w:rPr>
              <w:t>5</w:t>
            </w:r>
            <w:r>
              <w:rPr>
                <w:rFonts w:hint="eastAsia" w:ascii="宋体" w:hAnsi="宋体" w:eastAsia="宋体" w:cs="宋体"/>
                <w:i w:val="0"/>
                <w:color w:val="auto"/>
                <w:kern w:val="0"/>
                <w:sz w:val="18"/>
                <w:szCs w:val="18"/>
                <w:highlight w:val="none"/>
                <w:u w:val="none"/>
                <w:lang w:val="en-US" w:eastAsia="zh-CN" w:bidi="ar-SA"/>
              </w:rPr>
              <w:t>年12月</w:t>
            </w:r>
          </w:p>
        </w:tc>
        <w:tc>
          <w:tcPr>
            <w:tcW w:w="130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highlight w:val="none"/>
                <w:lang w:eastAsia="zh-CN"/>
              </w:rPr>
            </w:pPr>
            <w:r>
              <w:rPr>
                <w:rFonts w:hint="eastAsia" w:ascii="宋体" w:hAnsi="宋体" w:eastAsia="宋体" w:cs="宋体"/>
                <w:i w:val="0"/>
                <w:color w:val="auto"/>
                <w:kern w:val="0"/>
                <w:sz w:val="20"/>
                <w:szCs w:val="20"/>
                <w:highlight w:val="none"/>
                <w:u w:val="none"/>
                <w:lang w:val="en-US" w:eastAsia="zh-CN" w:bidi="ar-SA"/>
              </w:rPr>
              <w:t>3024</w:t>
            </w:r>
          </w:p>
        </w:tc>
        <w:tc>
          <w:tcPr>
            <w:tcW w:w="1097" w:type="dxa"/>
            <w:tcBorders>
              <w:top w:val="single" w:color="auto" w:sz="4" w:space="0"/>
              <w:left w:val="single" w:color="000000" w:sz="4" w:space="0"/>
              <w:bottom w:val="single" w:color="auto"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1.13</w:t>
            </w:r>
          </w:p>
        </w:tc>
        <w:tc>
          <w:tcPr>
            <w:tcW w:w="109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10"/>
                <w:szCs w:val="10"/>
                <w:lang w:eastAsia="zh-CN"/>
              </w:rPr>
            </w:pPr>
            <w:r>
              <w:rPr>
                <w:rFonts w:hint="eastAsia" w:ascii="宋体" w:hAnsi="宋体" w:eastAsia="宋体" w:cs="宋体"/>
                <w:i w:val="0"/>
                <w:color w:val="auto"/>
                <w:kern w:val="0"/>
                <w:sz w:val="20"/>
                <w:szCs w:val="20"/>
                <w:u w:val="none"/>
                <w:lang w:val="en-US" w:eastAsia="zh-CN" w:bidi="ar-SA"/>
              </w:rPr>
              <w:t>6500</w:t>
            </w:r>
          </w:p>
        </w:tc>
        <w:tc>
          <w:tcPr>
            <w:tcW w:w="1230"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11"/>
                <w:szCs w:val="1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480" w:type="dxa"/>
            <w:vMerge w:val="restart"/>
            <w:tcBorders>
              <w:top w:val="single" w:color="auto" w:sz="4" w:space="0"/>
              <w:left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序号</w:t>
            </w:r>
          </w:p>
        </w:tc>
        <w:tc>
          <w:tcPr>
            <w:tcW w:w="1980" w:type="dxa"/>
            <w:vMerge w:val="restart"/>
            <w:tcBorders>
              <w:top w:val="single" w:color="auto" w:sz="4" w:space="0"/>
              <w:left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拟新建改（扩）学校名称</w:t>
            </w:r>
          </w:p>
        </w:tc>
        <w:tc>
          <w:tcPr>
            <w:tcW w:w="675" w:type="dxa"/>
            <w:vMerge w:val="restart"/>
            <w:tcBorders>
              <w:top w:val="single" w:color="auto" w:sz="4" w:space="0"/>
              <w:left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 xml:space="preserve">所属 </w:t>
            </w:r>
            <w:r>
              <w:rPr>
                <w:rFonts w:hint="eastAsia" w:ascii="仿宋_GB2312" w:hAnsi="仿宋_GB2312" w:eastAsia="仿宋_GB2312" w:cs="仿宋_GB2312"/>
                <w:b/>
                <w:bCs/>
                <w:color w:val="auto"/>
                <w:sz w:val="21"/>
                <w:szCs w:val="21"/>
                <w:lang w:eastAsia="zh-CN"/>
              </w:rPr>
              <w:br/>
            </w:r>
            <w:r>
              <w:rPr>
                <w:rFonts w:hint="eastAsia" w:ascii="仿宋_GB2312" w:hAnsi="仿宋_GB2312" w:eastAsia="仿宋_GB2312" w:cs="仿宋_GB2312"/>
                <w:b/>
                <w:bCs/>
                <w:color w:val="auto"/>
                <w:sz w:val="21"/>
                <w:szCs w:val="21"/>
                <w:lang w:eastAsia="zh-CN"/>
              </w:rPr>
              <w:t>区域</w:t>
            </w:r>
          </w:p>
        </w:tc>
        <w:tc>
          <w:tcPr>
            <w:tcW w:w="615" w:type="dxa"/>
            <w:vMerge w:val="restart"/>
            <w:tcBorders>
              <w:top w:val="single" w:color="auto" w:sz="4" w:space="0"/>
              <w:left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性质</w:t>
            </w:r>
          </w:p>
        </w:tc>
        <w:tc>
          <w:tcPr>
            <w:tcW w:w="675" w:type="dxa"/>
            <w:vMerge w:val="restart"/>
            <w:tcBorders>
              <w:top w:val="single" w:color="auto" w:sz="4" w:space="0"/>
              <w:left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 xml:space="preserve">办学 </w:t>
            </w:r>
            <w:r>
              <w:rPr>
                <w:rFonts w:hint="eastAsia" w:ascii="仿宋_GB2312" w:hAnsi="仿宋_GB2312" w:eastAsia="仿宋_GB2312" w:cs="仿宋_GB2312"/>
                <w:b/>
                <w:bCs/>
                <w:color w:val="auto"/>
                <w:sz w:val="21"/>
                <w:szCs w:val="21"/>
                <w:lang w:eastAsia="zh-CN"/>
              </w:rPr>
              <w:br/>
            </w:r>
            <w:r>
              <w:rPr>
                <w:rFonts w:hint="eastAsia" w:ascii="仿宋_GB2312" w:hAnsi="仿宋_GB2312" w:eastAsia="仿宋_GB2312" w:cs="仿宋_GB2312"/>
                <w:b/>
                <w:bCs/>
                <w:color w:val="auto"/>
                <w:sz w:val="21"/>
                <w:szCs w:val="21"/>
                <w:lang w:eastAsia="zh-CN"/>
              </w:rPr>
              <w:t>层次</w:t>
            </w:r>
          </w:p>
        </w:tc>
        <w:tc>
          <w:tcPr>
            <w:tcW w:w="870" w:type="dxa"/>
            <w:vMerge w:val="restart"/>
            <w:tcBorders>
              <w:top w:val="single" w:color="auto" w:sz="4" w:space="0"/>
              <w:left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建设</w:t>
            </w:r>
            <w:r>
              <w:rPr>
                <w:rFonts w:hint="eastAsia" w:ascii="仿宋_GB2312" w:hAnsi="仿宋_GB2312" w:eastAsia="仿宋_GB2312" w:cs="仿宋_GB2312"/>
                <w:b/>
                <w:bCs/>
                <w:color w:val="auto"/>
                <w:sz w:val="21"/>
                <w:szCs w:val="21"/>
                <w:lang w:val="en-US" w:eastAsia="zh-CN"/>
              </w:rPr>
              <w:t xml:space="preserve">  </w:t>
            </w:r>
            <w:r>
              <w:rPr>
                <w:rFonts w:hint="eastAsia" w:ascii="仿宋_GB2312" w:hAnsi="仿宋_GB2312" w:eastAsia="仿宋_GB2312" w:cs="仿宋_GB2312"/>
                <w:b/>
                <w:bCs/>
                <w:color w:val="auto"/>
                <w:sz w:val="21"/>
                <w:szCs w:val="21"/>
                <w:lang w:eastAsia="zh-CN"/>
              </w:rPr>
              <w:t>类型</w:t>
            </w:r>
          </w:p>
        </w:tc>
        <w:tc>
          <w:tcPr>
            <w:tcW w:w="3400" w:type="dxa"/>
            <w:gridSpan w:val="8"/>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计划新增学位数（个）</w:t>
            </w:r>
          </w:p>
        </w:tc>
        <w:tc>
          <w:tcPr>
            <w:tcW w:w="1250" w:type="dxa"/>
            <w:vMerge w:val="restart"/>
            <w:tcBorders>
              <w:top w:val="single" w:color="auto" w:sz="4" w:space="0"/>
              <w:left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 xml:space="preserve">计划完成  </w:t>
            </w:r>
            <w:r>
              <w:rPr>
                <w:rFonts w:hint="eastAsia" w:ascii="仿宋_GB2312" w:hAnsi="仿宋_GB2312" w:eastAsia="仿宋_GB2312" w:cs="仿宋_GB2312"/>
                <w:b/>
                <w:bCs/>
                <w:color w:val="auto"/>
                <w:sz w:val="21"/>
                <w:szCs w:val="21"/>
                <w:lang w:eastAsia="zh-CN"/>
              </w:rPr>
              <w:br/>
            </w:r>
            <w:r>
              <w:rPr>
                <w:rFonts w:hint="eastAsia" w:ascii="仿宋_GB2312" w:hAnsi="仿宋_GB2312" w:eastAsia="仿宋_GB2312" w:cs="仿宋_GB2312"/>
                <w:b/>
                <w:bCs/>
                <w:color w:val="auto"/>
                <w:sz w:val="21"/>
                <w:szCs w:val="21"/>
                <w:lang w:eastAsia="zh-CN"/>
              </w:rPr>
              <w:t>时间</w:t>
            </w:r>
          </w:p>
        </w:tc>
        <w:tc>
          <w:tcPr>
            <w:tcW w:w="1303" w:type="dxa"/>
            <w:vMerge w:val="restart"/>
            <w:tcBorders>
              <w:top w:val="single" w:color="auto" w:sz="4" w:space="0"/>
              <w:left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建筑面积</w:t>
            </w:r>
            <w:r>
              <w:rPr>
                <w:rFonts w:hint="eastAsia" w:ascii="仿宋_GB2312" w:hAnsi="仿宋_GB2312" w:eastAsia="仿宋_GB2312" w:cs="仿宋_GB2312"/>
                <w:b/>
                <w:bCs/>
                <w:color w:val="auto"/>
                <w:sz w:val="21"/>
                <w:szCs w:val="21"/>
                <w:lang w:val="en-US" w:eastAsia="zh-CN"/>
              </w:rPr>
              <w:t xml:space="preserve"> </w:t>
            </w:r>
            <w:r>
              <w:rPr>
                <w:rFonts w:hint="eastAsia" w:ascii="仿宋_GB2312" w:hAnsi="仿宋_GB2312" w:eastAsia="仿宋_GB2312" w:cs="仿宋_GB2312"/>
                <w:b/>
                <w:bCs/>
                <w:color w:val="auto"/>
                <w:sz w:val="21"/>
                <w:szCs w:val="21"/>
                <w:lang w:eastAsia="zh-CN"/>
              </w:rPr>
              <w:t>（平方米）</w:t>
            </w:r>
          </w:p>
        </w:tc>
        <w:tc>
          <w:tcPr>
            <w:tcW w:w="1097" w:type="dxa"/>
            <w:vMerge w:val="restart"/>
            <w:tcBorders>
              <w:top w:val="single" w:color="auto"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用地需求（亩）</w:t>
            </w:r>
          </w:p>
        </w:tc>
        <w:tc>
          <w:tcPr>
            <w:tcW w:w="1095" w:type="dxa"/>
            <w:vMerge w:val="restart"/>
            <w:tcBorders>
              <w:top w:val="single" w:color="auto" w:sz="4" w:space="0"/>
              <w:left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资金测算（万元）</w:t>
            </w:r>
          </w:p>
        </w:tc>
        <w:tc>
          <w:tcPr>
            <w:tcW w:w="1230" w:type="dxa"/>
            <w:vMerge w:val="restart"/>
            <w:tcBorders>
              <w:top w:val="single" w:color="auto" w:sz="4" w:space="0"/>
              <w:left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bCs/>
                <w:color w:val="auto"/>
                <w:sz w:val="21"/>
                <w:szCs w:val="21"/>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trPr>
        <w:tc>
          <w:tcPr>
            <w:tcW w:w="480"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p>
        </w:tc>
        <w:tc>
          <w:tcPr>
            <w:tcW w:w="1980" w:type="dxa"/>
            <w:vMerge w:val="continue"/>
            <w:tcBorders>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p>
        </w:tc>
        <w:tc>
          <w:tcPr>
            <w:tcW w:w="675" w:type="dxa"/>
            <w:vMerge w:val="continue"/>
            <w:tcBorders>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p>
        </w:tc>
        <w:tc>
          <w:tcPr>
            <w:tcW w:w="615" w:type="dxa"/>
            <w:vMerge w:val="continue"/>
            <w:tcBorders>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p>
        </w:tc>
        <w:tc>
          <w:tcPr>
            <w:tcW w:w="675" w:type="dxa"/>
            <w:vMerge w:val="continue"/>
            <w:tcBorders>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p>
        </w:tc>
        <w:tc>
          <w:tcPr>
            <w:tcW w:w="870" w:type="dxa"/>
            <w:vMerge w:val="continue"/>
            <w:tcBorders>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p>
        </w:tc>
        <w:tc>
          <w:tcPr>
            <w:tcW w:w="855"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合计</w:t>
            </w:r>
          </w:p>
        </w:tc>
        <w:tc>
          <w:tcPr>
            <w:tcW w:w="675"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bCs/>
                <w:color w:val="auto"/>
                <w:sz w:val="21"/>
                <w:szCs w:val="21"/>
                <w:lang w:eastAsia="zh-CN"/>
              </w:rPr>
              <w:t>幼儿园</w:t>
            </w:r>
          </w:p>
        </w:tc>
        <w:tc>
          <w:tcPr>
            <w:tcW w:w="630" w:type="dxa"/>
            <w:gridSpan w:val="2"/>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bCs/>
                <w:color w:val="auto"/>
                <w:sz w:val="21"/>
                <w:szCs w:val="21"/>
                <w:lang w:eastAsia="zh-CN"/>
              </w:rPr>
              <w:t>小学</w:t>
            </w:r>
          </w:p>
        </w:tc>
        <w:tc>
          <w:tcPr>
            <w:tcW w:w="620" w:type="dxa"/>
            <w:gridSpan w:val="3"/>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初中</w:t>
            </w:r>
          </w:p>
        </w:tc>
        <w:tc>
          <w:tcPr>
            <w:tcW w:w="620"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eastAsia="zh-CN"/>
              </w:rPr>
              <w:t>高中</w:t>
            </w:r>
          </w:p>
        </w:tc>
        <w:tc>
          <w:tcPr>
            <w:tcW w:w="1250" w:type="dxa"/>
            <w:vMerge w:val="continue"/>
            <w:tcBorders>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p>
        </w:tc>
        <w:tc>
          <w:tcPr>
            <w:tcW w:w="1303" w:type="dxa"/>
            <w:vMerge w:val="continue"/>
            <w:tcBorders>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p>
        </w:tc>
        <w:tc>
          <w:tcPr>
            <w:tcW w:w="1097" w:type="dxa"/>
            <w:vMerge w:val="continue"/>
            <w:tcBorders>
              <w:bottom w:val="single" w:color="auto"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p>
        </w:tc>
        <w:tc>
          <w:tcPr>
            <w:tcW w:w="1095" w:type="dxa"/>
            <w:vMerge w:val="continue"/>
            <w:tcBorders>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p>
        </w:tc>
        <w:tc>
          <w:tcPr>
            <w:tcW w:w="1230" w:type="dxa"/>
            <w:vMerge w:val="continue"/>
            <w:tcBorders>
              <w:left w:val="single" w:color="000000" w:sz="4" w:space="0"/>
              <w:bottom w:val="single" w:color="auto" w:sz="4" w:space="0"/>
              <w:right w:val="single" w:color="000000" w:sz="4" w:space="0"/>
            </w:tcBorders>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w:t>
            </w:r>
          </w:p>
        </w:tc>
        <w:tc>
          <w:tcPr>
            <w:tcW w:w="1980" w:type="dxa"/>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佛冈县蓓蕾幼儿园</w:t>
            </w:r>
          </w:p>
        </w:tc>
        <w:tc>
          <w:tcPr>
            <w:tcW w:w="675"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县城</w:t>
            </w:r>
          </w:p>
        </w:tc>
        <w:tc>
          <w:tcPr>
            <w:tcW w:w="61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公办</w:t>
            </w:r>
          </w:p>
        </w:tc>
        <w:tc>
          <w:tcPr>
            <w:tcW w:w="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幼儿园</w:t>
            </w:r>
          </w:p>
        </w:tc>
        <w:tc>
          <w:tcPr>
            <w:tcW w:w="87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改扩建</w:t>
            </w:r>
          </w:p>
        </w:tc>
        <w:tc>
          <w:tcPr>
            <w:tcW w:w="85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180</w:t>
            </w:r>
          </w:p>
        </w:tc>
        <w:tc>
          <w:tcPr>
            <w:tcW w:w="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180</w:t>
            </w:r>
          </w:p>
        </w:tc>
        <w:tc>
          <w:tcPr>
            <w:tcW w:w="630"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5"/>
                <w:szCs w:val="15"/>
                <w:highlight w:val="none"/>
                <w:lang w:eastAsia="zh-CN"/>
              </w:rPr>
            </w:pPr>
          </w:p>
        </w:tc>
        <w:tc>
          <w:tcPr>
            <w:tcW w:w="620"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5"/>
                <w:szCs w:val="15"/>
                <w:highlight w:val="none"/>
                <w:lang w:eastAsia="zh-CN"/>
              </w:rPr>
            </w:pPr>
          </w:p>
        </w:tc>
        <w:tc>
          <w:tcPr>
            <w:tcW w:w="62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15"/>
                <w:szCs w:val="15"/>
                <w:highlight w:val="none"/>
                <w:lang w:eastAsia="zh-CN"/>
              </w:rPr>
            </w:pPr>
          </w:p>
        </w:tc>
        <w:tc>
          <w:tcPr>
            <w:tcW w:w="125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2025年12月</w:t>
            </w:r>
          </w:p>
        </w:tc>
        <w:tc>
          <w:tcPr>
            <w:tcW w:w="130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1200</w:t>
            </w:r>
          </w:p>
        </w:tc>
        <w:tc>
          <w:tcPr>
            <w:tcW w:w="1097" w:type="dxa"/>
            <w:tcBorders>
              <w:top w:val="single" w:color="auto" w:sz="4" w:space="0"/>
              <w:bottom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0.45</w:t>
            </w:r>
          </w:p>
        </w:tc>
        <w:tc>
          <w:tcPr>
            <w:tcW w:w="109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440</w:t>
            </w:r>
          </w:p>
        </w:tc>
        <w:tc>
          <w:tcPr>
            <w:tcW w:w="123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5"/>
                <w:szCs w:val="15"/>
                <w:u w:val="none"/>
                <w:lang w:val="en-US" w:eastAsia="zh-CN" w:bidi="ar-SA"/>
              </w:rPr>
            </w:pPr>
            <w:r>
              <w:rPr>
                <w:rFonts w:hint="eastAsia" w:ascii="宋体" w:hAnsi="宋体" w:eastAsia="宋体" w:cs="宋体"/>
                <w:i w:val="0"/>
                <w:color w:val="auto"/>
                <w:kern w:val="0"/>
                <w:sz w:val="15"/>
                <w:szCs w:val="15"/>
                <w:u w:val="none"/>
                <w:lang w:val="en-US" w:eastAsia="zh-CN" w:bidi="ar-SA"/>
              </w:rPr>
              <w:t>需要上级专项资金的支持。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12</w:t>
            </w:r>
          </w:p>
        </w:tc>
        <w:tc>
          <w:tcPr>
            <w:tcW w:w="1980" w:type="dxa"/>
            <w:tcBorders>
              <w:top w:val="single" w:color="auto" w:sz="4" w:space="0"/>
              <w:left w:val="single" w:color="000000" w:sz="4" w:space="0"/>
              <w:bottom w:val="single" w:color="auto" w:sz="4" w:space="0"/>
              <w:right w:val="single" w:color="000000" w:sz="4" w:space="0"/>
            </w:tcBorders>
            <w:shd w:val="solid" w:color="FFFFFF" w:fill="auto"/>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佛冈县职业技术学校及全县校园配套设施工程</w:t>
            </w:r>
          </w:p>
        </w:tc>
        <w:tc>
          <w:tcPr>
            <w:tcW w:w="67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县城</w:t>
            </w:r>
          </w:p>
        </w:tc>
        <w:tc>
          <w:tcPr>
            <w:tcW w:w="61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公办</w:t>
            </w:r>
          </w:p>
        </w:tc>
        <w:tc>
          <w:tcPr>
            <w:tcW w:w="67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i w:val="0"/>
                <w:color w:val="auto"/>
                <w:kern w:val="0"/>
                <w:sz w:val="18"/>
                <w:szCs w:val="18"/>
                <w:u w:val="none"/>
                <w:lang w:val="en-US" w:eastAsia="zh-CN" w:bidi="ar-SA"/>
              </w:rPr>
            </w:pPr>
            <w:r>
              <w:rPr>
                <w:rFonts w:hint="eastAsia" w:ascii="宋体" w:hAnsi="宋体" w:cs="宋体"/>
                <w:i w:val="0"/>
                <w:color w:val="auto"/>
                <w:kern w:val="0"/>
                <w:sz w:val="18"/>
                <w:szCs w:val="18"/>
                <w:u w:val="none"/>
                <w:lang w:val="en-US" w:eastAsia="zh-CN" w:bidi="ar-SA"/>
              </w:rPr>
              <w:t>高中</w:t>
            </w:r>
          </w:p>
        </w:tc>
        <w:tc>
          <w:tcPr>
            <w:tcW w:w="87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新建</w:t>
            </w:r>
          </w:p>
        </w:tc>
        <w:tc>
          <w:tcPr>
            <w:tcW w:w="85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i w:val="0"/>
                <w:color w:val="auto"/>
                <w:kern w:val="0"/>
                <w:sz w:val="18"/>
                <w:szCs w:val="18"/>
                <w:u w:val="none"/>
                <w:lang w:val="en-US" w:eastAsia="zh-CN" w:bidi="ar-SA"/>
              </w:rPr>
            </w:pPr>
            <w:r>
              <w:rPr>
                <w:rFonts w:hint="eastAsia" w:ascii="宋体" w:hAnsi="宋体" w:cs="宋体"/>
                <w:i w:val="0"/>
                <w:color w:val="auto"/>
                <w:kern w:val="0"/>
                <w:sz w:val="18"/>
                <w:szCs w:val="18"/>
                <w:u w:val="none"/>
                <w:lang w:val="en-US" w:eastAsia="zh-CN" w:bidi="ar-SA"/>
              </w:rPr>
              <w:t>3950</w:t>
            </w:r>
          </w:p>
        </w:tc>
        <w:tc>
          <w:tcPr>
            <w:tcW w:w="67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p>
        </w:tc>
        <w:tc>
          <w:tcPr>
            <w:tcW w:w="630"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p>
        </w:tc>
        <w:tc>
          <w:tcPr>
            <w:tcW w:w="620" w:type="dxa"/>
            <w:gridSpan w:val="3"/>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p>
        </w:tc>
        <w:tc>
          <w:tcPr>
            <w:tcW w:w="62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i w:val="0"/>
                <w:color w:val="auto"/>
                <w:kern w:val="0"/>
                <w:sz w:val="18"/>
                <w:szCs w:val="18"/>
                <w:u w:val="none"/>
                <w:lang w:val="en-US" w:eastAsia="zh-CN" w:bidi="ar-SA"/>
              </w:rPr>
            </w:pPr>
            <w:r>
              <w:rPr>
                <w:rFonts w:hint="eastAsia" w:ascii="宋体" w:hAnsi="宋体" w:cs="宋体"/>
                <w:i w:val="0"/>
                <w:color w:val="auto"/>
                <w:kern w:val="0"/>
                <w:sz w:val="18"/>
                <w:szCs w:val="18"/>
                <w:u w:val="none"/>
                <w:lang w:val="en-US" w:eastAsia="zh-CN" w:bidi="ar-SA"/>
              </w:rPr>
              <w:t>395</w:t>
            </w:r>
            <w:r>
              <w:rPr>
                <w:rFonts w:hint="eastAsia" w:ascii="宋体" w:hAnsi="宋体" w:eastAsia="宋体" w:cs="宋体"/>
                <w:i w:val="0"/>
                <w:color w:val="auto"/>
                <w:kern w:val="0"/>
                <w:sz w:val="18"/>
                <w:szCs w:val="18"/>
                <w:u w:val="none"/>
                <w:lang w:val="en-US" w:eastAsia="zh-CN" w:bidi="ar-SA"/>
              </w:rPr>
              <w:t>0</w:t>
            </w:r>
          </w:p>
        </w:tc>
        <w:tc>
          <w:tcPr>
            <w:tcW w:w="125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u w:val="none"/>
                <w:lang w:val="en-US" w:eastAsia="zh-CN" w:bidi="ar-SA"/>
              </w:rPr>
              <w:t>2025年12月</w:t>
            </w:r>
          </w:p>
        </w:tc>
        <w:tc>
          <w:tcPr>
            <w:tcW w:w="130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i w:val="0"/>
                <w:color w:val="auto"/>
                <w:kern w:val="0"/>
                <w:sz w:val="20"/>
                <w:szCs w:val="20"/>
                <w:u w:val="none"/>
                <w:lang w:val="en-US" w:eastAsia="zh-CN" w:bidi="ar-SA"/>
              </w:rPr>
            </w:pPr>
            <w:r>
              <w:rPr>
                <w:rFonts w:hint="eastAsia" w:ascii="宋体" w:hAnsi="宋体" w:cs="宋体"/>
                <w:i w:val="0"/>
                <w:color w:val="auto"/>
                <w:kern w:val="0"/>
                <w:sz w:val="20"/>
                <w:szCs w:val="20"/>
                <w:u w:val="none"/>
                <w:lang w:val="en-US" w:eastAsia="zh-CN" w:bidi="ar-SA"/>
              </w:rPr>
              <w:t>69000</w:t>
            </w:r>
          </w:p>
        </w:tc>
        <w:tc>
          <w:tcPr>
            <w:tcW w:w="1097" w:type="dxa"/>
            <w:tcBorders>
              <w:top w:val="single" w:color="auto" w:sz="4" w:space="0"/>
              <w:bottom w:val="single" w:color="auto"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122.1</w:t>
            </w:r>
          </w:p>
        </w:tc>
        <w:tc>
          <w:tcPr>
            <w:tcW w:w="109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46700</w:t>
            </w:r>
          </w:p>
        </w:tc>
        <w:tc>
          <w:tcPr>
            <w:tcW w:w="123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i w:val="0"/>
                <w:color w:val="auto"/>
                <w:kern w:val="0"/>
                <w:sz w:val="18"/>
                <w:szCs w:val="18"/>
                <w:u w:val="none"/>
                <w:lang w:val="en-US" w:eastAsia="zh-CN" w:bidi="ar-SA"/>
              </w:rPr>
            </w:pPr>
            <w:r>
              <w:rPr>
                <w:rFonts w:hint="eastAsia" w:ascii="宋体" w:hAnsi="宋体" w:cs="宋体"/>
                <w:i w:val="0"/>
                <w:color w:val="auto"/>
                <w:kern w:val="0"/>
                <w:sz w:val="18"/>
                <w:szCs w:val="18"/>
                <w:u w:val="none"/>
                <w:lang w:val="en-US" w:eastAsia="zh-CN" w:bidi="ar-SA"/>
              </w:rPr>
              <w:t>专项债项目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1980" w:type="dxa"/>
            <w:tcBorders>
              <w:top w:val="single" w:color="auto" w:sz="4" w:space="0"/>
              <w:left w:val="single" w:color="000000" w:sz="4" w:space="0"/>
              <w:bottom w:val="single" w:color="auto" w:sz="4" w:space="0"/>
              <w:right w:val="single" w:color="000000" w:sz="4" w:space="0"/>
            </w:tcBorders>
            <w:shd w:val="solid" w:color="FFFFFF" w:fill="auto"/>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佛冈县恒大花溪谷小学（暂名）</w:t>
            </w:r>
          </w:p>
        </w:tc>
        <w:tc>
          <w:tcPr>
            <w:tcW w:w="67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乡镇</w:t>
            </w:r>
          </w:p>
        </w:tc>
        <w:tc>
          <w:tcPr>
            <w:tcW w:w="61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公办</w:t>
            </w:r>
          </w:p>
        </w:tc>
        <w:tc>
          <w:tcPr>
            <w:tcW w:w="67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小学</w:t>
            </w:r>
          </w:p>
        </w:tc>
        <w:tc>
          <w:tcPr>
            <w:tcW w:w="87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新建</w:t>
            </w:r>
          </w:p>
        </w:tc>
        <w:tc>
          <w:tcPr>
            <w:tcW w:w="85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1080</w:t>
            </w:r>
          </w:p>
        </w:tc>
        <w:tc>
          <w:tcPr>
            <w:tcW w:w="675"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kern w:val="0"/>
                <w:sz w:val="18"/>
                <w:szCs w:val="18"/>
                <w:u w:val="none"/>
                <w:lang w:val="en-US" w:eastAsia="zh-CN" w:bidi="ar-SA"/>
              </w:rPr>
            </w:pPr>
          </w:p>
        </w:tc>
        <w:tc>
          <w:tcPr>
            <w:tcW w:w="630"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1080</w:t>
            </w:r>
          </w:p>
        </w:tc>
        <w:tc>
          <w:tcPr>
            <w:tcW w:w="620"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color w:val="auto"/>
                <w:sz w:val="18"/>
                <w:szCs w:val="18"/>
                <w:highlight w:val="none"/>
                <w:lang w:val="en-US" w:eastAsia="zh-CN"/>
              </w:rPr>
            </w:pPr>
          </w:p>
        </w:tc>
        <w:tc>
          <w:tcPr>
            <w:tcW w:w="62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i w:val="0"/>
                <w:color w:val="auto"/>
                <w:kern w:val="0"/>
                <w:sz w:val="18"/>
                <w:szCs w:val="18"/>
                <w:highlight w:val="none"/>
                <w:u w:val="none"/>
                <w:lang w:val="en-US" w:eastAsia="zh-CN" w:bidi="ar-SA"/>
              </w:rPr>
            </w:pPr>
          </w:p>
        </w:tc>
        <w:tc>
          <w:tcPr>
            <w:tcW w:w="125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202</w:t>
            </w:r>
            <w:r>
              <w:rPr>
                <w:rFonts w:hint="eastAsia" w:ascii="宋体" w:hAnsi="宋体" w:cs="宋体"/>
                <w:i w:val="0"/>
                <w:color w:val="auto"/>
                <w:kern w:val="0"/>
                <w:sz w:val="18"/>
                <w:szCs w:val="18"/>
                <w:highlight w:val="none"/>
                <w:u w:val="none"/>
                <w:lang w:val="en-US" w:eastAsia="zh-CN" w:bidi="ar-SA"/>
              </w:rPr>
              <w:t>5</w:t>
            </w:r>
            <w:r>
              <w:rPr>
                <w:rFonts w:hint="eastAsia" w:ascii="宋体" w:hAnsi="宋体" w:eastAsia="宋体" w:cs="宋体"/>
                <w:i w:val="0"/>
                <w:color w:val="auto"/>
                <w:kern w:val="0"/>
                <w:sz w:val="18"/>
                <w:szCs w:val="18"/>
                <w:highlight w:val="none"/>
                <w:u w:val="none"/>
                <w:lang w:val="en-US" w:eastAsia="zh-CN" w:bidi="ar-SA"/>
              </w:rPr>
              <w:t>年12月</w:t>
            </w:r>
          </w:p>
        </w:tc>
        <w:tc>
          <w:tcPr>
            <w:tcW w:w="130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7560</w:t>
            </w:r>
          </w:p>
        </w:tc>
        <w:tc>
          <w:tcPr>
            <w:tcW w:w="1097" w:type="dxa"/>
            <w:tcBorders>
              <w:top w:val="single" w:color="auto" w:sz="4" w:space="0"/>
              <w:bottom w:val="single" w:color="auto"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29.15</w:t>
            </w:r>
          </w:p>
        </w:tc>
        <w:tc>
          <w:tcPr>
            <w:tcW w:w="109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5400</w:t>
            </w:r>
          </w:p>
        </w:tc>
        <w:tc>
          <w:tcPr>
            <w:tcW w:w="123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6"/>
                <w:szCs w:val="16"/>
                <w:u w:val="none"/>
                <w:lang w:val="en-US" w:eastAsia="zh-CN" w:bidi="ar-SA"/>
              </w:rPr>
              <w:t>小区配套学校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240" w:lineRule="atLeast"/>
              <w:ind w:firstLine="0" w:firstLineChars="0"/>
              <w:jc w:val="center"/>
              <w:textAlignment w:val="baseline"/>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14</w:t>
            </w:r>
          </w:p>
        </w:tc>
        <w:tc>
          <w:tcPr>
            <w:tcW w:w="1980" w:type="dxa"/>
            <w:tcBorders>
              <w:top w:val="single" w:color="auto" w:sz="4" w:space="0"/>
              <w:left w:val="single" w:color="000000" w:sz="4" w:space="0"/>
              <w:bottom w:val="single" w:color="auto" w:sz="4" w:space="0"/>
              <w:right w:val="single" w:color="000000" w:sz="4" w:space="0"/>
            </w:tcBorders>
            <w:shd w:val="solid" w:color="FFFFFF" w:fill="auto"/>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佛冈县</w:t>
            </w:r>
            <w:r>
              <w:rPr>
                <w:rFonts w:hint="eastAsia" w:ascii="宋体" w:hAnsi="宋体" w:cs="宋体"/>
                <w:i w:val="0"/>
                <w:color w:val="auto"/>
                <w:kern w:val="0"/>
                <w:sz w:val="20"/>
                <w:szCs w:val="20"/>
                <w:highlight w:val="none"/>
                <w:u w:val="none"/>
                <w:lang w:val="en-US" w:eastAsia="zh-CN" w:bidi="ar-SA"/>
              </w:rPr>
              <w:t xml:space="preserve">实验中学 </w:t>
            </w:r>
            <w:r>
              <w:rPr>
                <w:rFonts w:hint="eastAsia" w:ascii="宋体" w:hAnsi="宋体" w:eastAsia="宋体" w:cs="宋体"/>
                <w:i w:val="0"/>
                <w:color w:val="auto"/>
                <w:kern w:val="0"/>
                <w:sz w:val="18"/>
                <w:szCs w:val="18"/>
                <w:highlight w:val="none"/>
                <w:u w:val="none"/>
                <w:lang w:val="en-US" w:eastAsia="zh-CN" w:bidi="ar-SA"/>
              </w:rPr>
              <w:t>（暂名）</w:t>
            </w:r>
          </w:p>
        </w:tc>
        <w:tc>
          <w:tcPr>
            <w:tcW w:w="67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县城</w:t>
            </w:r>
          </w:p>
        </w:tc>
        <w:tc>
          <w:tcPr>
            <w:tcW w:w="61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公办</w:t>
            </w:r>
          </w:p>
        </w:tc>
        <w:tc>
          <w:tcPr>
            <w:tcW w:w="67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完全中学</w:t>
            </w:r>
          </w:p>
        </w:tc>
        <w:tc>
          <w:tcPr>
            <w:tcW w:w="87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新建</w:t>
            </w:r>
          </w:p>
        </w:tc>
        <w:tc>
          <w:tcPr>
            <w:tcW w:w="85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3000</w:t>
            </w:r>
          </w:p>
        </w:tc>
        <w:tc>
          <w:tcPr>
            <w:tcW w:w="675"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kern w:val="0"/>
                <w:sz w:val="18"/>
                <w:szCs w:val="18"/>
                <w:u w:val="none"/>
                <w:lang w:val="en-US" w:eastAsia="zh-CN" w:bidi="ar-SA"/>
              </w:rPr>
            </w:pPr>
          </w:p>
        </w:tc>
        <w:tc>
          <w:tcPr>
            <w:tcW w:w="630"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kern w:val="0"/>
                <w:sz w:val="18"/>
                <w:szCs w:val="18"/>
                <w:u w:val="none"/>
                <w:lang w:val="en-US" w:eastAsia="zh-CN" w:bidi="ar-SA"/>
              </w:rPr>
            </w:pPr>
          </w:p>
        </w:tc>
        <w:tc>
          <w:tcPr>
            <w:tcW w:w="620" w:type="dxa"/>
            <w:gridSpan w:val="3"/>
            <w:tcBorders>
              <w:top w:val="single" w:color="auto" w:sz="4" w:space="0"/>
              <w:left w:val="single" w:color="000000" w:sz="4" w:space="0"/>
              <w:bottom w:val="single" w:color="auto" w:sz="4" w:space="0"/>
              <w:right w:val="single" w:color="000000" w:sz="4" w:space="0"/>
            </w:tcBorders>
            <w:vAlign w:val="center"/>
          </w:tcPr>
          <w:p>
            <w:pPr>
              <w:widowControl/>
              <w:jc w:val="both"/>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color w:val="auto"/>
                <w:sz w:val="18"/>
                <w:szCs w:val="18"/>
                <w:highlight w:val="none"/>
                <w:lang w:val="en-US" w:eastAsia="zh-CN"/>
              </w:rPr>
              <w:t>150</w:t>
            </w:r>
            <w:r>
              <w:rPr>
                <w:rFonts w:hint="eastAsia" w:ascii="宋体" w:hAnsi="宋体" w:cs="宋体"/>
                <w:color w:val="auto"/>
                <w:sz w:val="18"/>
                <w:szCs w:val="18"/>
                <w:highlight w:val="none"/>
                <w:lang w:val="en-US" w:eastAsia="zh-CN"/>
              </w:rPr>
              <w:t>0</w:t>
            </w:r>
          </w:p>
        </w:tc>
        <w:tc>
          <w:tcPr>
            <w:tcW w:w="62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cs="宋体"/>
                <w:i w:val="0"/>
                <w:color w:val="auto"/>
                <w:kern w:val="0"/>
                <w:sz w:val="18"/>
                <w:szCs w:val="18"/>
                <w:highlight w:val="none"/>
                <w:u w:val="none"/>
                <w:lang w:val="en-US" w:eastAsia="zh-CN" w:bidi="ar-SA"/>
              </w:rPr>
              <w:t>1500</w:t>
            </w:r>
          </w:p>
        </w:tc>
        <w:tc>
          <w:tcPr>
            <w:tcW w:w="125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2025年12月</w:t>
            </w:r>
          </w:p>
        </w:tc>
        <w:tc>
          <w:tcPr>
            <w:tcW w:w="130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27263</w:t>
            </w:r>
          </w:p>
        </w:tc>
        <w:tc>
          <w:tcPr>
            <w:tcW w:w="1097" w:type="dxa"/>
            <w:tcBorders>
              <w:top w:val="single" w:color="auto" w:sz="4" w:space="0"/>
              <w:bottom w:val="single" w:color="auto"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103.45</w:t>
            </w:r>
          </w:p>
        </w:tc>
        <w:tc>
          <w:tcPr>
            <w:tcW w:w="109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19500</w:t>
            </w:r>
          </w:p>
        </w:tc>
        <w:tc>
          <w:tcPr>
            <w:tcW w:w="123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52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r>
              <w:rPr>
                <w:rFonts w:hint="eastAsia" w:ascii="宋体" w:hAnsi="宋体" w:cs="宋体"/>
                <w:i w:val="0"/>
                <w:color w:val="auto"/>
                <w:kern w:val="0"/>
                <w:sz w:val="18"/>
                <w:szCs w:val="18"/>
                <w:u w:val="none"/>
                <w:lang w:val="en-US" w:eastAsia="zh-CN" w:bidi="ar-SA"/>
              </w:rPr>
              <w:t>合计</w:t>
            </w:r>
          </w:p>
        </w:tc>
        <w:tc>
          <w:tcPr>
            <w:tcW w:w="85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16090</w:t>
            </w:r>
          </w:p>
        </w:tc>
        <w:tc>
          <w:tcPr>
            <w:tcW w:w="6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630</w:t>
            </w:r>
          </w:p>
        </w:tc>
        <w:tc>
          <w:tcPr>
            <w:tcW w:w="630"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4860</w:t>
            </w:r>
          </w:p>
        </w:tc>
        <w:tc>
          <w:tcPr>
            <w:tcW w:w="620" w:type="dxa"/>
            <w:gridSpan w:val="3"/>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000000"/>
                <w:kern w:val="0"/>
                <w:sz w:val="18"/>
                <w:szCs w:val="18"/>
                <w:u w:val="none"/>
                <w:lang w:val="en-US" w:eastAsia="zh-CN" w:bidi="ar-SA"/>
              </w:rPr>
              <w:t>5150</w:t>
            </w:r>
          </w:p>
        </w:tc>
        <w:tc>
          <w:tcPr>
            <w:tcW w:w="62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5450</w:t>
            </w:r>
          </w:p>
        </w:tc>
        <w:tc>
          <w:tcPr>
            <w:tcW w:w="125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kern w:val="0"/>
                <w:sz w:val="20"/>
                <w:szCs w:val="20"/>
                <w:u w:val="none"/>
                <w:lang w:val="en-US" w:eastAsia="zh-CN" w:bidi="ar-SA"/>
              </w:rPr>
            </w:pPr>
          </w:p>
        </w:tc>
        <w:tc>
          <w:tcPr>
            <w:tcW w:w="130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158134.54</w:t>
            </w:r>
          </w:p>
        </w:tc>
        <w:tc>
          <w:tcPr>
            <w:tcW w:w="1097" w:type="dxa"/>
            <w:tcBorders>
              <w:top w:val="single" w:color="auto" w:sz="4" w:space="0"/>
              <w:bottom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357.86</w:t>
            </w:r>
          </w:p>
        </w:tc>
        <w:tc>
          <w:tcPr>
            <w:tcW w:w="109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113137</w:t>
            </w:r>
          </w:p>
        </w:tc>
        <w:tc>
          <w:tcPr>
            <w:tcW w:w="123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u w:val="none"/>
                <w:lang w:val="en-US" w:eastAsia="zh-CN" w:bidi="ar-SA"/>
              </w:rPr>
            </w:pPr>
          </w:p>
        </w:tc>
      </w:tr>
    </w:tbl>
    <w:p>
      <w:pPr>
        <w:widowControl/>
        <w:wordWrap/>
        <w:adjustRightInd/>
        <w:snapToGrid/>
        <w:spacing w:line="560" w:lineRule="exact"/>
        <w:jc w:val="both"/>
        <w:textAlignment w:val="baseline"/>
        <w:rPr>
          <w:rFonts w:hint="eastAsia" w:ascii="仿宋" w:hAnsi="仿宋" w:eastAsia="仿宋" w:cs="仿宋"/>
          <w:color w:val="auto"/>
          <w:sz w:val="36"/>
          <w:szCs w:val="36"/>
          <w:lang w:val="en-US" w:eastAsia="zh-CN"/>
        </w:rPr>
        <w:sectPr>
          <w:pgSz w:w="16838" w:h="11906" w:orient="landscape"/>
          <w:pgMar w:top="1123" w:right="1440" w:bottom="1123" w:left="1440" w:header="851" w:footer="992" w:gutter="0"/>
          <w:pgNumType w:fmt="numberInDash"/>
          <w:cols w:space="720" w:num="1"/>
          <w:rtlGutter w:val="0"/>
          <w:docGrid w:type="lines" w:linePitch="319" w:charSpace="0"/>
        </w:sectPr>
      </w:pPr>
      <w:r>
        <w:rPr>
          <w:rFonts w:hint="eastAsia" w:ascii="仿宋" w:hAnsi="仿宋" w:eastAsia="仿宋" w:cs="仿宋"/>
          <w:sz w:val="28"/>
          <w:szCs w:val="28"/>
        </w:rPr>
        <w:t>平均学位最低建设成本参考</w:t>
      </w:r>
      <w:r>
        <w:rPr>
          <w:rFonts w:hint="eastAsia" w:ascii="仿宋" w:hAnsi="仿宋" w:eastAsia="仿宋" w:cs="仿宋"/>
          <w:sz w:val="28"/>
          <w:szCs w:val="28"/>
          <w:lang w:eastAsia="zh-CN"/>
        </w:rPr>
        <w:t>清远市教育局统一标准：</w:t>
      </w:r>
      <w:r>
        <w:rPr>
          <w:rFonts w:hint="eastAsia" w:ascii="仿宋" w:hAnsi="仿宋" w:eastAsia="仿宋" w:cs="仿宋"/>
          <w:sz w:val="28"/>
          <w:szCs w:val="28"/>
        </w:rPr>
        <w:t>小学</w:t>
      </w:r>
      <w:r>
        <w:rPr>
          <w:rFonts w:hint="eastAsia" w:ascii="仿宋" w:hAnsi="仿宋" w:eastAsia="仿宋" w:cs="仿宋"/>
          <w:sz w:val="28"/>
          <w:szCs w:val="28"/>
          <w:lang w:eastAsia="zh-CN"/>
        </w:rPr>
        <w:t>不低于</w:t>
      </w:r>
      <w:r>
        <w:rPr>
          <w:rFonts w:hint="eastAsia" w:ascii="仿宋" w:hAnsi="仿宋" w:eastAsia="仿宋" w:cs="仿宋"/>
          <w:sz w:val="28"/>
          <w:szCs w:val="28"/>
        </w:rPr>
        <w:t>3.2万元，初中</w:t>
      </w:r>
      <w:r>
        <w:rPr>
          <w:rFonts w:hint="eastAsia" w:ascii="仿宋" w:hAnsi="仿宋" w:eastAsia="仿宋" w:cs="仿宋"/>
          <w:sz w:val="28"/>
          <w:szCs w:val="28"/>
          <w:lang w:eastAsia="zh-CN"/>
        </w:rPr>
        <w:t>不低于</w:t>
      </w:r>
      <w:r>
        <w:rPr>
          <w:rFonts w:hint="eastAsia" w:ascii="仿宋" w:hAnsi="仿宋" w:eastAsia="仿宋" w:cs="仿宋"/>
          <w:sz w:val="28"/>
          <w:szCs w:val="28"/>
        </w:rPr>
        <w:t>4.1万元（寄宿制</w:t>
      </w:r>
      <w:r>
        <w:rPr>
          <w:rFonts w:hint="eastAsia" w:ascii="仿宋" w:hAnsi="仿宋" w:eastAsia="仿宋" w:cs="仿宋"/>
          <w:sz w:val="28"/>
          <w:szCs w:val="28"/>
          <w:lang w:eastAsia="zh-CN"/>
        </w:rPr>
        <w:t>不低于</w:t>
      </w:r>
      <w:r>
        <w:rPr>
          <w:rFonts w:hint="eastAsia" w:ascii="仿宋" w:hAnsi="仿宋" w:eastAsia="仿宋" w:cs="仿宋"/>
          <w:sz w:val="28"/>
          <w:szCs w:val="28"/>
        </w:rPr>
        <w:t>6.5万元），高中不低于6.5万元进行测算。</w:t>
      </w:r>
    </w:p>
    <w:p>
      <w:pPr>
        <w:pStyle w:val="3"/>
        <w:wordWrap/>
        <w:adjustRightInd/>
        <w:snapToGrid/>
        <w:spacing w:line="560" w:lineRule="exact"/>
        <w:ind w:left="0" w:leftChars="0" w:right="0"/>
        <w:rPr>
          <w:rFonts w:hint="eastAsia"/>
          <w:color w:val="auto"/>
          <w:lang w:eastAsia="zh-CN"/>
        </w:rPr>
      </w:pPr>
      <w:bookmarkStart w:id="113" w:name="_Toc29522_WPSOffice_Level2"/>
      <w:bookmarkStart w:id="114" w:name="_Toc12350"/>
      <w:bookmarkStart w:id="115" w:name="_Toc20281"/>
      <w:r>
        <w:rPr>
          <w:rFonts w:hint="eastAsia"/>
          <w:color w:val="auto"/>
          <w:lang w:eastAsia="zh-CN"/>
        </w:rPr>
        <w:t>（五）全面加强教师队伍建设</w:t>
      </w:r>
      <w:bookmarkEnd w:id="113"/>
      <w:bookmarkEnd w:id="114"/>
      <w:bookmarkEnd w:id="115"/>
    </w:p>
    <w:p>
      <w:pPr>
        <w:widowControl/>
        <w:wordWrap/>
        <w:adjustRightInd/>
        <w:snapToGrid/>
        <w:spacing w:line="560" w:lineRule="exact"/>
        <w:ind w:left="0" w:leftChars="0" w:right="0" w:firstLine="64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1.加强师德师风建设。</w:t>
      </w:r>
      <w:r>
        <w:rPr>
          <w:rFonts w:hint="eastAsia" w:ascii="仿宋_GB2312" w:hAnsi="仿宋_GB2312" w:eastAsia="仿宋_GB2312" w:cs="仿宋_GB2312"/>
          <w:b w:val="0"/>
          <w:bCs w:val="0"/>
          <w:color w:val="auto"/>
          <w:sz w:val="32"/>
          <w:szCs w:val="32"/>
          <w:lang w:eastAsia="zh-CN"/>
        </w:rPr>
        <w:t>健全</w:t>
      </w:r>
      <w:r>
        <w:rPr>
          <w:rFonts w:hint="eastAsia" w:ascii="仿宋_GB2312" w:hAnsi="仿宋_GB2312" w:eastAsia="仿宋_GB2312" w:cs="仿宋_GB2312"/>
          <w:color w:val="auto"/>
          <w:sz w:val="32"/>
          <w:szCs w:val="32"/>
        </w:rPr>
        <w:t>师德师风建设长效机制，将师德教育作为教师培养培训的首要内容，将理想信念放在师德教育首位，引导教师带头践行社会主义核心价值观，自觉恪守新时代教师职业行为十项准则，落实立德树人根本任务，引领学生健康成长</w:t>
      </w:r>
      <w:r>
        <w:rPr>
          <w:rFonts w:hint="eastAsia" w:ascii="仿宋_GB2312" w:hAnsi="仿宋_GB2312" w:eastAsia="仿宋_GB2312" w:cs="仿宋_GB2312"/>
          <w:color w:val="auto"/>
          <w:sz w:val="32"/>
          <w:szCs w:val="32"/>
          <w:lang w:eastAsia="zh-CN"/>
        </w:rPr>
        <w:t>。切实维护和保障教师合法权益，加强师德正面</w:t>
      </w:r>
      <w:r>
        <w:rPr>
          <w:rFonts w:hint="eastAsia" w:ascii="仿宋_GB2312" w:hAnsi="仿宋_GB2312" w:eastAsia="仿宋_GB2312" w:cs="仿宋_GB2312"/>
          <w:color w:val="auto"/>
          <w:sz w:val="32"/>
          <w:szCs w:val="32"/>
        </w:rPr>
        <w:t>宣传，营造全社会尊师重教的良好氛围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全师德师风表彰奖励制度和教师违反师德行为的惩处机制，强化师德考评，将师德考核结果作为教师职称评审、岗位聘用、评优评先等工作的重要依据，严格查处师德失范行为，实行师德“一票否决”。引导广大教师以德立身、以德立学、以德施教，努力建设一支有理想信念、有道德情操、有扎实学识、有仁爱之心的教师队伍。</w:t>
      </w:r>
    </w:p>
    <w:p>
      <w:pPr>
        <w:widowControl/>
        <w:wordWrap/>
        <w:adjustRightInd/>
        <w:snapToGrid/>
        <w:spacing w:line="560" w:lineRule="exact"/>
        <w:ind w:left="0" w:leftChars="0" w:right="0" w:firstLine="643" w:firstLineChars="200"/>
        <w:jc w:val="both"/>
        <w:textAlignment w:val="baseline"/>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加强师资能力培训</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完善教师培养培训机制，提升教师培训的针对性和实效性</w:t>
      </w:r>
      <w:r>
        <w:rPr>
          <w:rFonts w:hint="eastAsia" w:ascii="仿宋_GB2312" w:hAnsi="仿宋_GB2312" w:eastAsia="仿宋_GB2312" w:cs="仿宋_GB2312"/>
          <w:color w:val="auto"/>
          <w:sz w:val="32"/>
          <w:szCs w:val="32"/>
          <w:lang w:eastAsia="zh-CN"/>
        </w:rPr>
        <w:t>。继续实施新一轮的教师学历提升奖补方案，对获得本科、研究生、博士生学历的教师分别给予</w:t>
      </w:r>
      <w:r>
        <w:rPr>
          <w:rFonts w:hint="eastAsia" w:ascii="仿宋_GB2312" w:hAnsi="仿宋_GB2312" w:eastAsia="仿宋_GB2312" w:cs="仿宋_GB2312"/>
          <w:color w:val="auto"/>
          <w:sz w:val="32"/>
          <w:szCs w:val="32"/>
          <w:lang w:val="en-US" w:eastAsia="zh-CN"/>
        </w:rPr>
        <w:t>学费补助。加强与黄埔区教育系统的合作与交流，强化校长教师培训，尤其是加强教师信息技术应用能力的培训，提升应用水平。深化“校镇结对”帮扶，完善帮扶机制。</w:t>
      </w:r>
      <w:r>
        <w:rPr>
          <w:rFonts w:hint="eastAsia" w:ascii="仿宋_GB2312" w:hAnsi="仿宋_GB2312" w:eastAsia="仿宋_GB2312" w:cs="仿宋_GB2312"/>
          <w:color w:val="auto"/>
          <w:sz w:val="32"/>
          <w:szCs w:val="32"/>
        </w:rPr>
        <w:t>加强教研队伍建设，完善教研员准入、考核激励、专业发展、顶岗和退出机制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健全教研员全员培训制度和3年一周期教研能力提升研修机制，将教研员纳入教师“国培计划”“省培计划”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借助信息化技术手段，推进互联网+教研，提高教研活动的效率和效益。</w:t>
      </w:r>
      <w:r>
        <w:rPr>
          <w:rFonts w:hint="eastAsia" w:ascii="仿宋_GB2312" w:hAnsi="仿宋_GB2312" w:eastAsia="仿宋_GB2312" w:cs="仿宋_GB2312"/>
          <w:color w:val="auto"/>
          <w:sz w:val="32"/>
          <w:szCs w:val="32"/>
        </w:rPr>
        <w:t>培养造就教学名师</w:t>
      </w:r>
      <w:r>
        <w:rPr>
          <w:rFonts w:hint="eastAsia" w:ascii="仿宋_GB2312" w:hAnsi="仿宋_GB2312" w:eastAsia="仿宋_GB2312" w:cs="仿宋_GB2312"/>
          <w:color w:val="auto"/>
          <w:sz w:val="32"/>
          <w:szCs w:val="32"/>
          <w:lang w:eastAsia="zh-CN"/>
        </w:rPr>
        <w:t>、骨干教师</w:t>
      </w:r>
      <w:r>
        <w:rPr>
          <w:rFonts w:hint="eastAsia" w:ascii="仿宋_GB2312" w:hAnsi="仿宋_GB2312" w:eastAsia="仿宋_GB2312" w:cs="仿宋_GB2312"/>
          <w:color w:val="auto"/>
          <w:sz w:val="32"/>
          <w:szCs w:val="32"/>
        </w:rPr>
        <w:t>，到2025年，培养特级教师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人，省市级名师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省市级名班主任</w:t>
      </w:r>
      <w:r>
        <w:rPr>
          <w:rFonts w:hint="eastAsia" w:ascii="仿宋_GB2312" w:hAnsi="仿宋_GB2312" w:eastAsia="仿宋_GB2312" w:cs="仿宋_GB2312"/>
          <w:color w:val="auto"/>
          <w:sz w:val="32"/>
          <w:szCs w:val="32"/>
          <w:lang w:val="en-US" w:eastAsia="zh-CN"/>
        </w:rPr>
        <w:t>6人，</w:t>
      </w:r>
      <w:r>
        <w:rPr>
          <w:rFonts w:hint="eastAsia" w:ascii="仿宋_GB2312" w:hAnsi="仿宋_GB2312" w:eastAsia="仿宋_GB2312" w:cs="仿宋_GB2312"/>
          <w:color w:val="auto"/>
          <w:sz w:val="32"/>
          <w:szCs w:val="32"/>
        </w:rPr>
        <w:t>省市级名校长</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级学科带头</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人、骨干教师</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人。</w:t>
      </w:r>
    </w:p>
    <w:p>
      <w:pPr>
        <w:widowControl/>
        <w:wordWrap/>
        <w:adjustRightInd/>
        <w:snapToGrid/>
        <w:spacing w:line="560" w:lineRule="exact"/>
        <w:ind w:left="0" w:leftChars="0" w:right="0" w:firstLine="64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.优化教师资源配置。</w:t>
      </w:r>
      <w:r>
        <w:rPr>
          <w:rFonts w:hint="eastAsia" w:ascii="仿宋_GB2312" w:hAnsi="仿宋_GB2312" w:eastAsia="仿宋_GB2312" w:cs="仿宋_GB2312"/>
          <w:color w:val="auto"/>
          <w:sz w:val="32"/>
          <w:szCs w:val="32"/>
        </w:rPr>
        <w:t>通过公开招聘、定向培养、</w:t>
      </w:r>
      <w:r>
        <w:rPr>
          <w:rFonts w:hint="eastAsia" w:ascii="仿宋_GB2312" w:hAnsi="仿宋_GB2312" w:eastAsia="仿宋_GB2312" w:cs="仿宋_GB2312"/>
          <w:color w:val="auto"/>
          <w:sz w:val="32"/>
          <w:szCs w:val="32"/>
          <w:lang w:eastAsia="zh-CN"/>
        </w:rPr>
        <w:t>人才引进</w:t>
      </w:r>
      <w:r>
        <w:rPr>
          <w:rFonts w:hint="eastAsia" w:ascii="仿宋_GB2312" w:hAnsi="仿宋_GB2312" w:eastAsia="仿宋_GB2312" w:cs="仿宋_GB2312"/>
          <w:color w:val="auto"/>
          <w:sz w:val="32"/>
          <w:szCs w:val="32"/>
        </w:rPr>
        <w:t>等方式，</w:t>
      </w:r>
      <w:r>
        <w:rPr>
          <w:rFonts w:hint="eastAsia" w:ascii="仿宋_GB2312" w:hAnsi="仿宋_GB2312" w:eastAsia="仿宋_GB2312" w:cs="仿宋_GB2312"/>
          <w:color w:val="auto"/>
          <w:sz w:val="32"/>
          <w:szCs w:val="32"/>
          <w:lang w:eastAsia="zh-CN"/>
        </w:rPr>
        <w:t>强化</w:t>
      </w:r>
      <w:r>
        <w:rPr>
          <w:rFonts w:hint="eastAsia" w:ascii="仿宋_GB2312" w:hAnsi="仿宋_GB2312" w:eastAsia="仿宋_GB2312" w:cs="仿宋_GB2312"/>
          <w:color w:val="auto"/>
          <w:sz w:val="32"/>
          <w:szCs w:val="32"/>
        </w:rPr>
        <w:t>中小学教师</w:t>
      </w:r>
      <w:r>
        <w:rPr>
          <w:rFonts w:hint="eastAsia" w:ascii="仿宋_GB2312" w:hAnsi="仿宋_GB2312" w:eastAsia="仿宋_GB2312" w:cs="仿宋_GB2312"/>
          <w:color w:val="auto"/>
          <w:sz w:val="32"/>
          <w:szCs w:val="32"/>
          <w:lang w:eastAsia="zh-CN"/>
        </w:rPr>
        <w:t>队伍建设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优先解决乡镇学校</w:t>
      </w:r>
      <w:r>
        <w:rPr>
          <w:rFonts w:hint="eastAsia" w:ascii="仿宋_GB2312" w:hAnsi="仿宋_GB2312" w:eastAsia="仿宋_GB2312" w:cs="仿宋_GB2312"/>
          <w:color w:val="auto"/>
          <w:sz w:val="32"/>
          <w:szCs w:val="32"/>
        </w:rPr>
        <w:t>急需的紧缺教师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完善新聘教师农村学校任教服务期限制</w:t>
      </w:r>
      <w:r>
        <w:rPr>
          <w:rFonts w:hint="eastAsia" w:ascii="仿宋_GB2312" w:hAnsi="仿宋_GB2312" w:eastAsia="仿宋_GB2312" w:cs="仿宋_GB2312"/>
          <w:color w:val="auto"/>
          <w:sz w:val="32"/>
          <w:szCs w:val="32"/>
          <w:lang w:eastAsia="zh-CN"/>
        </w:rPr>
        <w:t>度。强化</w:t>
      </w:r>
      <w:r>
        <w:rPr>
          <w:rFonts w:hint="eastAsia" w:ascii="仿宋_GB2312" w:hAnsi="仿宋_GB2312" w:eastAsia="仿宋_GB2312" w:cs="仿宋_GB2312"/>
          <w:color w:val="auto"/>
          <w:sz w:val="32"/>
          <w:szCs w:val="32"/>
        </w:rPr>
        <w:t>教师交流，落实城镇教师到乡村学校支教制度，探索实施“银龄讲学计划”。</w:t>
      </w:r>
    </w:p>
    <w:p>
      <w:pPr>
        <w:widowControl/>
        <w:wordWrap/>
        <w:adjustRightInd/>
        <w:snapToGrid/>
        <w:spacing w:line="560" w:lineRule="exact"/>
        <w:ind w:left="0" w:leftChars="0" w:right="0" w:firstLine="643"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lang w:val="en-US" w:eastAsia="zh-CN"/>
        </w:rPr>
        <w:t>4.完善教师管理制度。</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深入推进</w:t>
      </w:r>
      <w:r>
        <w:rPr>
          <w:rFonts w:hint="eastAsia" w:ascii="仿宋_GB2312" w:hAnsi="仿宋_GB2312" w:eastAsia="仿宋_GB2312" w:cs="仿宋_GB2312"/>
          <w:color w:val="auto"/>
          <w:sz w:val="32"/>
          <w:szCs w:val="32"/>
          <w:lang w:val="en-US" w:eastAsia="zh-CN"/>
        </w:rPr>
        <w:t>中小学教师“县管校聘”管理改革，实施校长职级制改革和教师职内层级改革，完善教师职称评聘和岗位结构调整机制，进一步激发校长队伍、教师队伍干事创业、教书育人的积极性、主动性。</w:t>
      </w:r>
      <w:r>
        <w:rPr>
          <w:rFonts w:hint="eastAsia" w:ascii="仿宋_GB2312" w:hAnsi="仿宋_GB2312" w:eastAsia="仿宋_GB2312" w:cs="仿宋_GB2312"/>
          <w:color w:val="auto"/>
          <w:sz w:val="32"/>
          <w:szCs w:val="32"/>
        </w:rPr>
        <w:t>提高中小学教师高级岗位结构比例，幼儿园达到</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%、小学达到</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%、初中达到</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%、高中达到</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val="en-US" w:eastAsia="zh-CN"/>
        </w:rPr>
        <w:t>建立</w:t>
      </w:r>
      <w:r>
        <w:rPr>
          <w:rFonts w:hint="eastAsia" w:ascii="仿宋_GB2312" w:hAnsi="仿宋_GB2312" w:eastAsia="仿宋_GB2312" w:cs="仿宋_GB2312"/>
          <w:color w:val="auto"/>
          <w:sz w:val="32"/>
          <w:szCs w:val="32"/>
        </w:rPr>
        <w:t>健全中小学教师工资收入随公务员工资收入动态调整机制，确保县域内中小学教师平均工资收入水平不低于或高于当地公务员平均工资收入水平，县域内农村中小学教师平均工资收入水平不低于或高于城镇教师平均工资收入水平。</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rPr>
        <w:t>完善绩效工资分配激励机制，</w:t>
      </w:r>
      <w:r>
        <w:rPr>
          <w:rFonts w:hint="eastAsia" w:ascii="仿宋_GB2312" w:hAnsi="仿宋_GB2312" w:eastAsia="仿宋_GB2312" w:cs="仿宋_GB2312"/>
          <w:color w:val="auto"/>
          <w:sz w:val="32"/>
          <w:szCs w:val="32"/>
          <w:highlight w:val="none"/>
        </w:rPr>
        <w:t>向班主任倾斜。</w:t>
      </w:r>
      <w:r>
        <w:rPr>
          <w:rFonts w:hint="eastAsia" w:ascii="仿宋_GB2312" w:hAnsi="仿宋_GB2312" w:eastAsia="仿宋_GB2312" w:cs="仿宋_GB2312"/>
          <w:color w:val="auto"/>
          <w:sz w:val="32"/>
          <w:szCs w:val="32"/>
          <w:highlight w:val="none"/>
          <w:lang w:eastAsia="zh-CN"/>
        </w:rPr>
        <w:t>按上级有关文件规定</w:t>
      </w:r>
      <w:r>
        <w:rPr>
          <w:rFonts w:hint="eastAsia" w:ascii="仿宋_GB2312" w:hAnsi="仿宋_GB2312" w:eastAsia="仿宋_GB2312" w:cs="仿宋_GB2312"/>
          <w:color w:val="auto"/>
          <w:sz w:val="32"/>
          <w:szCs w:val="32"/>
          <w:highlight w:val="none"/>
        </w:rPr>
        <w:t>落实特殊教育学校及普通学校（幼儿园）特教班教师的特殊教育津贴。</w:t>
      </w:r>
      <w:bookmarkStart w:id="116" w:name="_Toc5007_WPSOffice_Level2"/>
    </w:p>
    <w:p>
      <w:pPr>
        <w:widowControl/>
        <w:wordWrap/>
        <w:adjustRightInd/>
        <w:snapToGrid/>
        <w:spacing w:line="560" w:lineRule="exact"/>
        <w:ind w:left="0" w:leftChars="0" w:right="0"/>
        <w:jc w:val="both"/>
        <w:textAlignment w:val="baseline"/>
        <w:rPr>
          <w:rFonts w:hint="eastAsia" w:ascii="Cambria" w:hAnsi="Cambria" w:eastAsia="楷体_GB2312" w:cs="Times New Roman"/>
          <w:bCs/>
          <w:color w:val="auto"/>
          <w:kern w:val="2"/>
          <w:sz w:val="32"/>
          <w:szCs w:val="32"/>
          <w:lang w:val="en-US" w:eastAsia="zh-CN" w:bidi="ar-SA"/>
        </w:rPr>
      </w:pPr>
      <w:r>
        <w:rPr>
          <w:rFonts w:hint="eastAsia" w:ascii="Cambria" w:hAnsi="Cambria" w:eastAsia="楷体_GB2312" w:cs="Times New Roman"/>
          <w:bCs/>
          <w:color w:val="auto"/>
          <w:kern w:val="2"/>
          <w:sz w:val="32"/>
          <w:szCs w:val="32"/>
          <w:lang w:val="en-US" w:eastAsia="zh-CN" w:bidi="ar-SA"/>
        </w:rPr>
        <w:t xml:space="preserve">    </w:t>
      </w:r>
      <w:bookmarkStart w:id="117" w:name="_Toc370"/>
      <w:r>
        <w:rPr>
          <w:rStyle w:val="28"/>
          <w:rFonts w:hint="eastAsia"/>
          <w:lang w:val="en-US" w:eastAsia="zh-CN"/>
        </w:rPr>
        <w:t>（六）着力提高教育教学质量</w:t>
      </w:r>
      <w:bookmarkEnd w:id="116"/>
      <w:bookmarkEnd w:id="117"/>
    </w:p>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教育共同体发展</w:t>
      </w:r>
      <w:r>
        <w:rPr>
          <w:rFonts w:hint="eastAsia" w:ascii="仿宋_GB2312" w:hAnsi="仿宋_GB2312" w:eastAsia="仿宋_GB2312" w:cs="仿宋_GB2312"/>
          <w:color w:val="auto"/>
          <w:sz w:val="32"/>
          <w:szCs w:val="32"/>
          <w:lang w:eastAsia="zh-CN"/>
        </w:rPr>
        <w:t>，充</w:t>
      </w:r>
      <w:r>
        <w:rPr>
          <w:rFonts w:hint="eastAsia" w:ascii="仿宋_GB2312" w:hAnsi="仿宋_GB2312" w:eastAsia="仿宋_GB2312" w:cs="仿宋_GB2312"/>
          <w:color w:val="auto"/>
          <w:sz w:val="32"/>
          <w:szCs w:val="32"/>
        </w:rPr>
        <w:t>分发挥县城优质学校的辐射带动作用，通过县城学校带乡镇学校、强校带弱校，推动乡镇学校教育教学质量进一步提升。</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探索</w:t>
      </w:r>
      <w:r>
        <w:rPr>
          <w:rFonts w:hint="eastAsia" w:ascii="仿宋_GB2312" w:hAnsi="仿宋_GB2312" w:eastAsia="仿宋_GB2312" w:cs="仿宋_GB2312"/>
          <w:color w:val="auto"/>
          <w:sz w:val="32"/>
          <w:szCs w:val="32"/>
        </w:rPr>
        <w:t>集团化办学新模式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建以县域内优质学校为核心学校，薄弱学校和新建学校为成员学校的教育集团，通过“核心学校+农村学校”“核心学校+薄弱学校”“核心学校+新建学校”等模式实现义务教育集团化办学，有效提升新建学校、薄弱学校、农村学校的办学水平和质量。</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强化质量监测结果运用，提升教育教学整体水平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highlight w:val="none"/>
          <w:lang w:eastAsia="zh-CN"/>
        </w:rPr>
        <w:t>四是</w:t>
      </w:r>
      <w:r>
        <w:rPr>
          <w:rFonts w:hint="eastAsia" w:ascii="仿宋_GB2312" w:hAnsi="仿宋_GB2312" w:eastAsia="仿宋_GB2312" w:cs="仿宋_GB2312"/>
          <w:b w:val="0"/>
          <w:bCs w:val="0"/>
          <w:color w:val="auto"/>
          <w:sz w:val="32"/>
          <w:szCs w:val="32"/>
          <w:lang w:eastAsia="zh-CN"/>
        </w:rPr>
        <w:t>充分发挥教师发展中心教研训作用，</w:t>
      </w:r>
      <w:r>
        <w:rPr>
          <w:rFonts w:hint="eastAsia" w:ascii="仿宋_GB2312" w:hAnsi="仿宋_GB2312" w:eastAsia="仿宋_GB2312" w:cs="仿宋_GB2312"/>
          <w:color w:val="auto"/>
          <w:sz w:val="32"/>
          <w:szCs w:val="32"/>
        </w:rPr>
        <w:t>按学段、</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学科和专门教育配齐专职教研员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创新教研工作机制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提升课程改革、评价改革等教研服务指导水平。</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sz w:val="32"/>
          <w:szCs w:val="32"/>
          <w:highlight w:val="none"/>
          <w:lang w:eastAsia="zh-CN"/>
        </w:rPr>
        <w:t>构建互动共享的基础数据库服务平台，推进智能化校园建设，提升信息化水平。</w:t>
      </w:r>
      <w:bookmarkStart w:id="118" w:name="_Toc11789_WPSOffice_Level2"/>
    </w:p>
    <w:p>
      <w:pPr>
        <w:widowControl/>
        <w:wordWrap/>
        <w:adjustRightInd/>
        <w:snapToGrid/>
        <w:spacing w:line="560" w:lineRule="exact"/>
        <w:ind w:left="0" w:leftChars="0" w:right="0"/>
        <w:jc w:val="both"/>
        <w:textAlignment w:val="baseline"/>
        <w:rPr>
          <w:rFonts w:hint="eastAsia" w:ascii="楷体_GB2312" w:hAnsi="楷体_GB2312" w:eastAsia="楷体_GB2312" w:cs="楷体_GB2312"/>
          <w:b w:val="0"/>
          <w:bCs/>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w:t>
      </w:r>
      <w:bookmarkStart w:id="119" w:name="_Toc18663"/>
      <w:bookmarkStart w:id="120" w:name="_Toc5582"/>
      <w:r>
        <w:rPr>
          <w:rStyle w:val="28"/>
          <w:rFonts w:hint="eastAsia"/>
          <w:lang w:val="en-US" w:eastAsia="zh-CN"/>
        </w:rPr>
        <w:t>（七）</w:t>
      </w:r>
      <w:r>
        <w:rPr>
          <w:rStyle w:val="28"/>
          <w:rFonts w:hint="eastAsia"/>
          <w:lang w:eastAsia="zh-CN"/>
        </w:rPr>
        <w:t>深化新时代教育</w:t>
      </w:r>
      <w:bookmarkEnd w:id="119"/>
      <w:r>
        <w:rPr>
          <w:rStyle w:val="28"/>
          <w:rFonts w:hint="eastAsia"/>
        </w:rPr>
        <w:t>领域</w:t>
      </w:r>
      <w:r>
        <w:rPr>
          <w:rStyle w:val="28"/>
          <w:rFonts w:hint="eastAsia"/>
          <w:lang w:eastAsia="zh-CN"/>
        </w:rPr>
        <w:t>综合改革</w:t>
      </w:r>
      <w:bookmarkEnd w:id="118"/>
      <w:bookmarkEnd w:id="120"/>
      <w:r>
        <w:rPr>
          <w:rFonts w:hint="eastAsia" w:ascii="楷体_GB2312" w:hAnsi="楷体_GB2312" w:eastAsia="楷体_GB2312" w:cs="楷体_GB2312"/>
          <w:b w:val="0"/>
          <w:bCs/>
          <w:color w:val="auto"/>
          <w:sz w:val="32"/>
          <w:szCs w:val="32"/>
          <w:lang w:val="en-US" w:eastAsia="zh-CN"/>
        </w:rPr>
        <w:t xml:space="preserve">  </w:t>
      </w:r>
    </w:p>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lang w:val="en-US" w:eastAsia="zh-CN"/>
        </w:rPr>
        <w:t xml:space="preserve">   </w:t>
      </w:r>
      <w:r>
        <w:rPr>
          <w:rFonts w:hint="eastAsia" w:ascii="仿宋_GB2312" w:hAnsi="仿宋_GB2312" w:eastAsia="仿宋_GB2312" w:cs="仿宋_GB2312"/>
          <w:b/>
          <w:bCs/>
          <w:color w:val="auto"/>
          <w:kern w:val="2"/>
          <w:sz w:val="32"/>
          <w:szCs w:val="32"/>
          <w:lang w:val="en-US" w:eastAsia="zh-CN" w:bidi="ar-SA"/>
        </w:rPr>
        <w:t xml:space="preserve"> 1.深化新时代教育评价改革。</w:t>
      </w:r>
      <w:r>
        <w:rPr>
          <w:rFonts w:hint="eastAsia" w:ascii="仿宋_GB2312" w:hAnsi="仿宋_GB2312" w:eastAsia="仿宋_GB2312" w:cs="仿宋_GB2312"/>
          <w:color w:val="auto"/>
          <w:sz w:val="32"/>
          <w:szCs w:val="32"/>
        </w:rPr>
        <w:t>全面贯彻党的教育方针和党中央关于教育工作</w:t>
      </w:r>
      <w:r>
        <w:rPr>
          <w:rFonts w:hint="eastAsia" w:ascii="仿宋_GB2312" w:hAnsi="仿宋_GB2312" w:eastAsia="仿宋_GB2312" w:cs="仿宋_GB2312"/>
          <w:color w:val="auto"/>
          <w:sz w:val="32"/>
          <w:szCs w:val="32"/>
          <w:lang w:eastAsia="zh-CN"/>
        </w:rPr>
        <w:t>和《深化新时代教育评估改革总体方案》</w:t>
      </w:r>
      <w:r>
        <w:rPr>
          <w:rFonts w:hint="eastAsia" w:ascii="仿宋_GB2312" w:hAnsi="仿宋_GB2312" w:eastAsia="仿宋_GB2312" w:cs="仿宋_GB2312"/>
          <w:color w:val="auto"/>
          <w:sz w:val="32"/>
          <w:szCs w:val="32"/>
        </w:rPr>
        <w:t>的决策部署</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根据国家、省级</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层面确立的评价内容和指标，</w:t>
      </w:r>
      <w:r>
        <w:rPr>
          <w:rFonts w:hint="eastAsia" w:ascii="仿宋_GB2312" w:hAnsi="仿宋_GB2312" w:eastAsia="仿宋_GB2312" w:cs="仿宋_GB2312"/>
          <w:color w:val="auto"/>
          <w:sz w:val="32"/>
          <w:szCs w:val="32"/>
          <w:lang w:eastAsia="zh-CN"/>
        </w:rPr>
        <w:t>认真</w:t>
      </w:r>
      <w:r>
        <w:rPr>
          <w:rFonts w:hint="eastAsia" w:ascii="仿宋_GB2312" w:hAnsi="仿宋_GB2312" w:eastAsia="仿宋_GB2312" w:cs="仿宋_GB2312"/>
          <w:color w:val="auto"/>
          <w:sz w:val="32"/>
          <w:szCs w:val="32"/>
        </w:rPr>
        <w:t>履</w:t>
      </w:r>
      <w:r>
        <w:rPr>
          <w:rFonts w:hint="eastAsia" w:ascii="仿宋_GB2312" w:hAnsi="仿宋_GB2312" w:eastAsia="仿宋_GB2312" w:cs="仿宋_GB2312"/>
          <w:color w:val="auto"/>
          <w:sz w:val="32"/>
          <w:szCs w:val="32"/>
          <w:lang w:eastAsia="zh-CN"/>
        </w:rPr>
        <w:t>职尽</w:t>
      </w:r>
      <w:r>
        <w:rPr>
          <w:rFonts w:hint="eastAsia" w:ascii="仿宋_GB2312" w:hAnsi="仿宋_GB2312" w:eastAsia="仿宋_GB2312" w:cs="仿宋_GB2312"/>
          <w:color w:val="auto"/>
          <w:sz w:val="32"/>
          <w:szCs w:val="32"/>
        </w:rPr>
        <w:t>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完善各级各类学校质量评价标准和质量监测制度，促进学生身心健康、全面发展</w:t>
      </w:r>
      <w:r>
        <w:rPr>
          <w:rFonts w:hint="eastAsia" w:ascii="仿宋_GB2312" w:hAnsi="仿宋_GB2312" w:eastAsia="仿宋_GB2312" w:cs="仿宋_GB2312"/>
          <w:color w:val="auto"/>
          <w:sz w:val="32"/>
          <w:szCs w:val="32"/>
          <w:lang w:eastAsia="zh-CN"/>
        </w:rPr>
        <w:t>，提升教育质量</w:t>
      </w:r>
      <w:r>
        <w:rPr>
          <w:rFonts w:hint="eastAsia" w:ascii="仿宋_GB2312" w:hAnsi="仿宋_GB2312" w:eastAsia="仿宋_GB2312" w:cs="仿宋_GB2312"/>
          <w:color w:val="auto"/>
          <w:sz w:val="32"/>
          <w:szCs w:val="32"/>
        </w:rPr>
        <w:t>。坚持把师德师风作为评价教师队伍素质的第一标准，引导教师全面履行教书育人第一职责，完善教师绩效考核办法。</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德智体美劳过程性评价办法，综合素质评价体系，完善过程性考核与结果性考核有机结合的学业考评制度。</w:t>
      </w:r>
      <w:bookmarkStart w:id="121" w:name="_Toc18413"/>
      <w:bookmarkStart w:id="122" w:name="_Toc2601"/>
      <w:bookmarkStart w:id="123" w:name="_Toc7772"/>
      <w:r>
        <w:rPr>
          <w:rFonts w:hint="eastAsia" w:ascii="仿宋_GB2312" w:hAnsi="仿宋_GB2312" w:eastAsia="仿宋_GB2312" w:cs="仿宋_GB2312"/>
          <w:color w:val="auto"/>
          <w:sz w:val="32"/>
          <w:szCs w:val="32"/>
        </w:rPr>
        <w:t>逐步完善体育和健康、音乐、美术、信息技术、通用技术等5个学科的学业水平考试方案，促进学生全面发展。推进用人评价改革</w:t>
      </w:r>
      <w:bookmarkEnd w:id="121"/>
      <w:bookmarkEnd w:id="122"/>
      <w:bookmarkEnd w:id="123"/>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建立以品德和能力为导向、以岗位需求为目标的人才使用机制，</w:t>
      </w:r>
      <w:r>
        <w:rPr>
          <w:rFonts w:hint="eastAsia" w:ascii="仿宋_GB2312" w:hAnsi="仿宋_GB2312" w:eastAsia="仿宋_GB2312" w:cs="仿宋_GB2312"/>
          <w:color w:val="auto"/>
          <w:sz w:val="32"/>
          <w:szCs w:val="32"/>
          <w:lang w:eastAsia="zh-CN"/>
        </w:rPr>
        <w:t>做到人岗相适</w:t>
      </w:r>
      <w:r>
        <w:rPr>
          <w:rFonts w:hint="eastAsia" w:ascii="仿宋_GB2312" w:hAnsi="仿宋_GB2312" w:eastAsia="仿宋_GB2312" w:cs="仿宋_GB2312"/>
          <w:color w:val="auto"/>
          <w:sz w:val="32"/>
          <w:szCs w:val="32"/>
        </w:rPr>
        <w:t>，共同营造促进教育发展</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良好生态。</w:t>
      </w:r>
    </w:p>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32"/>
          <w:szCs w:val="32"/>
          <w:lang w:eastAsia="zh-CN"/>
        </w:rPr>
      </w:pPr>
      <w:bookmarkStart w:id="124" w:name="_Toc15286_WPSOffice_Level2"/>
      <w:bookmarkStart w:id="125" w:name="_Toc30844"/>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2.</w:t>
      </w:r>
      <w:r>
        <w:rPr>
          <w:rFonts w:hint="eastAsia" w:ascii="仿宋_GB2312" w:hAnsi="仿宋_GB2312" w:eastAsia="仿宋_GB2312" w:cs="仿宋_GB2312"/>
          <w:b/>
          <w:bCs/>
          <w:color w:val="auto"/>
          <w:sz w:val="32"/>
          <w:szCs w:val="32"/>
        </w:rPr>
        <w:t>推进依法治教依法治校。</w:t>
      </w:r>
      <w:bookmarkEnd w:id="124"/>
      <w:r>
        <w:rPr>
          <w:rFonts w:hint="eastAsia" w:ascii="仿宋_GB2312" w:hAnsi="仿宋_GB2312" w:eastAsia="仿宋_GB2312" w:cs="仿宋_GB2312"/>
          <w:color w:val="auto"/>
          <w:sz w:val="32"/>
          <w:szCs w:val="32"/>
        </w:rPr>
        <w:t>提高依法行政和依法治教的能力和</w:t>
      </w:r>
      <w:r>
        <w:rPr>
          <w:rFonts w:hint="eastAsia" w:ascii="仿宋_GB2312" w:hAnsi="仿宋_GB2312" w:eastAsia="仿宋_GB2312" w:cs="仿宋_GB2312"/>
          <w:color w:val="auto"/>
          <w:sz w:val="32"/>
          <w:szCs w:val="32"/>
          <w:lang w:eastAsia="zh-CN"/>
        </w:rPr>
        <w:t>水平，</w:t>
      </w:r>
      <w:r>
        <w:rPr>
          <w:rFonts w:hint="eastAsia" w:ascii="仿宋_GB2312" w:hAnsi="仿宋_GB2312" w:eastAsia="仿宋_GB2312" w:cs="仿宋_GB2312"/>
          <w:color w:val="auto"/>
          <w:sz w:val="32"/>
          <w:szCs w:val="32"/>
        </w:rPr>
        <w:t>加强教育行政执法与执法监督，及时查处各类教育违规违法办学行为。发挥中小学党组织在学校治理中的政治核心作用。深入开展师生法治教育，加强校务信息公开工作，依法保障教师学生的合法权益</w:t>
      </w:r>
      <w:r>
        <w:rPr>
          <w:rFonts w:hint="eastAsia" w:ascii="仿宋_GB2312" w:hAnsi="仿宋_GB2312" w:eastAsia="仿宋_GB2312" w:cs="仿宋_GB2312"/>
          <w:color w:val="auto"/>
          <w:sz w:val="32"/>
          <w:szCs w:val="32"/>
          <w:lang w:eastAsia="zh-CN"/>
        </w:rPr>
        <w:t>。全面落实党政主要负责人第一责任人制度，全面激发学校办学活力。</w:t>
      </w:r>
      <w:bookmarkEnd w:id="125"/>
    </w:p>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32"/>
          <w:szCs w:val="32"/>
          <w:lang w:eastAsia="zh-CN"/>
        </w:rPr>
      </w:pPr>
      <w:bookmarkStart w:id="126" w:name="_Toc8956"/>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不断</w:t>
      </w:r>
      <w:r>
        <w:rPr>
          <w:rFonts w:hint="eastAsia" w:ascii="仿宋_GB2312" w:hAnsi="仿宋_GB2312" w:eastAsia="仿宋_GB2312" w:cs="仿宋_GB2312"/>
          <w:b/>
          <w:bCs/>
          <w:color w:val="auto"/>
          <w:sz w:val="32"/>
          <w:szCs w:val="32"/>
          <w:lang w:eastAsia="zh-CN"/>
        </w:rPr>
        <w:t>提升</w:t>
      </w:r>
      <w:r>
        <w:rPr>
          <w:rFonts w:hint="eastAsia" w:ascii="仿宋_GB2312" w:hAnsi="仿宋_GB2312" w:eastAsia="仿宋_GB2312" w:cs="仿宋_GB2312"/>
          <w:b/>
          <w:bCs/>
          <w:color w:val="auto"/>
          <w:sz w:val="32"/>
          <w:szCs w:val="32"/>
        </w:rPr>
        <w:t>校园安全治理</w:t>
      </w:r>
      <w:r>
        <w:rPr>
          <w:rFonts w:hint="eastAsia" w:ascii="仿宋_GB2312" w:hAnsi="仿宋_GB2312" w:eastAsia="仿宋_GB2312" w:cs="仿宋_GB2312"/>
          <w:b/>
          <w:bCs/>
          <w:color w:val="auto"/>
          <w:sz w:val="32"/>
          <w:szCs w:val="32"/>
          <w:lang w:eastAsia="zh-CN"/>
        </w:rPr>
        <w:t>水平。</w:t>
      </w:r>
      <w:r>
        <w:rPr>
          <w:rFonts w:hint="eastAsia" w:ascii="仿宋_GB2312" w:hAnsi="仿宋_GB2312" w:eastAsia="仿宋_GB2312" w:cs="仿宋_GB2312"/>
          <w:color w:val="auto"/>
          <w:sz w:val="32"/>
          <w:szCs w:val="32"/>
          <w:lang w:eastAsia="zh-CN"/>
        </w:rPr>
        <w:t>强化</w:t>
      </w:r>
      <w:r>
        <w:rPr>
          <w:rFonts w:hint="eastAsia" w:ascii="仿宋_GB2312" w:hAnsi="仿宋_GB2312" w:eastAsia="仿宋_GB2312" w:cs="仿宋_GB2312"/>
          <w:color w:val="auto"/>
          <w:sz w:val="32"/>
          <w:szCs w:val="32"/>
        </w:rPr>
        <w:t>平安校园建设，</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安全保障</w:t>
      </w:r>
      <w:r>
        <w:rPr>
          <w:rFonts w:hint="eastAsia" w:ascii="仿宋_GB2312" w:hAnsi="仿宋_GB2312" w:eastAsia="仿宋_GB2312" w:cs="仿宋_GB2312"/>
          <w:color w:val="auto"/>
          <w:sz w:val="32"/>
          <w:szCs w:val="32"/>
          <w:lang w:eastAsia="zh-CN"/>
        </w:rPr>
        <w:t>体系。落实校园安全风险防控工作，完善校园安全工作责任制，健全学校家庭社会协同育人机制，开展校园安全领域专项整治工程。</w:t>
      </w:r>
      <w:r>
        <w:rPr>
          <w:rFonts w:hint="eastAsia" w:ascii="仿宋_GB2312" w:hAnsi="仿宋_GB2312" w:eastAsia="仿宋_GB2312" w:cs="仿宋_GB2312"/>
          <w:color w:val="auto"/>
          <w:sz w:val="32"/>
          <w:szCs w:val="32"/>
        </w:rPr>
        <w:t>加强校园周边治安综合治理，及时化解教育改革和发展过程中的各种矛盾，加强学校、家庭、社会和司法</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联动保护，有效预防未成年</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犯罪。配齐配足安保人员和安防设施设备，</w:t>
      </w:r>
      <w:r>
        <w:rPr>
          <w:rFonts w:hint="eastAsia" w:ascii="仿宋_GB2312" w:hAnsi="仿宋_GB2312" w:eastAsia="仿宋_GB2312" w:cs="仿宋_GB2312"/>
          <w:color w:val="auto"/>
          <w:sz w:val="32"/>
          <w:szCs w:val="32"/>
          <w:lang w:eastAsia="zh-CN"/>
        </w:rPr>
        <w:t>提升</w:t>
      </w:r>
      <w:r>
        <w:rPr>
          <w:rFonts w:hint="eastAsia" w:ascii="仿宋_GB2312" w:hAnsi="仿宋_GB2312" w:eastAsia="仿宋_GB2312" w:cs="仿宋_GB2312"/>
          <w:color w:val="auto"/>
          <w:sz w:val="32"/>
          <w:szCs w:val="32"/>
        </w:rPr>
        <w:t>安保人员</w:t>
      </w:r>
      <w:r>
        <w:rPr>
          <w:rFonts w:hint="eastAsia" w:ascii="仿宋_GB2312" w:hAnsi="仿宋_GB2312" w:eastAsia="仿宋_GB2312" w:cs="仿宋_GB2312"/>
          <w:color w:val="auto"/>
          <w:sz w:val="32"/>
          <w:szCs w:val="32"/>
          <w:lang w:eastAsia="zh-CN"/>
        </w:rPr>
        <w:t>业务水平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打造高素质的</w:t>
      </w:r>
      <w:r>
        <w:rPr>
          <w:rFonts w:hint="eastAsia" w:ascii="仿宋_GB2312" w:hAnsi="仿宋_GB2312" w:eastAsia="仿宋_GB2312" w:cs="仿宋_GB2312"/>
          <w:color w:val="auto"/>
          <w:sz w:val="32"/>
          <w:szCs w:val="32"/>
        </w:rPr>
        <w:t>安保队伍。加强对师生</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宣传教育，强化各种</w:t>
      </w:r>
      <w:r>
        <w:rPr>
          <w:rFonts w:hint="eastAsia" w:ascii="仿宋_GB2312" w:hAnsi="仿宋_GB2312" w:eastAsia="仿宋_GB2312" w:cs="仿宋_GB2312"/>
          <w:color w:val="auto"/>
          <w:sz w:val="32"/>
          <w:szCs w:val="32"/>
          <w:lang w:eastAsia="zh-CN"/>
        </w:rPr>
        <w:t>安全</w:t>
      </w:r>
      <w:r>
        <w:rPr>
          <w:rFonts w:hint="eastAsia" w:ascii="仿宋_GB2312" w:hAnsi="仿宋_GB2312" w:eastAsia="仿宋_GB2312" w:cs="仿宋_GB2312"/>
          <w:color w:val="auto"/>
          <w:sz w:val="32"/>
          <w:szCs w:val="32"/>
        </w:rPr>
        <w:t>防范演练。</w:t>
      </w:r>
      <w:bookmarkEnd w:id="126"/>
    </w:p>
    <w:p>
      <w:pPr>
        <w:widowControl/>
        <w:wordWrap/>
        <w:adjustRightInd/>
        <w:snapToGrid/>
        <w:spacing w:line="560" w:lineRule="exact"/>
        <w:ind w:left="0" w:leftChars="0" w:right="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落实深化新时代教育督导机制改革。</w:t>
      </w:r>
      <w:r>
        <w:rPr>
          <w:rFonts w:hint="eastAsia" w:ascii="仿宋_GB2312" w:hAnsi="仿宋_GB2312" w:eastAsia="仿宋_GB2312" w:cs="仿宋_GB2312"/>
          <w:color w:val="auto"/>
          <w:sz w:val="32"/>
          <w:szCs w:val="32"/>
        </w:rPr>
        <w:t>完善义务教育督导评估制度，落实教育督导督政、督学、评估监测职能，</w:t>
      </w:r>
      <w:r>
        <w:rPr>
          <w:rFonts w:hint="eastAsia" w:ascii="仿宋_GB2312" w:hAnsi="仿宋_GB2312" w:eastAsia="仿宋_GB2312" w:cs="仿宋_GB2312"/>
          <w:color w:val="auto"/>
          <w:sz w:val="32"/>
          <w:szCs w:val="32"/>
          <w:lang w:eastAsia="zh-CN"/>
        </w:rPr>
        <w:t>发挥教育督导，</w:t>
      </w:r>
      <w:r>
        <w:rPr>
          <w:rFonts w:hint="eastAsia" w:ascii="仿宋_GB2312" w:hAnsi="仿宋_GB2312" w:eastAsia="仿宋_GB2312" w:cs="仿宋_GB2312"/>
          <w:color w:val="auto"/>
          <w:sz w:val="32"/>
          <w:szCs w:val="32"/>
        </w:rPr>
        <w:t>改进中小学校责任督学挂牌督导工作机制。加强教育评估监测结果应用，切实提高评估监测实效。加强教育督导队伍建设，</w:t>
      </w:r>
      <w:r>
        <w:rPr>
          <w:rFonts w:hint="eastAsia" w:ascii="仿宋_GB2312" w:hAnsi="仿宋_GB2312" w:eastAsia="仿宋_GB2312" w:cs="仿宋_GB2312"/>
          <w:color w:val="auto"/>
          <w:sz w:val="32"/>
          <w:szCs w:val="32"/>
          <w:lang w:eastAsia="zh-CN"/>
        </w:rPr>
        <w:t>按比例配备专兼职督学，将督学培训纳入年度培训计划，</w:t>
      </w:r>
      <w:r>
        <w:rPr>
          <w:rFonts w:hint="eastAsia" w:ascii="仿宋_GB2312" w:hAnsi="仿宋_GB2312" w:eastAsia="仿宋_GB2312" w:cs="仿宋_GB2312"/>
          <w:color w:val="auto"/>
          <w:sz w:val="32"/>
          <w:szCs w:val="32"/>
        </w:rPr>
        <w:t>努力建立一支素质</w:t>
      </w:r>
      <w:r>
        <w:rPr>
          <w:rFonts w:hint="eastAsia" w:ascii="仿宋_GB2312" w:hAnsi="仿宋_GB2312" w:eastAsia="仿宋_GB2312" w:cs="仿宋_GB2312"/>
          <w:color w:val="auto"/>
          <w:sz w:val="32"/>
          <w:szCs w:val="32"/>
          <w:lang w:eastAsia="zh-CN"/>
        </w:rPr>
        <w:t>过硬、业务精湛</w:t>
      </w:r>
      <w:r>
        <w:rPr>
          <w:rFonts w:hint="eastAsia" w:ascii="仿宋_GB2312" w:hAnsi="仿宋_GB2312" w:eastAsia="仿宋_GB2312" w:cs="仿宋_GB2312"/>
          <w:color w:val="auto"/>
          <w:sz w:val="32"/>
          <w:szCs w:val="32"/>
        </w:rPr>
        <w:t>的专兼职督导队伍。加强教育督导与信息化的融合，力争</w:t>
      </w:r>
      <w:r>
        <w:rPr>
          <w:rFonts w:hint="eastAsia" w:ascii="仿宋_GB2312" w:hAnsi="仿宋_GB2312" w:eastAsia="仿宋_GB2312" w:cs="仿宋_GB2312"/>
          <w:color w:val="auto"/>
          <w:sz w:val="32"/>
          <w:szCs w:val="32"/>
          <w:lang w:eastAsia="zh-CN"/>
        </w:rPr>
        <w:t>到</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年基本实行督学责任区和学校督导网格化管理。</w:t>
      </w:r>
    </w:p>
    <w:p>
      <w:pPr>
        <w:pStyle w:val="2"/>
        <w:wordWrap/>
        <w:adjustRightInd/>
        <w:snapToGrid/>
        <w:spacing w:line="560" w:lineRule="exact"/>
        <w:ind w:left="0" w:leftChars="0" w:right="0" w:firstLine="643" w:firstLineChars="200"/>
        <w:rPr>
          <w:rFonts w:hint="eastAsia" w:ascii="黑体" w:hAnsi="黑体" w:eastAsia="黑体" w:cs="黑体"/>
          <w:b w:val="0"/>
          <w:bCs/>
          <w:color w:val="auto"/>
          <w:szCs w:val="32"/>
          <w:lang w:val="en-US" w:eastAsia="zh-CN"/>
        </w:rPr>
      </w:pPr>
      <w:bookmarkStart w:id="127" w:name="_Toc29760_WPSOffice_Level1"/>
      <w:bookmarkStart w:id="128" w:name="_Toc17908"/>
      <w:bookmarkStart w:id="129" w:name="_Toc24595"/>
      <w:r>
        <w:rPr>
          <w:rFonts w:hint="eastAsia"/>
          <w:b w:val="0"/>
          <w:bCs/>
          <w:color w:val="auto"/>
          <w:lang w:eastAsia="zh-CN"/>
        </w:rPr>
        <w:t>四、</w:t>
      </w:r>
      <w:r>
        <w:rPr>
          <w:rFonts w:hint="eastAsia"/>
          <w:b w:val="0"/>
          <w:bCs/>
          <w:color w:val="auto"/>
        </w:rPr>
        <w:t>保障措施</w:t>
      </w:r>
      <w:bookmarkEnd w:id="127"/>
      <w:bookmarkEnd w:id="128"/>
      <w:bookmarkEnd w:id="129"/>
    </w:p>
    <w:p>
      <w:pPr>
        <w:pStyle w:val="3"/>
        <w:wordWrap/>
        <w:adjustRightInd/>
        <w:snapToGrid/>
        <w:spacing w:line="560" w:lineRule="exact"/>
        <w:ind w:left="0" w:leftChars="0" w:right="0"/>
        <w:rPr>
          <w:rFonts w:hint="eastAsia"/>
          <w:color w:val="auto"/>
          <w:lang w:val="en-US" w:eastAsia="zh-CN"/>
        </w:rPr>
      </w:pPr>
      <w:bookmarkStart w:id="130" w:name="_Toc18085_WPSOffice_Level2"/>
      <w:bookmarkStart w:id="131" w:name="_Toc19224"/>
      <w:bookmarkStart w:id="132" w:name="_Toc4582"/>
      <w:r>
        <w:rPr>
          <w:rFonts w:hint="eastAsia"/>
          <w:color w:val="auto"/>
        </w:rPr>
        <w:t>（一）加强</w:t>
      </w:r>
      <w:r>
        <w:rPr>
          <w:rFonts w:hint="eastAsia"/>
          <w:color w:val="auto"/>
          <w:lang w:eastAsia="zh-CN"/>
        </w:rPr>
        <w:t>组织</w:t>
      </w:r>
      <w:r>
        <w:rPr>
          <w:rFonts w:hint="eastAsia"/>
          <w:color w:val="auto"/>
        </w:rPr>
        <w:t>领导</w:t>
      </w:r>
      <w:bookmarkEnd w:id="130"/>
      <w:r>
        <w:rPr>
          <w:rFonts w:hint="eastAsia"/>
          <w:color w:val="auto"/>
          <w:lang w:eastAsia="zh-CN"/>
        </w:rPr>
        <w:t>建设</w:t>
      </w:r>
      <w:bookmarkEnd w:id="131"/>
      <w:bookmarkEnd w:id="132"/>
      <w:r>
        <w:rPr>
          <w:rFonts w:hint="eastAsia"/>
          <w:color w:val="auto"/>
          <w:lang w:val="en-US" w:eastAsia="zh-CN"/>
        </w:rPr>
        <w:t xml:space="preserve"> </w:t>
      </w:r>
    </w:p>
    <w:p>
      <w:pPr>
        <w:widowControl/>
        <w:wordWrap/>
        <w:adjustRightInd/>
        <w:snapToGrid/>
        <w:spacing w:line="560" w:lineRule="exact"/>
        <w:ind w:left="0" w:leftChars="0" w:right="0" w:firstLine="643"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充分发挥县委教育工作领导小组的作用，定期召开会议研究解决教育发展过程中遇到的问题，</w:t>
      </w:r>
      <w:r>
        <w:rPr>
          <w:rFonts w:hint="eastAsia" w:ascii="仿宋_GB2312" w:hAnsi="仿宋_GB2312" w:eastAsia="仿宋_GB2312" w:cs="仿宋_GB2312"/>
          <w:color w:val="auto"/>
          <w:sz w:val="32"/>
          <w:szCs w:val="32"/>
        </w:rPr>
        <w:t>协调政府各部门</w:t>
      </w:r>
      <w:r>
        <w:rPr>
          <w:rFonts w:hint="eastAsia" w:ascii="仿宋_GB2312" w:hAnsi="仿宋_GB2312" w:eastAsia="仿宋_GB2312" w:cs="仿宋_GB2312"/>
          <w:color w:val="auto"/>
          <w:sz w:val="32"/>
          <w:szCs w:val="32"/>
          <w:lang w:eastAsia="zh-CN"/>
        </w:rPr>
        <w:t>大力</w:t>
      </w:r>
      <w:r>
        <w:rPr>
          <w:rFonts w:hint="eastAsia" w:ascii="仿宋_GB2312" w:hAnsi="仿宋_GB2312" w:eastAsia="仿宋_GB2312" w:cs="仿宋_GB2312"/>
          <w:color w:val="auto"/>
          <w:sz w:val="32"/>
          <w:szCs w:val="32"/>
        </w:rPr>
        <w:t>支持教育发展，动员和争取社会各方面关心支持教育事业，营造教育发展的良好氛围。</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积极履行教育系统党委主体责任，</w:t>
      </w:r>
      <w:r>
        <w:rPr>
          <w:rFonts w:hint="eastAsia" w:ascii="仿宋_GB2312" w:hAnsi="仿宋_GB2312" w:eastAsia="仿宋_GB2312" w:cs="仿宋_GB2312"/>
          <w:color w:val="auto"/>
          <w:sz w:val="32"/>
          <w:szCs w:val="32"/>
        </w:rPr>
        <w:t>坚持党建工作和业务工作同谋划、同部署、同研究、同考核。加强</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学校领导班子建设，</w:t>
      </w:r>
      <w:r>
        <w:rPr>
          <w:rFonts w:hint="eastAsia" w:ascii="仿宋_GB2312" w:hAnsi="仿宋_GB2312" w:eastAsia="仿宋_GB2312" w:cs="仿宋_GB2312"/>
          <w:color w:val="auto"/>
          <w:sz w:val="32"/>
          <w:szCs w:val="32"/>
          <w:lang w:eastAsia="zh-CN"/>
        </w:rPr>
        <w:t>选优配强班子成员，进一步</w:t>
      </w:r>
      <w:r>
        <w:rPr>
          <w:rFonts w:hint="eastAsia" w:ascii="仿宋_GB2312" w:hAnsi="仿宋_GB2312" w:eastAsia="仿宋_GB2312" w:cs="仿宋_GB2312"/>
          <w:color w:val="auto"/>
          <w:sz w:val="32"/>
          <w:szCs w:val="32"/>
        </w:rPr>
        <w:t>健全</w:t>
      </w:r>
      <w:r>
        <w:rPr>
          <w:rFonts w:hint="eastAsia" w:ascii="仿宋_GB2312" w:hAnsi="仿宋_GB2312" w:eastAsia="仿宋_GB2312" w:cs="仿宋_GB2312"/>
          <w:color w:val="auto"/>
          <w:sz w:val="32"/>
          <w:szCs w:val="32"/>
          <w:lang w:eastAsia="zh-CN"/>
        </w:rPr>
        <w:t>学校班子成员</w:t>
      </w:r>
      <w:r>
        <w:rPr>
          <w:rFonts w:hint="eastAsia" w:ascii="仿宋_GB2312" w:hAnsi="仿宋_GB2312" w:eastAsia="仿宋_GB2312" w:cs="仿宋_GB2312"/>
          <w:color w:val="auto"/>
          <w:sz w:val="32"/>
          <w:szCs w:val="32"/>
        </w:rPr>
        <w:t>选拔任用和管理制度。</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val="0"/>
          <w:bCs w:val="0"/>
          <w:color w:val="auto"/>
          <w:sz w:val="32"/>
          <w:szCs w:val="32"/>
          <w:lang w:eastAsia="zh-CN"/>
        </w:rPr>
        <w:t>全面落实党组织领导的校（园）长负责制，</w:t>
      </w:r>
      <w:r>
        <w:rPr>
          <w:rFonts w:hint="eastAsia" w:ascii="仿宋_GB2312" w:hAnsi="仿宋_GB2312" w:eastAsia="仿宋_GB2312" w:cs="仿宋_GB2312"/>
          <w:color w:val="auto"/>
          <w:sz w:val="32"/>
          <w:szCs w:val="32"/>
        </w:rPr>
        <w:t>加强学校党组织建设和党员队伍建设</w:t>
      </w:r>
      <w:r>
        <w:rPr>
          <w:rFonts w:hint="eastAsia" w:ascii="仿宋_GB2312" w:hAnsi="仿宋_GB2312" w:eastAsia="仿宋_GB2312" w:cs="仿宋_GB2312"/>
          <w:color w:val="auto"/>
          <w:sz w:val="32"/>
          <w:szCs w:val="32"/>
          <w:lang w:eastAsia="zh-CN"/>
        </w:rPr>
        <w:t>。全面落实党风</w:t>
      </w:r>
      <w:r>
        <w:rPr>
          <w:rFonts w:hint="eastAsia" w:ascii="仿宋_GB2312" w:hAnsi="仿宋_GB2312" w:eastAsia="仿宋_GB2312" w:cs="仿宋_GB2312"/>
          <w:color w:val="auto"/>
          <w:sz w:val="32"/>
          <w:szCs w:val="32"/>
        </w:rPr>
        <w:t>廉政建设责任制，</w:t>
      </w:r>
      <w:r>
        <w:rPr>
          <w:rFonts w:hint="eastAsia" w:ascii="仿宋_GB2312" w:hAnsi="仿宋_GB2312" w:eastAsia="仿宋_GB2312" w:cs="仿宋_GB2312"/>
          <w:color w:val="auto"/>
          <w:sz w:val="32"/>
          <w:szCs w:val="32"/>
          <w:lang w:eastAsia="zh-CN"/>
        </w:rPr>
        <w:t>营造风清气正的干事创业氛围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pStyle w:val="3"/>
        <w:wordWrap/>
        <w:adjustRightInd/>
        <w:snapToGrid/>
        <w:spacing w:line="560" w:lineRule="exact"/>
        <w:ind w:left="0" w:leftChars="0" w:right="0"/>
        <w:rPr>
          <w:rFonts w:hint="eastAsia" w:ascii="楷体_GB2312" w:hAnsi="楷体_GB2312" w:eastAsia="楷体_GB2312" w:cs="楷体_GB2312"/>
          <w:color w:val="auto"/>
          <w:szCs w:val="32"/>
        </w:rPr>
      </w:pPr>
      <w:bookmarkStart w:id="133" w:name="_Toc23454_WPSOffice_Level2"/>
      <w:bookmarkStart w:id="134" w:name="_Toc12598"/>
      <w:bookmarkStart w:id="135" w:name="_Toc5749"/>
      <w:r>
        <w:rPr>
          <w:rFonts w:hint="eastAsia"/>
          <w:color w:val="auto"/>
        </w:rPr>
        <w:t>（</w:t>
      </w:r>
      <w:r>
        <w:rPr>
          <w:rFonts w:hint="eastAsia"/>
          <w:color w:val="auto"/>
          <w:lang w:eastAsia="zh-CN"/>
        </w:rPr>
        <w:t>二</w:t>
      </w:r>
      <w:r>
        <w:rPr>
          <w:rFonts w:hint="eastAsia"/>
          <w:color w:val="auto"/>
        </w:rPr>
        <w:t>）</w:t>
      </w:r>
      <w:r>
        <w:rPr>
          <w:rFonts w:hint="eastAsia"/>
          <w:color w:val="auto"/>
          <w:lang w:eastAsia="zh-CN"/>
        </w:rPr>
        <w:t>加强</w:t>
      </w:r>
      <w:r>
        <w:rPr>
          <w:rFonts w:hint="eastAsia"/>
          <w:color w:val="auto"/>
        </w:rPr>
        <w:t>经费投入</w:t>
      </w:r>
      <w:bookmarkEnd w:id="133"/>
      <w:r>
        <w:rPr>
          <w:rFonts w:hint="eastAsia"/>
          <w:color w:val="auto"/>
          <w:lang w:eastAsia="zh-CN"/>
        </w:rPr>
        <w:t>管理</w:t>
      </w:r>
      <w:bookmarkEnd w:id="134"/>
      <w:bookmarkEnd w:id="135"/>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健全</w:t>
      </w:r>
      <w:r>
        <w:rPr>
          <w:rFonts w:hint="eastAsia" w:ascii="仿宋_GB2312" w:hAnsi="仿宋_GB2312" w:eastAsia="仿宋_GB2312" w:cs="仿宋_GB2312"/>
          <w:color w:val="auto"/>
          <w:sz w:val="32"/>
          <w:szCs w:val="32"/>
        </w:rPr>
        <w:t>政府投入为主、多渠道筹措经费的教育投入体制，进一步完善教育公共财政体制改革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加大政府对教育的投入，确保落实教育经费“两个只增不减”。完善学生资助体系，</w:t>
      </w:r>
      <w:r>
        <w:rPr>
          <w:rFonts w:hint="eastAsia" w:ascii="仿宋_GB2312" w:hAnsi="仿宋_GB2312" w:eastAsia="仿宋_GB2312" w:cs="仿宋_GB2312"/>
          <w:color w:val="auto"/>
          <w:sz w:val="32"/>
          <w:szCs w:val="32"/>
          <w:lang w:eastAsia="zh-CN"/>
        </w:rPr>
        <w:t>按时发放补助资金，</w:t>
      </w:r>
      <w:r>
        <w:rPr>
          <w:rFonts w:hint="eastAsia" w:ascii="仿宋_GB2312" w:hAnsi="仿宋_GB2312" w:eastAsia="仿宋_GB2312" w:cs="仿宋_GB2312"/>
          <w:color w:val="auto"/>
          <w:sz w:val="32"/>
          <w:szCs w:val="32"/>
        </w:rPr>
        <w:t>保证贫困学生顺利入学。</w:t>
      </w:r>
      <w:r>
        <w:rPr>
          <w:rFonts w:hint="eastAsia" w:ascii="仿宋_GB2312" w:hAnsi="仿宋_GB2312" w:eastAsia="仿宋_GB2312" w:cs="仿宋_GB2312"/>
          <w:color w:val="auto"/>
          <w:sz w:val="32"/>
          <w:szCs w:val="32"/>
          <w:lang w:eastAsia="zh-CN"/>
        </w:rPr>
        <w:t>科学规划教育经费支出，优化各级各类教育经费支出结构。</w:t>
      </w:r>
      <w:r>
        <w:rPr>
          <w:rFonts w:hint="eastAsia" w:ascii="仿宋_GB2312" w:hAnsi="仿宋_GB2312" w:eastAsia="仿宋_GB2312" w:cs="仿宋_GB2312"/>
          <w:color w:val="auto"/>
          <w:sz w:val="32"/>
          <w:szCs w:val="32"/>
        </w:rPr>
        <w:t>进一步规范经费管理，提高经费使用效益。规范学校财务管理，加强项目资金管理。建立健全教育系统内部审计制度，完善监督机制，预防和查处各种违规违法行为，确保经费安全。</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引导社会力量加大教育投入</w:t>
      </w:r>
      <w:r>
        <w:rPr>
          <w:rFonts w:hint="eastAsia" w:ascii="仿宋_GB2312" w:hAnsi="仿宋_GB2312" w:eastAsia="仿宋_GB2312" w:cs="仿宋_GB2312"/>
          <w:color w:val="auto"/>
          <w:sz w:val="32"/>
          <w:szCs w:val="32"/>
          <w:lang w:eastAsia="zh-CN"/>
        </w:rPr>
        <w:t>，投资办学。</w:t>
      </w:r>
    </w:p>
    <w:p>
      <w:pPr>
        <w:pStyle w:val="3"/>
        <w:rPr>
          <w:rFonts w:hint="eastAsia"/>
          <w:lang w:val="en-US" w:eastAsia="zh-CN"/>
        </w:rPr>
      </w:pPr>
      <w:bookmarkStart w:id="136" w:name="_Toc5853"/>
      <w:r>
        <w:rPr>
          <w:rFonts w:hint="eastAsia"/>
          <w:lang w:val="en-US" w:eastAsia="zh-CN"/>
        </w:rPr>
        <w:t>（三）</w:t>
      </w:r>
      <w:r>
        <w:rPr>
          <w:rFonts w:hint="eastAsia"/>
        </w:rPr>
        <w:t>加强教育</w:t>
      </w:r>
      <w:r>
        <w:rPr>
          <w:rFonts w:hint="eastAsia"/>
          <w:lang w:eastAsia="zh-CN"/>
        </w:rPr>
        <w:t>科研</w:t>
      </w:r>
      <w:r>
        <w:rPr>
          <w:rFonts w:hint="eastAsia"/>
        </w:rPr>
        <w:t>建设</w:t>
      </w:r>
      <w:bookmarkEnd w:id="136"/>
    </w:p>
    <w:p>
      <w:pPr>
        <w:widowControl/>
        <w:numPr>
          <w:numId w:val="0"/>
        </w:numPr>
        <w:wordWrap/>
        <w:adjustRightInd/>
        <w:snapToGrid/>
        <w:spacing w:line="560" w:lineRule="exact"/>
        <w:ind w:left="0" w:leftChars="0" w:right="0" w:firstLine="640" w:firstLineChars="200"/>
        <w:jc w:val="both"/>
        <w:textAlignment w:val="baseline"/>
        <w:rPr>
          <w:rFonts w:hint="eastAsia" w:ascii="楷体" w:hAnsi="楷体" w:eastAsia="楷体" w:cs="楷体"/>
          <w:b w:val="0"/>
          <w:bCs w:val="0"/>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建立健全各级各类教育科研工作机制，对教育和教学重点、热点、难点问题持续跟踪，</w:t>
      </w:r>
      <w:r>
        <w:rPr>
          <w:rFonts w:hint="eastAsia" w:ascii="仿宋_GB2312" w:hAnsi="仿宋_GB2312" w:eastAsia="仿宋_GB2312" w:cs="仿宋_GB2312"/>
          <w:color w:val="auto"/>
          <w:sz w:val="32"/>
          <w:szCs w:val="32"/>
          <w:lang w:eastAsia="zh-CN"/>
        </w:rPr>
        <w:t>促进实践，</w:t>
      </w:r>
      <w:r>
        <w:rPr>
          <w:rFonts w:hint="eastAsia" w:ascii="仿宋_GB2312" w:hAnsi="仿宋_GB2312" w:eastAsia="仿宋_GB2312" w:cs="仿宋_GB2312"/>
          <w:color w:val="auto"/>
          <w:sz w:val="32"/>
          <w:szCs w:val="32"/>
        </w:rPr>
        <w:t>提高教育决策科学化水平和教育实践专业化质量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着力服务教育决策、创新教育理论、指导教育实践、引导教育舆论。</w:t>
      </w:r>
    </w:p>
    <w:p>
      <w:pPr>
        <w:widowControl/>
        <w:numPr>
          <w:numId w:val="0"/>
        </w:numPr>
        <w:wordWrap/>
        <w:adjustRightInd/>
        <w:snapToGrid/>
        <w:spacing w:line="560" w:lineRule="exact"/>
        <w:ind w:right="0"/>
        <w:jc w:val="both"/>
        <w:textAlignment w:val="baseline"/>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w:t>
      </w:r>
      <w:bookmarkStart w:id="137" w:name="_Toc5850"/>
      <w:r>
        <w:rPr>
          <w:rStyle w:val="28"/>
          <w:rFonts w:hint="eastAsia"/>
          <w:lang w:val="en-US" w:eastAsia="zh-CN"/>
        </w:rPr>
        <w:t>（四）</w:t>
      </w:r>
      <w:r>
        <w:rPr>
          <w:rStyle w:val="28"/>
          <w:rFonts w:hint="eastAsia"/>
          <w:lang w:eastAsia="zh-CN"/>
        </w:rPr>
        <w:t>加强教育结对帮扶</w:t>
      </w:r>
      <w:bookmarkEnd w:id="137"/>
      <w:r>
        <w:rPr>
          <w:rFonts w:hint="eastAsia" w:ascii="楷体" w:hAnsi="楷体" w:eastAsia="楷体" w:cs="楷体"/>
          <w:b w:val="0"/>
          <w:bCs w:val="0"/>
          <w:color w:val="auto"/>
          <w:sz w:val="32"/>
          <w:szCs w:val="32"/>
          <w:lang w:val="en-US" w:eastAsia="zh-CN"/>
        </w:rPr>
        <w:t xml:space="preserve"> </w:t>
      </w:r>
    </w:p>
    <w:p>
      <w:pPr>
        <w:widowControl/>
        <w:numPr>
          <w:numId w:val="0"/>
        </w:numPr>
        <w:wordWrap/>
        <w:adjustRightInd/>
        <w:snapToGrid/>
        <w:spacing w:line="560" w:lineRule="exact"/>
        <w:ind w:left="0" w:leftChars="0" w:right="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贯彻落实广东省人民政府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关于印发广东省推进基础教育高质量发展行动方案的通知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精神，全力推进全口径全方位融入式帮扶粤东西北地区基础教育高质量发展工作。加强与黄埔区教育局、广州航海学院、广州华南商贸职业学院、广东碧桂园职业学院、广州涉外经济职业技术学院的沟通联系，深入推进“校镇结对”帮扶工作，不断提升教育帮扶工作实效。</w:t>
      </w:r>
    </w:p>
    <w:p>
      <w:pPr>
        <w:widowControl/>
        <w:wordWrap/>
        <w:adjustRightInd/>
        <w:snapToGrid/>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p>
    <w:p>
      <w:pPr>
        <w:wordWrap/>
        <w:adjustRightInd/>
        <w:snapToGrid/>
        <w:spacing w:line="560" w:lineRule="exact"/>
        <w:ind w:left="0" w:leftChars="0" w:right="0"/>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1"/>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汉仪颜楷W">
    <w:altName w:val="宋体"/>
    <w:panose1 w:val="00000000000000000000"/>
    <w:charset w:val="86"/>
    <w:family w:val="auto"/>
    <w:pitch w:val="default"/>
    <w:sig w:usb0="00000000" w:usb1="00000000" w:usb2="00000016" w:usb3="00000000" w:csb0="003E009F" w:csb1="00000000"/>
  </w:font>
  <w:font w:name="华康宋体W12">
    <w:altName w:val="微软雅黑"/>
    <w:panose1 w:val="00000000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Times New Roman" w:hAnsi="Times New Roman" w:eastAsia="宋体" w:cs="Times New Roman"/>
        <w:kern w:val="2"/>
        <w:sz w:val="18"/>
        <w:szCs w:val="24"/>
        <w:lang w:val="en-US" w:eastAsia="zh-CN" w:bidi="ar-SA"/>
      </w:rPr>
      <w:pict>
        <v:rect id="文本框 5" o:spid="_x0000_s1025"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center" w:yAlign="top"/>
      <w:widowControl w:val="0"/>
      <w:pBdr>
        <w:top w:val="none" w:color="auto" w:sz="0" w:space="0"/>
        <w:left w:val="none" w:color="auto" w:sz="0" w:space="0"/>
        <w:bottom w:val="none" w:color="auto" w:sz="0" w:space="0"/>
        <w:right w:val="none" w:color="auto" w:sz="0" w:space="0"/>
        <w:between w:val="none" w:color="auto" w:sz="0" w:space="0"/>
      </w:pBdr>
      <w:spacing w:after="0" w:afterLines="0"/>
      <w:jc w:val="both"/>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center"/>
      <w:rPr>
        <w:rFonts w:ascii="Times New Roman" w:hAnsi="Times New Roman" w:cs="Times New Roman"/>
      </w:rPr>
    </w:pPr>
    <w:r>
      <w:rPr>
        <w:rFonts w:ascii="Times New Roman" w:hAnsi="Times New Roman" w:eastAsia="宋体" w:cs="Times New Roman"/>
        <w:kern w:val="2"/>
        <w:sz w:val="18"/>
        <w:szCs w:val="24"/>
        <w:lang w:val="en-US" w:eastAsia="zh-CN" w:bidi="ar-SA"/>
      </w:rPr>
      <w:pict>
        <v:shape id="文本框 11" o:spid="_x0000_s1026" type="#_x0000_t202" style="position:absolute;left:0;margin-top:0pt;height:144pt;width:144pt;mso-position-horizontal:outside;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w:r>
    <w:r>
      <w:rPr>
        <w:rFonts w:ascii="Calibri" w:hAnsi="Calibri" w:eastAsia="宋体" w:cs="黑体"/>
        <w:kern w:val="2"/>
        <w:sz w:val="18"/>
        <w:szCs w:val="24"/>
        <w:lang w:val="en-US" w:eastAsia="zh-CN" w:bidi="ar-SA"/>
      </w:rPr>
      <w:pict>
        <v:rect id="矩形 7" o:spid="_x0000_s1027" style="position:absolute;left:0;margin-top:0pt;height:18.15pt;width:35.05pt;mso-position-horizontal:right;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0"/>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xbxContent>
          </v:textbox>
        </v:rect>
      </w:pic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center"/>
      <w:rPr>
        <w:rFonts w:ascii="Times New Roman" w:hAnsi="Times New Roman" w:cs="Times New Roman"/>
      </w:rPr>
    </w:pPr>
    <w:r>
      <w:rPr>
        <w:rFonts w:ascii="Times New Roman" w:hAnsi="Times New Roman" w:eastAsia="宋体" w:cs="Times New Roman"/>
        <w:kern w:val="2"/>
        <w:sz w:val="18"/>
        <w:szCs w:val="24"/>
        <w:lang w:val="en-US" w:eastAsia="zh-CN" w:bidi="ar-SA"/>
      </w:rPr>
      <w:pict>
        <v:shape id="文本框 11" o:spid="_x0000_s1028" type="#_x0000_t202" style="position:absolute;left:0;margin-top:0pt;height:144pt;width:144pt;mso-position-horizontal:outside;mso-position-horizontal-relative:margin;mso-wrap-style:none;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w:r>
    <w:r>
      <w:rPr>
        <w:rFonts w:ascii="Calibri" w:hAnsi="Calibri" w:eastAsia="宋体" w:cs="黑体"/>
        <w:kern w:val="2"/>
        <w:sz w:val="18"/>
        <w:szCs w:val="24"/>
        <w:lang w:val="en-US" w:eastAsia="zh-CN" w:bidi="ar-SA"/>
      </w:rPr>
      <w:pict>
        <v:rect id="矩形 7" o:spid="_x0000_s1029" style="position:absolute;left:0;margin-top:0pt;height:18.15pt;width:35.05pt;mso-position-horizontal:right;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0"/>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xbxContent>
          </v:textbox>
        </v:rect>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4E820B6"/>
    <w:rsid w:val="00503466"/>
    <w:rsid w:val="00643C37"/>
    <w:rsid w:val="0075185B"/>
    <w:rsid w:val="01767791"/>
    <w:rsid w:val="01DD231A"/>
    <w:rsid w:val="01F04763"/>
    <w:rsid w:val="0210355F"/>
    <w:rsid w:val="0233355D"/>
    <w:rsid w:val="02B9701D"/>
    <w:rsid w:val="02C71614"/>
    <w:rsid w:val="03DD7B59"/>
    <w:rsid w:val="048C0C6B"/>
    <w:rsid w:val="050141AC"/>
    <w:rsid w:val="054C44BB"/>
    <w:rsid w:val="055D00F2"/>
    <w:rsid w:val="0610075A"/>
    <w:rsid w:val="066F14DA"/>
    <w:rsid w:val="0686138D"/>
    <w:rsid w:val="06E767A0"/>
    <w:rsid w:val="07262CE8"/>
    <w:rsid w:val="076D48B8"/>
    <w:rsid w:val="07E6681D"/>
    <w:rsid w:val="087A306B"/>
    <w:rsid w:val="08DA5AF0"/>
    <w:rsid w:val="08ED60E4"/>
    <w:rsid w:val="08FA0414"/>
    <w:rsid w:val="098E251A"/>
    <w:rsid w:val="09A02285"/>
    <w:rsid w:val="09B23BAC"/>
    <w:rsid w:val="09BA4126"/>
    <w:rsid w:val="0A9B2889"/>
    <w:rsid w:val="0AE85676"/>
    <w:rsid w:val="0B0355CE"/>
    <w:rsid w:val="0BA0750F"/>
    <w:rsid w:val="0BDE573B"/>
    <w:rsid w:val="0CDD2697"/>
    <w:rsid w:val="0D0F2341"/>
    <w:rsid w:val="0DA6424C"/>
    <w:rsid w:val="0DB86051"/>
    <w:rsid w:val="0E017F43"/>
    <w:rsid w:val="0E22723D"/>
    <w:rsid w:val="0EEF3D8A"/>
    <w:rsid w:val="0EFD6BF8"/>
    <w:rsid w:val="0F4716FD"/>
    <w:rsid w:val="0FAE0688"/>
    <w:rsid w:val="0FC009B4"/>
    <w:rsid w:val="10FD0596"/>
    <w:rsid w:val="122C0D09"/>
    <w:rsid w:val="12341B34"/>
    <w:rsid w:val="126074B5"/>
    <w:rsid w:val="12671815"/>
    <w:rsid w:val="12844500"/>
    <w:rsid w:val="12D211D7"/>
    <w:rsid w:val="138A2845"/>
    <w:rsid w:val="13BA0AD1"/>
    <w:rsid w:val="148F05DF"/>
    <w:rsid w:val="15115B44"/>
    <w:rsid w:val="15295024"/>
    <w:rsid w:val="15702014"/>
    <w:rsid w:val="163B1E8D"/>
    <w:rsid w:val="16584767"/>
    <w:rsid w:val="165E6B94"/>
    <w:rsid w:val="16FF7753"/>
    <w:rsid w:val="174574CA"/>
    <w:rsid w:val="17680DB9"/>
    <w:rsid w:val="178E1FDF"/>
    <w:rsid w:val="179517B3"/>
    <w:rsid w:val="17F33E37"/>
    <w:rsid w:val="182C2822"/>
    <w:rsid w:val="1854257F"/>
    <w:rsid w:val="186B5EAE"/>
    <w:rsid w:val="186B73D7"/>
    <w:rsid w:val="18BE6ADD"/>
    <w:rsid w:val="1911797F"/>
    <w:rsid w:val="1956542C"/>
    <w:rsid w:val="19BA6C8D"/>
    <w:rsid w:val="1ADC77B4"/>
    <w:rsid w:val="1AF64716"/>
    <w:rsid w:val="1AFB5BBA"/>
    <w:rsid w:val="1BC97E7B"/>
    <w:rsid w:val="1C094A73"/>
    <w:rsid w:val="1CAB4CF0"/>
    <w:rsid w:val="1CAE6B75"/>
    <w:rsid w:val="1D1602E0"/>
    <w:rsid w:val="1D6A4617"/>
    <w:rsid w:val="1E090F87"/>
    <w:rsid w:val="1E7560A4"/>
    <w:rsid w:val="1EB45400"/>
    <w:rsid w:val="1EFC071A"/>
    <w:rsid w:val="1F6E3D03"/>
    <w:rsid w:val="20C36FEC"/>
    <w:rsid w:val="20C402FB"/>
    <w:rsid w:val="20FF5852"/>
    <w:rsid w:val="2121728D"/>
    <w:rsid w:val="212B07A8"/>
    <w:rsid w:val="214D531E"/>
    <w:rsid w:val="2192783D"/>
    <w:rsid w:val="21990ED2"/>
    <w:rsid w:val="21C14D08"/>
    <w:rsid w:val="22803F2D"/>
    <w:rsid w:val="22C14C42"/>
    <w:rsid w:val="249E5DC3"/>
    <w:rsid w:val="24E820B6"/>
    <w:rsid w:val="252C4A41"/>
    <w:rsid w:val="25432403"/>
    <w:rsid w:val="25862652"/>
    <w:rsid w:val="25B8021C"/>
    <w:rsid w:val="26716CFE"/>
    <w:rsid w:val="26A65B26"/>
    <w:rsid w:val="26E63CA8"/>
    <w:rsid w:val="27C76CBB"/>
    <w:rsid w:val="27F24C0B"/>
    <w:rsid w:val="281E4EE5"/>
    <w:rsid w:val="28793736"/>
    <w:rsid w:val="28B819BD"/>
    <w:rsid w:val="298777A6"/>
    <w:rsid w:val="29973C8C"/>
    <w:rsid w:val="29F92BD2"/>
    <w:rsid w:val="2A7F4825"/>
    <w:rsid w:val="2ACF6E59"/>
    <w:rsid w:val="2AEE6111"/>
    <w:rsid w:val="2B132BD3"/>
    <w:rsid w:val="2B811686"/>
    <w:rsid w:val="2BBF326C"/>
    <w:rsid w:val="2BD0370A"/>
    <w:rsid w:val="2C0C4AB0"/>
    <w:rsid w:val="2C8E2453"/>
    <w:rsid w:val="2DFC46A6"/>
    <w:rsid w:val="2E7849C5"/>
    <w:rsid w:val="2EB92B13"/>
    <w:rsid w:val="2ED85481"/>
    <w:rsid w:val="2FA9373A"/>
    <w:rsid w:val="2FD34D87"/>
    <w:rsid w:val="2FDE56D1"/>
    <w:rsid w:val="308E2B1D"/>
    <w:rsid w:val="30D52AEB"/>
    <w:rsid w:val="315B6A01"/>
    <w:rsid w:val="31E06AC8"/>
    <w:rsid w:val="32CB7540"/>
    <w:rsid w:val="33D06B4D"/>
    <w:rsid w:val="33E76612"/>
    <w:rsid w:val="340D4A66"/>
    <w:rsid w:val="346A7C9C"/>
    <w:rsid w:val="346D7EE0"/>
    <w:rsid w:val="348C63EC"/>
    <w:rsid w:val="348E0EB0"/>
    <w:rsid w:val="34A2402E"/>
    <w:rsid w:val="34BB4E6F"/>
    <w:rsid w:val="353E1DC7"/>
    <w:rsid w:val="35DB1E1C"/>
    <w:rsid w:val="35E23EF5"/>
    <w:rsid w:val="372B3B50"/>
    <w:rsid w:val="3763311B"/>
    <w:rsid w:val="376F3DDA"/>
    <w:rsid w:val="37BF51AD"/>
    <w:rsid w:val="37CE46B3"/>
    <w:rsid w:val="38446683"/>
    <w:rsid w:val="384C4AAA"/>
    <w:rsid w:val="38B24A1D"/>
    <w:rsid w:val="38B272A2"/>
    <w:rsid w:val="38F46177"/>
    <w:rsid w:val="39247B4A"/>
    <w:rsid w:val="39F82445"/>
    <w:rsid w:val="3A52034D"/>
    <w:rsid w:val="3A665FC4"/>
    <w:rsid w:val="3AB64553"/>
    <w:rsid w:val="3AE5113B"/>
    <w:rsid w:val="3B2970A6"/>
    <w:rsid w:val="3B8E2446"/>
    <w:rsid w:val="3BB97633"/>
    <w:rsid w:val="3BF76C2B"/>
    <w:rsid w:val="3C0A36F6"/>
    <w:rsid w:val="3C2442CD"/>
    <w:rsid w:val="3C294E37"/>
    <w:rsid w:val="3C365F75"/>
    <w:rsid w:val="3D256456"/>
    <w:rsid w:val="3DCD0C07"/>
    <w:rsid w:val="3E4A63B1"/>
    <w:rsid w:val="3E553DE1"/>
    <w:rsid w:val="3E5C6842"/>
    <w:rsid w:val="3EFB6BE4"/>
    <w:rsid w:val="3F732512"/>
    <w:rsid w:val="3FB46EA0"/>
    <w:rsid w:val="40111A34"/>
    <w:rsid w:val="40165570"/>
    <w:rsid w:val="4084556F"/>
    <w:rsid w:val="408E460F"/>
    <w:rsid w:val="40A103B4"/>
    <w:rsid w:val="415D7FB3"/>
    <w:rsid w:val="4178118F"/>
    <w:rsid w:val="419355A0"/>
    <w:rsid w:val="41C421D4"/>
    <w:rsid w:val="41E93219"/>
    <w:rsid w:val="4201099A"/>
    <w:rsid w:val="42037E4C"/>
    <w:rsid w:val="422F6835"/>
    <w:rsid w:val="423C19BA"/>
    <w:rsid w:val="43716FB5"/>
    <w:rsid w:val="438E68BB"/>
    <w:rsid w:val="439F6E40"/>
    <w:rsid w:val="43F9520E"/>
    <w:rsid w:val="446264F9"/>
    <w:rsid w:val="44B3611F"/>
    <w:rsid w:val="44DB1302"/>
    <w:rsid w:val="44F72543"/>
    <w:rsid w:val="450612A0"/>
    <w:rsid w:val="452342DF"/>
    <w:rsid w:val="45490DD0"/>
    <w:rsid w:val="45736F4D"/>
    <w:rsid w:val="462F7C2E"/>
    <w:rsid w:val="467F5163"/>
    <w:rsid w:val="46BB00E5"/>
    <w:rsid w:val="46DF39E2"/>
    <w:rsid w:val="46F14806"/>
    <w:rsid w:val="46FC3A4B"/>
    <w:rsid w:val="472912CC"/>
    <w:rsid w:val="482000F6"/>
    <w:rsid w:val="482647E5"/>
    <w:rsid w:val="487651F7"/>
    <w:rsid w:val="48801F1F"/>
    <w:rsid w:val="48D84969"/>
    <w:rsid w:val="49594DA2"/>
    <w:rsid w:val="49772408"/>
    <w:rsid w:val="49B81CA5"/>
    <w:rsid w:val="4B3173CA"/>
    <w:rsid w:val="4B627841"/>
    <w:rsid w:val="4C6455F0"/>
    <w:rsid w:val="4C9D60D9"/>
    <w:rsid w:val="4D283FA8"/>
    <w:rsid w:val="4D59618A"/>
    <w:rsid w:val="4D8B4013"/>
    <w:rsid w:val="4E185455"/>
    <w:rsid w:val="4E2128C8"/>
    <w:rsid w:val="4E541A2D"/>
    <w:rsid w:val="4F7D3FF9"/>
    <w:rsid w:val="4FFA3A12"/>
    <w:rsid w:val="504C789E"/>
    <w:rsid w:val="513E499B"/>
    <w:rsid w:val="513F1B85"/>
    <w:rsid w:val="514A4AF5"/>
    <w:rsid w:val="51C07CE8"/>
    <w:rsid w:val="529C1522"/>
    <w:rsid w:val="52F126B4"/>
    <w:rsid w:val="52FC7BC4"/>
    <w:rsid w:val="53496628"/>
    <w:rsid w:val="53947B91"/>
    <w:rsid w:val="53E52370"/>
    <w:rsid w:val="53F85F7C"/>
    <w:rsid w:val="5400421C"/>
    <w:rsid w:val="54284D90"/>
    <w:rsid w:val="543769EE"/>
    <w:rsid w:val="54AC0F87"/>
    <w:rsid w:val="560B6630"/>
    <w:rsid w:val="563C1DB7"/>
    <w:rsid w:val="56413FE4"/>
    <w:rsid w:val="56D6120E"/>
    <w:rsid w:val="57297531"/>
    <w:rsid w:val="5733374B"/>
    <w:rsid w:val="5745294F"/>
    <w:rsid w:val="57FB407B"/>
    <w:rsid w:val="581F55B4"/>
    <w:rsid w:val="58D07C56"/>
    <w:rsid w:val="58E9138E"/>
    <w:rsid w:val="58F04C1D"/>
    <w:rsid w:val="59033B6E"/>
    <w:rsid w:val="5A37574F"/>
    <w:rsid w:val="5A4679C7"/>
    <w:rsid w:val="5A4B666F"/>
    <w:rsid w:val="5B6D1A2D"/>
    <w:rsid w:val="5B6F4478"/>
    <w:rsid w:val="5B7D1C5E"/>
    <w:rsid w:val="5B834D7D"/>
    <w:rsid w:val="5BAC71A5"/>
    <w:rsid w:val="5C1D773E"/>
    <w:rsid w:val="5C8D13D6"/>
    <w:rsid w:val="5CF72F18"/>
    <w:rsid w:val="5D326E73"/>
    <w:rsid w:val="5D611D86"/>
    <w:rsid w:val="5DB640DC"/>
    <w:rsid w:val="5E604609"/>
    <w:rsid w:val="5EB83BFE"/>
    <w:rsid w:val="5F043CE1"/>
    <w:rsid w:val="5F3A7E78"/>
    <w:rsid w:val="5F5721A9"/>
    <w:rsid w:val="5F725E7F"/>
    <w:rsid w:val="5F7B0EA1"/>
    <w:rsid w:val="5F8E7EA7"/>
    <w:rsid w:val="5FAE4117"/>
    <w:rsid w:val="5FBB774A"/>
    <w:rsid w:val="5FD10012"/>
    <w:rsid w:val="603E22F3"/>
    <w:rsid w:val="60466450"/>
    <w:rsid w:val="61127968"/>
    <w:rsid w:val="61B01454"/>
    <w:rsid w:val="61D51DCF"/>
    <w:rsid w:val="62DF0F92"/>
    <w:rsid w:val="6370425C"/>
    <w:rsid w:val="638B4D76"/>
    <w:rsid w:val="63962C5D"/>
    <w:rsid w:val="63CF28F0"/>
    <w:rsid w:val="63F20E62"/>
    <w:rsid w:val="63F81775"/>
    <w:rsid w:val="64097972"/>
    <w:rsid w:val="647C1645"/>
    <w:rsid w:val="6483424A"/>
    <w:rsid w:val="64A70B29"/>
    <w:rsid w:val="6539030C"/>
    <w:rsid w:val="65C64B82"/>
    <w:rsid w:val="667D5383"/>
    <w:rsid w:val="66987D71"/>
    <w:rsid w:val="66B36571"/>
    <w:rsid w:val="67420839"/>
    <w:rsid w:val="67444448"/>
    <w:rsid w:val="6750122F"/>
    <w:rsid w:val="682E174C"/>
    <w:rsid w:val="68920E13"/>
    <w:rsid w:val="689C4CF2"/>
    <w:rsid w:val="6A367BDC"/>
    <w:rsid w:val="6A7F06E4"/>
    <w:rsid w:val="6AA15957"/>
    <w:rsid w:val="6B183381"/>
    <w:rsid w:val="6C1B4558"/>
    <w:rsid w:val="6C426B56"/>
    <w:rsid w:val="6CEC653D"/>
    <w:rsid w:val="6E196AF7"/>
    <w:rsid w:val="6E4447AA"/>
    <w:rsid w:val="6E4F6F1B"/>
    <w:rsid w:val="6FBF56BC"/>
    <w:rsid w:val="6FE02438"/>
    <w:rsid w:val="70082EF5"/>
    <w:rsid w:val="70365E60"/>
    <w:rsid w:val="704D1CCB"/>
    <w:rsid w:val="70637D47"/>
    <w:rsid w:val="70D4063E"/>
    <w:rsid w:val="70F00981"/>
    <w:rsid w:val="71622555"/>
    <w:rsid w:val="71CA2BFF"/>
    <w:rsid w:val="734051A3"/>
    <w:rsid w:val="736326C5"/>
    <w:rsid w:val="739D46DE"/>
    <w:rsid w:val="73F0079F"/>
    <w:rsid w:val="745F3CD5"/>
    <w:rsid w:val="75676ECB"/>
    <w:rsid w:val="76017E5C"/>
    <w:rsid w:val="76265381"/>
    <w:rsid w:val="765C070C"/>
    <w:rsid w:val="768325BE"/>
    <w:rsid w:val="77003C39"/>
    <w:rsid w:val="7712732E"/>
    <w:rsid w:val="777D45A4"/>
    <w:rsid w:val="77E42955"/>
    <w:rsid w:val="77EE1D29"/>
    <w:rsid w:val="782A5BAB"/>
    <w:rsid w:val="7875722E"/>
    <w:rsid w:val="789B73BC"/>
    <w:rsid w:val="78A0127C"/>
    <w:rsid w:val="794A63C3"/>
    <w:rsid w:val="7A2C43C7"/>
    <w:rsid w:val="7A3B246D"/>
    <w:rsid w:val="7A4A7F58"/>
    <w:rsid w:val="7B175F8D"/>
    <w:rsid w:val="7B4663B7"/>
    <w:rsid w:val="7D54384C"/>
    <w:rsid w:val="7E0E34C5"/>
    <w:rsid w:val="7E5667F8"/>
    <w:rsid w:val="7E753C1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jc w:val="left"/>
      <w:textAlignment w:val="baseline"/>
      <w:outlineLvl w:val="0"/>
    </w:pPr>
    <w:rPr>
      <w:rFonts w:hint="eastAsia" w:ascii="宋体" w:hAnsi="宋体" w:eastAsia="黑体" w:cs="Times New Roman"/>
      <w:b/>
      <w:kern w:val="44"/>
      <w:sz w:val="32"/>
      <w:szCs w:val="48"/>
    </w:rPr>
  </w:style>
  <w:style w:type="paragraph" w:styleId="3">
    <w:name w:val="heading 2"/>
    <w:basedOn w:val="1"/>
    <w:next w:val="1"/>
    <w:link w:val="28"/>
    <w:uiPriority w:val="0"/>
    <w:pPr>
      <w:keepNext/>
      <w:keepLines/>
      <w:widowControl/>
      <w:spacing w:line="560" w:lineRule="exact"/>
      <w:ind w:firstLine="420" w:firstLineChars="200"/>
      <w:textAlignment w:val="baseline"/>
      <w:outlineLvl w:val="1"/>
    </w:pPr>
    <w:rPr>
      <w:rFonts w:ascii="Cambria" w:hAnsi="Cambria" w:eastAsia="楷体_GB2312" w:cs="Times New Roman"/>
      <w:bCs/>
      <w:sz w:val="32"/>
      <w:szCs w:val="32"/>
    </w:rPr>
  </w:style>
  <w:style w:type="character" w:default="1" w:styleId="18">
    <w:name w:val="Default Paragraph Font"/>
    <w:semiHidden/>
    <w:qFormat/>
    <w:uiPriority w:val="0"/>
  </w:style>
  <w:style w:type="table" w:default="1" w:styleId="20">
    <w:name w:val="Normal Table"/>
    <w:semiHidden/>
    <w:qFormat/>
    <w:uiPriority w:val="0"/>
    <w:tblPr>
      <w:tblStyle w:val="20"/>
      <w:tblLayout w:type="fixed"/>
      <w:tblCellMar>
        <w:top w:w="0" w:type="dxa"/>
        <w:left w:w="108" w:type="dxa"/>
        <w:bottom w:w="0" w:type="dxa"/>
        <w:right w:w="108" w:type="dxa"/>
      </w:tblCellMar>
    </w:tblPr>
    <w:tcPr>
      <w:textDirection w:val="lrTb"/>
    </w:tcPr>
  </w:style>
  <w:style w:type="paragraph" w:styleId="4">
    <w:name w:val="toc 7"/>
    <w:basedOn w:val="1"/>
    <w:next w:val="1"/>
    <w:uiPriority w:val="0"/>
    <w:pPr>
      <w:ind w:left="2520" w:leftChars="1200"/>
    </w:pPr>
  </w:style>
  <w:style w:type="paragraph" w:styleId="5">
    <w:name w:val="Normal Indent"/>
    <w:basedOn w:val="1"/>
    <w:uiPriority w:val="0"/>
    <w:pPr>
      <w:ind w:firstLine="420" w:firstLineChars="200"/>
    </w:pPr>
    <w:rPr>
      <w:rFonts w:ascii="Times New Roman" w:hAnsi="Times New Roman" w:eastAsia="Times New Roman" w:cs="Times New Roman"/>
      <w:sz w:val="30"/>
      <w:szCs w:val="24"/>
    </w:rPr>
  </w:style>
  <w:style w:type="paragraph" w:styleId="6">
    <w:name w:val="annotation text"/>
    <w:basedOn w:val="1"/>
    <w:uiPriority w:val="0"/>
    <w:pPr>
      <w:jc w:val="left"/>
    </w:pPr>
  </w:style>
  <w:style w:type="paragraph" w:styleId="7">
    <w:name w:val="toc 5"/>
    <w:basedOn w:val="1"/>
    <w:next w:val="1"/>
    <w:uiPriority w:val="0"/>
    <w:pPr>
      <w:ind w:left="1680" w:leftChars="800"/>
    </w:pPr>
  </w:style>
  <w:style w:type="paragraph" w:styleId="8">
    <w:name w:val="toc 3"/>
    <w:basedOn w:val="1"/>
    <w:next w:val="1"/>
    <w:uiPriority w:val="0"/>
    <w:pPr>
      <w:ind w:left="840" w:leftChars="400"/>
    </w:pPr>
  </w:style>
  <w:style w:type="paragraph" w:styleId="9">
    <w:name w:val="toc 8"/>
    <w:basedOn w:val="1"/>
    <w:next w:val="1"/>
    <w:uiPriority w:val="0"/>
    <w:pPr>
      <w:ind w:left="2940" w:leftChars="1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uiPriority w:val="0"/>
  </w:style>
  <w:style w:type="paragraph" w:styleId="13">
    <w:name w:val="toc 4"/>
    <w:basedOn w:val="1"/>
    <w:next w:val="1"/>
    <w:uiPriority w:val="0"/>
    <w:pPr>
      <w:ind w:left="1260" w:leftChars="600"/>
    </w:pPr>
  </w:style>
  <w:style w:type="paragraph" w:styleId="14">
    <w:name w:val="toc 6"/>
    <w:basedOn w:val="1"/>
    <w:next w:val="1"/>
    <w:uiPriority w:val="0"/>
    <w:pPr>
      <w:ind w:left="2100" w:leftChars="1000"/>
    </w:pPr>
  </w:style>
  <w:style w:type="paragraph" w:styleId="15">
    <w:name w:val="toc 2"/>
    <w:basedOn w:val="1"/>
    <w:next w:val="1"/>
    <w:uiPriority w:val="0"/>
    <w:pPr>
      <w:ind w:left="420" w:leftChars="200"/>
    </w:pPr>
  </w:style>
  <w:style w:type="paragraph" w:styleId="16">
    <w:name w:val="toc 9"/>
    <w:basedOn w:val="1"/>
    <w:next w:val="1"/>
    <w:uiPriority w:val="0"/>
    <w:pPr>
      <w:ind w:left="3360" w:leftChars="1600"/>
    </w:pPr>
  </w:style>
  <w:style w:type="paragraph" w:styleId="17">
    <w:name w:val="Normal (Web)"/>
    <w:basedOn w:val="1"/>
    <w:uiPriority w:val="0"/>
    <w:pPr>
      <w:spacing w:before="100" w:beforeAutospacing="1" w:after="100" w:afterAutospacing="1"/>
      <w:ind w:left="0" w:right="0"/>
      <w:jc w:val="left"/>
    </w:pPr>
    <w:rPr>
      <w:kern w:val="0"/>
      <w:sz w:val="24"/>
      <w:lang w:val="en-US" w:eastAsia="zh-CN"/>
    </w:rPr>
  </w:style>
  <w:style w:type="character" w:styleId="19">
    <w:name w:val="FollowedHyperlink"/>
    <w:basedOn w:val="18"/>
    <w:uiPriority w:val="0"/>
    <w:rPr>
      <w:color w:val="800080"/>
      <w:u w:val="single"/>
    </w:rPr>
  </w:style>
  <w:style w:type="paragraph" w:customStyle="1" w:styleId="21">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2">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UserStyle_0"/>
    <w:link w:val="29"/>
    <w:qFormat/>
    <w:uiPriority w:val="0"/>
    <w:pPr>
      <w:spacing w:line="240" w:lineRule="auto"/>
      <w:jc w:val="both"/>
      <w:textAlignment w:val="baseline"/>
    </w:pPr>
    <w:rPr>
      <w:rFonts w:ascii="Times New Roman" w:hAnsi="Times New Roman" w:eastAsia="宋体" w:cs="Times New Roman"/>
      <w:sz w:val="21"/>
      <w:szCs w:val="20"/>
      <w:lang w:val="en-US" w:eastAsia="zh-CN" w:bidi="ar-SA"/>
    </w:rPr>
  </w:style>
  <w:style w:type="paragraph" w:customStyle="1" w:styleId="26">
    <w:name w:val="正文 New New New New New New New New New"/>
    <w:uiPriority w:val="0"/>
    <w:pPr>
      <w:widowControl w:val="0"/>
      <w:jc w:val="both"/>
    </w:pPr>
    <w:rPr>
      <w:rFonts w:ascii="Times New Roman" w:hAnsi="Times New Roman" w:eastAsia="宋体" w:cs="Times New Roman"/>
      <w:kern w:val="2"/>
      <w:sz w:val="21"/>
      <w:lang w:val="en-US" w:eastAsia="zh-CN" w:bidi="ar-SA"/>
    </w:rPr>
  </w:style>
  <w:style w:type="character" w:customStyle="1" w:styleId="27">
    <w:name w:val="font31"/>
    <w:basedOn w:val="18"/>
    <w:qFormat/>
    <w:uiPriority w:val="0"/>
    <w:rPr>
      <w:rFonts w:hint="eastAsia" w:ascii="宋体" w:hAnsi="宋体" w:eastAsia="宋体" w:cs="宋体"/>
      <w:color w:val="000000"/>
      <w:sz w:val="20"/>
      <w:szCs w:val="20"/>
      <w:u w:val="none"/>
    </w:rPr>
  </w:style>
  <w:style w:type="character" w:customStyle="1" w:styleId="28">
    <w:name w:val="标题 2 字符"/>
    <w:link w:val="3"/>
    <w:qFormat/>
    <w:uiPriority w:val="0"/>
    <w:rPr>
      <w:rFonts w:ascii="Cambria" w:hAnsi="Cambria" w:eastAsia="楷体_GB2312" w:cs="Times New Roman"/>
      <w:bCs/>
      <w:sz w:val="32"/>
      <w:szCs w:val="32"/>
    </w:rPr>
  </w:style>
  <w:style w:type="character" w:customStyle="1" w:styleId="29">
    <w:name w:val="NormalCharacter"/>
    <w:link w:val="25"/>
    <w:uiPriority w:val="0"/>
    <w:rPr>
      <w:rFonts w:ascii="Times New Roman" w:hAnsi="Times New Roman" w:eastAsia="宋体" w:cs="Times New Roman"/>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2021-12-14T08:40:00Z</dcterms:created>
  <dc:creator>Administrator</dc:creator>
  <cp:lastModifiedBy>郑常圣</cp:lastModifiedBy>
  <cp:lastPrinted>2022-10-18T08:37:00Z</cp:lastPrinted>
  <dcterms:modified xsi:type="dcterms:W3CDTF">2022-10-31T04:05:59Z</dcterms:modified>
  <dc:title>佛冈县教育发展“十四五”规划（2021-2025）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