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简体" w:cs="方正小标宋简体"/>
          <w:w w:val="99"/>
          <w:position w:val="1"/>
          <w:sz w:val="44"/>
          <w:szCs w:val="44"/>
        </w:rPr>
      </w:pPr>
      <w:r>
        <w:rPr>
          <w:rFonts w:hint="eastAsia" w:eastAsia="方正小标宋简体" w:cs="方正小标宋简体"/>
          <w:w w:val="99"/>
          <w:position w:val="1"/>
          <w:sz w:val="44"/>
          <w:szCs w:val="44"/>
        </w:rPr>
        <w:t>佛冈县</w:t>
      </w:r>
      <w:r>
        <w:rPr>
          <w:rFonts w:hint="eastAsia" w:eastAsia="方正小标宋简体" w:cs="方正小标宋简体"/>
          <w:w w:val="99"/>
          <w:position w:val="1"/>
          <w:sz w:val="44"/>
          <w:szCs w:val="44"/>
          <w:lang w:val="en-US" w:eastAsia="zh-CN"/>
        </w:rPr>
        <w:t>2022年</w:t>
      </w:r>
      <w:bookmarkStart w:id="0" w:name="_GoBack"/>
      <w:bookmarkEnd w:id="0"/>
      <w:r>
        <w:rPr>
          <w:rFonts w:hint="eastAsia" w:eastAsia="方正小标宋简体" w:cs="方正小标宋简体"/>
          <w:w w:val="99"/>
          <w:position w:val="1"/>
          <w:sz w:val="44"/>
          <w:szCs w:val="44"/>
        </w:rPr>
        <w:t>鞋类产品质量监督</w:t>
      </w:r>
      <w:r>
        <w:rPr>
          <w:rFonts w:hint="eastAsia" w:eastAsia="方正小标宋简体" w:cs="方正小标宋简体"/>
          <w:bCs/>
          <w:color w:val="000000"/>
          <w:sz w:val="44"/>
          <w:szCs w:val="44"/>
        </w:rPr>
        <w:t>抽查</w:t>
      </w:r>
    </w:p>
    <w:p>
      <w:pPr>
        <w:spacing w:line="600" w:lineRule="exact"/>
        <w:jc w:val="center"/>
        <w:rPr>
          <w:rFonts w:eastAsia="方正小标宋简体" w:cs="方正小标宋简体"/>
          <w:bCs/>
          <w:color w:val="000000"/>
          <w:sz w:val="44"/>
          <w:szCs w:val="44"/>
        </w:rPr>
      </w:pPr>
      <w:r>
        <w:rPr>
          <w:rFonts w:hint="eastAsia" w:eastAsia="方正小标宋简体" w:cs="方正小标宋简体"/>
          <w:bCs/>
          <w:color w:val="000000"/>
          <w:sz w:val="44"/>
          <w:szCs w:val="44"/>
        </w:rPr>
        <w:t>实施细则</w:t>
      </w:r>
    </w:p>
    <w:p>
      <w:pPr>
        <w:spacing w:line="590" w:lineRule="exact"/>
        <w:ind w:firstLine="880" w:firstLineChars="200"/>
        <w:rPr>
          <w:rFonts w:eastAsia="方正小标宋简体" w:cs="方正小标宋简体"/>
          <w:color w:val="000000"/>
          <w:sz w:val="44"/>
          <w:szCs w:val="44"/>
        </w:rPr>
      </w:pPr>
    </w:p>
    <w:p>
      <w:pPr>
        <w:spacing w:line="590" w:lineRule="exact"/>
        <w:ind w:firstLine="640" w:firstLineChars="200"/>
        <w:rPr>
          <w:rFonts w:ascii="黑体" w:hAnsi="黑体" w:eastAsia="黑体" w:cs="黑体"/>
          <w:szCs w:val="32"/>
        </w:rPr>
      </w:pPr>
      <w:r>
        <w:rPr>
          <w:rFonts w:hint="eastAsia" w:ascii="黑体" w:hAnsi="黑体" w:eastAsia="黑体" w:cs="黑体"/>
          <w:szCs w:val="32"/>
        </w:rPr>
        <w:t>一、抽样方法</w:t>
      </w:r>
    </w:p>
    <w:p>
      <w:pPr>
        <w:widowControl/>
        <w:spacing w:line="600" w:lineRule="exact"/>
        <w:ind w:firstLine="640" w:firstLineChars="200"/>
        <w:rPr>
          <w:kern w:val="0"/>
          <w:szCs w:val="32"/>
        </w:rPr>
      </w:pPr>
      <w:r>
        <w:rPr>
          <w:kern w:val="0"/>
          <w:szCs w:val="32"/>
        </w:rPr>
        <w:t>以随机抽样的方式在</w:t>
      </w:r>
      <w:r>
        <w:rPr>
          <w:rFonts w:hint="eastAsia"/>
          <w:kern w:val="0"/>
          <w:szCs w:val="32"/>
        </w:rPr>
        <w:t>被抽样经营者的待销产品中抽取。</w:t>
      </w:r>
    </w:p>
    <w:p>
      <w:pPr>
        <w:widowControl/>
        <w:spacing w:line="600" w:lineRule="exact"/>
        <w:ind w:firstLine="640" w:firstLineChars="200"/>
        <w:rPr>
          <w:kern w:val="0"/>
          <w:szCs w:val="32"/>
        </w:rPr>
      </w:pPr>
      <w:r>
        <w:rPr>
          <w:rFonts w:hint="eastAsia"/>
          <w:kern w:val="0"/>
          <w:szCs w:val="32"/>
        </w:rPr>
        <w:t>随机数一般可使用随机数表等方法产生。</w:t>
      </w:r>
    </w:p>
    <w:p>
      <w:pPr>
        <w:widowControl/>
        <w:spacing w:line="600" w:lineRule="exact"/>
        <w:ind w:firstLine="640" w:firstLineChars="200"/>
        <w:rPr>
          <w:kern w:val="0"/>
          <w:szCs w:val="32"/>
        </w:rPr>
      </w:pPr>
      <w:r>
        <w:rPr>
          <w:rFonts w:hint="eastAsia"/>
          <w:kern w:val="0"/>
          <w:szCs w:val="32"/>
        </w:rPr>
        <w:t>抽查数量：每款产品抽取2组样本，第1组用于检验，第2组用于备样。具体抽样数量如下：</w:t>
      </w:r>
    </w:p>
    <w:tbl>
      <w:tblPr>
        <w:tblStyle w:val="9"/>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551"/>
        <w:gridCol w:w="1772"/>
        <w:gridCol w:w="177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blHeader/>
          <w:jc w:val="center"/>
        </w:trPr>
        <w:tc>
          <w:tcPr>
            <w:tcW w:w="846" w:type="dxa"/>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序号</w:t>
            </w:r>
          </w:p>
        </w:tc>
        <w:tc>
          <w:tcPr>
            <w:tcW w:w="2551" w:type="dxa"/>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产品名称</w:t>
            </w:r>
          </w:p>
        </w:tc>
        <w:tc>
          <w:tcPr>
            <w:tcW w:w="1772" w:type="dxa"/>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第1组数量</w:t>
            </w:r>
          </w:p>
        </w:tc>
        <w:tc>
          <w:tcPr>
            <w:tcW w:w="1772" w:type="dxa"/>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第2组数量</w:t>
            </w:r>
          </w:p>
        </w:tc>
        <w:tc>
          <w:tcPr>
            <w:tcW w:w="1701" w:type="dxa"/>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4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p>
        </w:tc>
        <w:tc>
          <w:tcPr>
            <w:tcW w:w="2551"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童鞋</w:t>
            </w:r>
          </w:p>
        </w:tc>
        <w:tc>
          <w:tcPr>
            <w:tcW w:w="1772"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2双</w:t>
            </w:r>
          </w:p>
        </w:tc>
        <w:tc>
          <w:tcPr>
            <w:tcW w:w="1772"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1双</w:t>
            </w:r>
          </w:p>
        </w:tc>
        <w:tc>
          <w:tcPr>
            <w:tcW w:w="1701"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46" w:type="dxa"/>
            <w:vAlign w:val="center"/>
          </w:tcPr>
          <w:p>
            <w:pPr>
              <w:adjustRightInd w:val="0"/>
              <w:snapToGrid w:val="0"/>
              <w:spacing w:line="400" w:lineRule="exact"/>
              <w:jc w:val="center"/>
              <w:rPr>
                <w:rFonts w:hint="eastAsia" w:ascii="仿宋_GB2312" w:hAnsi="仿宋_GB2312" w:cs="仿宋_GB2312"/>
                <w:bCs/>
                <w:sz w:val="24"/>
              </w:rPr>
            </w:pPr>
            <w:r>
              <w:rPr>
                <w:rFonts w:hint="eastAsia" w:ascii="仿宋_GB2312" w:hAnsi="仿宋_GB2312" w:cs="仿宋_GB2312"/>
                <w:bCs/>
                <w:sz w:val="24"/>
              </w:rPr>
              <w:t>2</w:t>
            </w:r>
          </w:p>
        </w:tc>
        <w:tc>
          <w:tcPr>
            <w:tcW w:w="2551"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老人健步鞋</w:t>
            </w:r>
          </w:p>
        </w:tc>
        <w:tc>
          <w:tcPr>
            <w:tcW w:w="1772"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2双</w:t>
            </w:r>
          </w:p>
        </w:tc>
        <w:tc>
          <w:tcPr>
            <w:tcW w:w="1772"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1双</w:t>
            </w:r>
          </w:p>
        </w:tc>
        <w:tc>
          <w:tcPr>
            <w:tcW w:w="1701"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46" w:type="dxa"/>
            <w:vAlign w:val="center"/>
          </w:tcPr>
          <w:p>
            <w:pPr>
              <w:adjustRightInd w:val="0"/>
              <w:snapToGrid w:val="0"/>
              <w:spacing w:line="400" w:lineRule="exact"/>
              <w:jc w:val="center"/>
              <w:rPr>
                <w:rFonts w:hint="eastAsia" w:ascii="仿宋_GB2312" w:hAnsi="仿宋_GB2312" w:cs="仿宋_GB2312"/>
                <w:bCs/>
                <w:sz w:val="24"/>
              </w:rPr>
            </w:pPr>
            <w:r>
              <w:rPr>
                <w:rFonts w:hint="eastAsia" w:ascii="仿宋_GB2312" w:hAnsi="仿宋_GB2312" w:cs="仿宋_GB2312"/>
                <w:bCs/>
                <w:sz w:val="24"/>
              </w:rPr>
              <w:t>3</w:t>
            </w:r>
          </w:p>
        </w:tc>
        <w:tc>
          <w:tcPr>
            <w:tcW w:w="2551"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橡塑凉拖鞋</w:t>
            </w:r>
          </w:p>
        </w:tc>
        <w:tc>
          <w:tcPr>
            <w:tcW w:w="1772"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2双</w:t>
            </w:r>
          </w:p>
        </w:tc>
        <w:tc>
          <w:tcPr>
            <w:tcW w:w="1772"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1双</w:t>
            </w:r>
          </w:p>
        </w:tc>
        <w:tc>
          <w:tcPr>
            <w:tcW w:w="1701" w:type="dxa"/>
            <w:vAlign w:val="center"/>
          </w:tcPr>
          <w:p>
            <w:pPr>
              <w:adjustRightInd w:val="0"/>
              <w:snapToGrid w:val="0"/>
              <w:spacing w:line="400" w:lineRule="exact"/>
              <w:jc w:val="center"/>
              <w:rPr>
                <w:rFonts w:ascii="仿宋_GB2312" w:hAnsi="仿宋_GB2312" w:cs="仿宋_GB2312"/>
                <w:bCs/>
                <w:sz w:val="24"/>
              </w:rPr>
            </w:pPr>
          </w:p>
        </w:tc>
      </w:tr>
    </w:tbl>
    <w:p>
      <w:pPr>
        <w:widowControl/>
        <w:ind w:firstLine="640" w:firstLineChars="200"/>
        <w:jc w:val="left"/>
        <w:rPr>
          <w:rFonts w:eastAsia="黑体" w:cs="黑体"/>
          <w:color w:val="000000"/>
          <w:szCs w:val="32"/>
        </w:rPr>
      </w:pPr>
      <w:r>
        <w:rPr>
          <w:rFonts w:hint="eastAsia" w:eastAsia="黑体" w:cs="黑体"/>
          <w:color w:val="000000"/>
          <w:szCs w:val="32"/>
        </w:rPr>
        <w:t>二、主要检验项目及检验项目属性划分</w:t>
      </w:r>
    </w:p>
    <w:p>
      <w:pPr>
        <w:adjustRightInd w:val="0"/>
        <w:snapToGrid w:val="0"/>
        <w:spacing w:line="560" w:lineRule="exact"/>
        <w:ind w:firstLine="640"/>
        <w:rPr>
          <w:kern w:val="0"/>
          <w:szCs w:val="32"/>
        </w:rPr>
      </w:pPr>
      <w:r>
        <w:rPr>
          <w:rFonts w:hint="eastAsia"/>
          <w:kern w:val="0"/>
          <w:szCs w:val="32"/>
        </w:rPr>
        <w:t>（</w:t>
      </w:r>
      <w:r>
        <w:rPr>
          <w:kern w:val="0"/>
          <w:szCs w:val="32"/>
        </w:rPr>
        <w:t>1</w:t>
      </w:r>
      <w:r>
        <w:rPr>
          <w:rFonts w:hint="eastAsia"/>
          <w:kern w:val="0"/>
          <w:szCs w:val="32"/>
        </w:rPr>
        <w:t>）童鞋</w:t>
      </w:r>
    </w:p>
    <w:tbl>
      <w:tblPr>
        <w:tblStyle w:val="9"/>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126"/>
        <w:gridCol w:w="2069"/>
        <w:gridCol w:w="766"/>
        <w:gridCol w:w="710"/>
        <w:gridCol w:w="900"/>
        <w:gridCol w:w="792"/>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序号</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检验项目</w:t>
            </w:r>
          </w:p>
        </w:tc>
        <w:tc>
          <w:tcPr>
            <w:tcW w:w="20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检验方法</w:t>
            </w: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强制性</w:t>
            </w:r>
          </w:p>
        </w:tc>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非强制性</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重要项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较重</w:t>
            </w:r>
          </w:p>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p>
        </w:tc>
        <w:tc>
          <w:tcPr>
            <w:tcW w:w="21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标识</w:t>
            </w:r>
          </w:p>
        </w:tc>
        <w:tc>
          <w:tcPr>
            <w:tcW w:w="2069"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QB/T2673-2013</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相应产品标准</w:t>
            </w:r>
          </w:p>
        </w:tc>
        <w:tc>
          <w:tcPr>
            <w:tcW w:w="766" w:type="dxa"/>
            <w:vAlign w:val="center"/>
          </w:tcPr>
          <w:p>
            <w:pPr>
              <w:adjustRightInd w:val="0"/>
              <w:snapToGrid w:val="0"/>
              <w:spacing w:line="400" w:lineRule="exact"/>
              <w:jc w:val="center"/>
              <w:rPr>
                <w:rFonts w:ascii="仿宋_GB2312" w:hAnsi="仿宋_GB2312" w:cs="仿宋_GB2312"/>
                <w:bCs/>
                <w:sz w:val="24"/>
              </w:rPr>
            </w:pPr>
          </w:p>
        </w:tc>
        <w:tc>
          <w:tcPr>
            <w:tcW w:w="71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2</w:t>
            </w:r>
          </w:p>
        </w:tc>
        <w:tc>
          <w:tcPr>
            <w:tcW w:w="21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剥离强度或帮底剥离强度或底墙与帮面剥离强度</w:t>
            </w:r>
          </w:p>
        </w:tc>
        <w:tc>
          <w:tcPr>
            <w:tcW w:w="206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3903.3-2011</w:t>
            </w:r>
          </w:p>
        </w:tc>
        <w:tc>
          <w:tcPr>
            <w:tcW w:w="766" w:type="dxa"/>
            <w:vAlign w:val="center"/>
          </w:tcPr>
          <w:p>
            <w:pPr>
              <w:adjustRightInd w:val="0"/>
              <w:snapToGrid w:val="0"/>
              <w:spacing w:line="400" w:lineRule="exact"/>
              <w:jc w:val="center"/>
              <w:rPr>
                <w:rFonts w:ascii="仿宋_GB2312" w:hAnsi="仿宋_GB2312" w:cs="仿宋_GB2312"/>
                <w:bCs/>
                <w:sz w:val="24"/>
              </w:rPr>
            </w:pPr>
          </w:p>
        </w:tc>
        <w:tc>
          <w:tcPr>
            <w:tcW w:w="710" w:type="dxa"/>
            <w:vAlign w:val="center"/>
          </w:tcPr>
          <w:p>
            <w:pPr>
              <w:jc w:val="center"/>
            </w:pPr>
            <w:r>
              <w:rPr>
                <w:rFonts w:ascii="仿宋_GB2312" w:hAnsi="仿宋_GB2312" w:cs="仿宋_GB2312"/>
                <w:bCs/>
                <w:sz w:val="24"/>
              </w:rPr>
              <w:t>●</w:t>
            </w: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3</w:t>
            </w:r>
          </w:p>
        </w:tc>
        <w:tc>
          <w:tcPr>
            <w:tcW w:w="21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耐折性能</w:t>
            </w:r>
          </w:p>
        </w:tc>
        <w:tc>
          <w:tcPr>
            <w:tcW w:w="206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3903.1-2008</w:t>
            </w:r>
          </w:p>
        </w:tc>
        <w:tc>
          <w:tcPr>
            <w:tcW w:w="766" w:type="dxa"/>
            <w:vAlign w:val="center"/>
          </w:tcPr>
          <w:p>
            <w:pPr>
              <w:adjustRightInd w:val="0"/>
              <w:snapToGrid w:val="0"/>
              <w:spacing w:line="400" w:lineRule="exact"/>
              <w:jc w:val="center"/>
              <w:rPr>
                <w:rFonts w:ascii="仿宋_GB2312" w:hAnsi="仿宋_GB2312" w:cs="仿宋_GB2312"/>
                <w:bCs/>
                <w:sz w:val="24"/>
              </w:rPr>
            </w:pPr>
          </w:p>
        </w:tc>
        <w:tc>
          <w:tcPr>
            <w:tcW w:w="710" w:type="dxa"/>
            <w:vAlign w:val="center"/>
          </w:tcPr>
          <w:p>
            <w:pPr>
              <w:jc w:val="center"/>
            </w:pPr>
            <w:r>
              <w:rPr>
                <w:rFonts w:ascii="仿宋_GB2312" w:hAnsi="仿宋_GB2312" w:cs="仿宋_GB2312"/>
                <w:bCs/>
                <w:sz w:val="24"/>
              </w:rPr>
              <w:t>●</w:t>
            </w: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4</w:t>
            </w:r>
          </w:p>
        </w:tc>
        <w:tc>
          <w:tcPr>
            <w:tcW w:w="21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耐磨性能</w:t>
            </w:r>
          </w:p>
        </w:tc>
        <w:tc>
          <w:tcPr>
            <w:tcW w:w="206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3903.2-2008</w:t>
            </w:r>
          </w:p>
        </w:tc>
        <w:tc>
          <w:tcPr>
            <w:tcW w:w="766" w:type="dxa"/>
            <w:vAlign w:val="center"/>
          </w:tcPr>
          <w:p>
            <w:pPr>
              <w:adjustRightInd w:val="0"/>
              <w:snapToGrid w:val="0"/>
              <w:spacing w:line="400" w:lineRule="exact"/>
              <w:jc w:val="center"/>
              <w:rPr>
                <w:rFonts w:ascii="仿宋_GB2312" w:hAnsi="仿宋_GB2312" w:cs="仿宋_GB2312"/>
                <w:bCs/>
                <w:sz w:val="24"/>
              </w:rPr>
            </w:pPr>
          </w:p>
        </w:tc>
        <w:tc>
          <w:tcPr>
            <w:tcW w:w="710" w:type="dxa"/>
            <w:vAlign w:val="center"/>
          </w:tcPr>
          <w:p>
            <w:pPr>
              <w:jc w:val="center"/>
            </w:pPr>
            <w:r>
              <w:rPr>
                <w:rFonts w:ascii="仿宋_GB2312" w:hAnsi="仿宋_GB2312" w:cs="仿宋_GB2312"/>
                <w:bCs/>
                <w:sz w:val="24"/>
              </w:rPr>
              <w:t>●</w:t>
            </w: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5</w:t>
            </w:r>
          </w:p>
        </w:tc>
        <w:tc>
          <w:tcPr>
            <w:tcW w:w="21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外底硬度</w:t>
            </w:r>
          </w:p>
        </w:tc>
        <w:tc>
          <w:tcPr>
            <w:tcW w:w="206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3903.4-2008</w:t>
            </w:r>
          </w:p>
        </w:tc>
        <w:tc>
          <w:tcPr>
            <w:tcW w:w="766" w:type="dxa"/>
            <w:vAlign w:val="center"/>
          </w:tcPr>
          <w:p>
            <w:pPr>
              <w:adjustRightInd w:val="0"/>
              <w:snapToGrid w:val="0"/>
              <w:spacing w:line="400" w:lineRule="exact"/>
              <w:jc w:val="center"/>
              <w:rPr>
                <w:rFonts w:ascii="仿宋_GB2312" w:hAnsi="仿宋_GB2312" w:cs="仿宋_GB2312"/>
                <w:bCs/>
                <w:sz w:val="24"/>
              </w:rPr>
            </w:pPr>
          </w:p>
        </w:tc>
        <w:tc>
          <w:tcPr>
            <w:tcW w:w="710" w:type="dxa"/>
            <w:vAlign w:val="center"/>
          </w:tcPr>
          <w:p>
            <w:pPr>
              <w:jc w:val="center"/>
            </w:pPr>
            <w:r>
              <w:rPr>
                <w:rFonts w:ascii="仿宋_GB2312" w:hAnsi="仿宋_GB2312" w:cs="仿宋_GB2312"/>
                <w:bCs/>
                <w:sz w:val="24"/>
              </w:rPr>
              <w:t>●</w:t>
            </w: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6</w:t>
            </w:r>
          </w:p>
        </w:tc>
        <w:tc>
          <w:tcPr>
            <w:tcW w:w="21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鞋帮拉出强度或帮带拉出强度或帮带拔出力</w:t>
            </w:r>
          </w:p>
        </w:tc>
        <w:tc>
          <w:tcPr>
            <w:tcW w:w="206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HG/T 2877-1997</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QB/T 2880-2016</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相应产品标准</w:t>
            </w:r>
          </w:p>
        </w:tc>
        <w:tc>
          <w:tcPr>
            <w:tcW w:w="766" w:type="dxa"/>
            <w:vAlign w:val="center"/>
          </w:tcPr>
          <w:p>
            <w:pPr>
              <w:adjustRightInd w:val="0"/>
              <w:snapToGrid w:val="0"/>
              <w:spacing w:line="400" w:lineRule="exact"/>
              <w:jc w:val="center"/>
              <w:rPr>
                <w:rFonts w:ascii="仿宋_GB2312" w:hAnsi="仿宋_GB2312" w:cs="仿宋_GB2312"/>
                <w:bCs/>
                <w:sz w:val="24"/>
              </w:rPr>
            </w:pPr>
          </w:p>
        </w:tc>
        <w:tc>
          <w:tcPr>
            <w:tcW w:w="710" w:type="dxa"/>
            <w:vAlign w:val="center"/>
          </w:tcPr>
          <w:p>
            <w:pPr>
              <w:jc w:val="center"/>
            </w:pPr>
            <w:r>
              <w:rPr>
                <w:rFonts w:ascii="仿宋_GB2312" w:hAnsi="仿宋_GB2312" w:cs="仿宋_GB2312"/>
                <w:bCs/>
                <w:sz w:val="24"/>
              </w:rPr>
              <w:t>●</w:t>
            </w: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7</w:t>
            </w:r>
          </w:p>
        </w:tc>
        <w:tc>
          <w:tcPr>
            <w:tcW w:w="21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可分解有害芳香胺染料</w:t>
            </w:r>
          </w:p>
        </w:tc>
        <w:tc>
          <w:tcPr>
            <w:tcW w:w="206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17592-2011</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19942-2019</w:t>
            </w:r>
          </w:p>
        </w:tc>
        <w:tc>
          <w:tcPr>
            <w:tcW w:w="766" w:type="dxa"/>
            <w:vAlign w:val="center"/>
          </w:tcPr>
          <w:p>
            <w:pPr>
              <w:jc w:val="center"/>
            </w:pPr>
          </w:p>
        </w:tc>
        <w:tc>
          <w:tcPr>
            <w:tcW w:w="710" w:type="dxa"/>
            <w:vAlign w:val="center"/>
          </w:tcPr>
          <w:p>
            <w:pPr>
              <w:jc w:val="center"/>
            </w:pPr>
            <w:r>
              <w:rPr>
                <w:rFonts w:ascii="仿宋_GB2312" w:hAnsi="仿宋_GB2312" w:cs="仿宋_GB2312"/>
                <w:bCs/>
                <w:sz w:val="24"/>
              </w:rPr>
              <w:t>●</w:t>
            </w: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8</w:t>
            </w:r>
          </w:p>
        </w:tc>
        <w:tc>
          <w:tcPr>
            <w:tcW w:w="21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甲醛含量</w:t>
            </w:r>
          </w:p>
        </w:tc>
        <w:tc>
          <w:tcPr>
            <w:tcW w:w="206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2912.1-2009</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GB/T19941.1-2019</w:t>
            </w:r>
          </w:p>
        </w:tc>
        <w:tc>
          <w:tcPr>
            <w:tcW w:w="766" w:type="dxa"/>
            <w:vAlign w:val="center"/>
          </w:tcPr>
          <w:p>
            <w:pPr>
              <w:jc w:val="center"/>
            </w:pPr>
          </w:p>
        </w:tc>
        <w:tc>
          <w:tcPr>
            <w:tcW w:w="710" w:type="dxa"/>
            <w:vAlign w:val="center"/>
          </w:tcPr>
          <w:p>
            <w:pPr>
              <w:jc w:val="center"/>
            </w:pPr>
            <w:r>
              <w:rPr>
                <w:rFonts w:ascii="仿宋_GB2312" w:hAnsi="仿宋_GB2312" w:cs="仿宋_GB2312"/>
                <w:bCs/>
                <w:sz w:val="24"/>
              </w:rPr>
              <w:t>●</w:t>
            </w: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9</w:t>
            </w:r>
          </w:p>
        </w:tc>
        <w:tc>
          <w:tcPr>
            <w:tcW w:w="21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重金属总量</w:t>
            </w:r>
          </w:p>
        </w:tc>
        <w:tc>
          <w:tcPr>
            <w:tcW w:w="206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QB/T 4340-2012</w:t>
            </w:r>
          </w:p>
        </w:tc>
        <w:tc>
          <w:tcPr>
            <w:tcW w:w="766" w:type="dxa"/>
            <w:vAlign w:val="center"/>
          </w:tcPr>
          <w:p>
            <w:pPr>
              <w:jc w:val="center"/>
            </w:pPr>
          </w:p>
        </w:tc>
        <w:tc>
          <w:tcPr>
            <w:tcW w:w="710" w:type="dxa"/>
            <w:vAlign w:val="center"/>
          </w:tcPr>
          <w:p>
            <w:pPr>
              <w:jc w:val="center"/>
            </w:pPr>
            <w:r>
              <w:rPr>
                <w:rFonts w:ascii="仿宋_GB2312" w:hAnsi="仿宋_GB2312" w:cs="仿宋_GB2312"/>
                <w:bCs/>
                <w:sz w:val="24"/>
              </w:rPr>
              <w:t>●</w:t>
            </w: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0</w:t>
            </w:r>
          </w:p>
        </w:tc>
        <w:tc>
          <w:tcPr>
            <w:tcW w:w="21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邻苯二甲酸酯</w:t>
            </w:r>
          </w:p>
        </w:tc>
        <w:tc>
          <w:tcPr>
            <w:tcW w:w="206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ISO 16181.1-2021</w:t>
            </w:r>
          </w:p>
        </w:tc>
        <w:tc>
          <w:tcPr>
            <w:tcW w:w="766" w:type="dxa"/>
            <w:vAlign w:val="center"/>
          </w:tcPr>
          <w:p>
            <w:pPr>
              <w:jc w:val="center"/>
            </w:pPr>
          </w:p>
        </w:tc>
        <w:tc>
          <w:tcPr>
            <w:tcW w:w="710" w:type="dxa"/>
            <w:vAlign w:val="center"/>
          </w:tcPr>
          <w:p>
            <w:pPr>
              <w:jc w:val="center"/>
            </w:pPr>
            <w:r>
              <w:rPr>
                <w:rFonts w:ascii="仿宋_GB2312" w:hAnsi="仿宋_GB2312" w:cs="仿宋_GB2312"/>
                <w:bCs/>
                <w:sz w:val="24"/>
              </w:rPr>
              <w:t>●</w:t>
            </w: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1</w:t>
            </w:r>
          </w:p>
        </w:tc>
        <w:tc>
          <w:tcPr>
            <w:tcW w:w="21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橡胶部件中的N-亚硝基胺</w:t>
            </w:r>
          </w:p>
        </w:tc>
        <w:tc>
          <w:tcPr>
            <w:tcW w:w="206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24153-2009</w:t>
            </w:r>
          </w:p>
        </w:tc>
        <w:tc>
          <w:tcPr>
            <w:tcW w:w="766" w:type="dxa"/>
            <w:vAlign w:val="center"/>
          </w:tcPr>
          <w:p>
            <w:pPr>
              <w:jc w:val="center"/>
            </w:pPr>
          </w:p>
        </w:tc>
        <w:tc>
          <w:tcPr>
            <w:tcW w:w="710" w:type="dxa"/>
            <w:vAlign w:val="center"/>
          </w:tcPr>
          <w:p>
            <w:pPr>
              <w:jc w:val="center"/>
            </w:pPr>
            <w:r>
              <w:rPr>
                <w:rFonts w:ascii="仿宋_GB2312" w:hAnsi="仿宋_GB2312" w:cs="仿宋_GB2312"/>
                <w:bCs/>
                <w:sz w:val="24"/>
              </w:rPr>
              <w:t>●</w:t>
            </w: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2</w:t>
            </w:r>
          </w:p>
        </w:tc>
        <w:tc>
          <w:tcPr>
            <w:tcW w:w="21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皮革和毛皮中的六价铬</w:t>
            </w:r>
          </w:p>
        </w:tc>
        <w:tc>
          <w:tcPr>
            <w:tcW w:w="206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22807-2019</w:t>
            </w:r>
          </w:p>
        </w:tc>
        <w:tc>
          <w:tcPr>
            <w:tcW w:w="766" w:type="dxa"/>
            <w:vAlign w:val="center"/>
          </w:tcPr>
          <w:p>
            <w:pPr>
              <w:jc w:val="center"/>
            </w:pPr>
          </w:p>
        </w:tc>
        <w:tc>
          <w:tcPr>
            <w:tcW w:w="710" w:type="dxa"/>
            <w:vAlign w:val="center"/>
          </w:tcPr>
          <w:p>
            <w:pPr>
              <w:jc w:val="center"/>
            </w:pPr>
            <w:r>
              <w:rPr>
                <w:rFonts w:ascii="仿宋_GB2312" w:hAnsi="仿宋_GB2312" w:cs="仿宋_GB2312"/>
                <w:bCs/>
                <w:sz w:val="24"/>
              </w:rPr>
              <w:t>●</w:t>
            </w: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3</w:t>
            </w:r>
          </w:p>
        </w:tc>
        <w:tc>
          <w:tcPr>
            <w:tcW w:w="21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富马酸二甲酯</w:t>
            </w:r>
          </w:p>
        </w:tc>
        <w:tc>
          <w:tcPr>
            <w:tcW w:w="206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26713-2011</w:t>
            </w:r>
          </w:p>
        </w:tc>
        <w:tc>
          <w:tcPr>
            <w:tcW w:w="766" w:type="dxa"/>
            <w:vAlign w:val="center"/>
          </w:tcPr>
          <w:p>
            <w:pPr>
              <w:jc w:val="center"/>
            </w:pPr>
          </w:p>
        </w:tc>
        <w:tc>
          <w:tcPr>
            <w:tcW w:w="710" w:type="dxa"/>
            <w:vAlign w:val="center"/>
          </w:tcPr>
          <w:p>
            <w:pPr>
              <w:jc w:val="center"/>
            </w:pPr>
            <w:r>
              <w:rPr>
                <w:rFonts w:ascii="仿宋_GB2312" w:hAnsi="仿宋_GB2312" w:cs="仿宋_GB2312"/>
                <w:bCs/>
                <w:sz w:val="24"/>
              </w:rPr>
              <w:t>●</w:t>
            </w: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4</w:t>
            </w:r>
          </w:p>
        </w:tc>
        <w:tc>
          <w:tcPr>
            <w:tcW w:w="21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物理机械安全性能（除钢勾心）</w:t>
            </w:r>
          </w:p>
        </w:tc>
        <w:tc>
          <w:tcPr>
            <w:tcW w:w="206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30585-2014</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6675.2-2014</w:t>
            </w:r>
          </w:p>
        </w:tc>
        <w:tc>
          <w:tcPr>
            <w:tcW w:w="766" w:type="dxa"/>
            <w:vAlign w:val="center"/>
          </w:tcPr>
          <w:p>
            <w:pPr>
              <w:jc w:val="cente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5</w:t>
            </w:r>
          </w:p>
        </w:tc>
        <w:tc>
          <w:tcPr>
            <w:tcW w:w="21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勾心纵向刚度</w:t>
            </w:r>
          </w:p>
        </w:tc>
        <w:tc>
          <w:tcPr>
            <w:tcW w:w="206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GB/T3903.34-2019</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QB/T 1813-2000</w:t>
            </w:r>
          </w:p>
        </w:tc>
        <w:tc>
          <w:tcPr>
            <w:tcW w:w="766" w:type="dxa"/>
            <w:vAlign w:val="center"/>
          </w:tcPr>
          <w:p>
            <w:pPr>
              <w:jc w:val="center"/>
            </w:pPr>
          </w:p>
        </w:tc>
        <w:tc>
          <w:tcPr>
            <w:tcW w:w="71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6</w:t>
            </w:r>
          </w:p>
        </w:tc>
        <w:tc>
          <w:tcPr>
            <w:tcW w:w="21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勾心硬度</w:t>
            </w:r>
          </w:p>
        </w:tc>
        <w:tc>
          <w:tcPr>
            <w:tcW w:w="206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230.1-2018</w:t>
            </w:r>
          </w:p>
        </w:tc>
        <w:tc>
          <w:tcPr>
            <w:tcW w:w="766" w:type="dxa"/>
            <w:vAlign w:val="center"/>
          </w:tcPr>
          <w:p>
            <w:pPr>
              <w:jc w:val="center"/>
            </w:pPr>
          </w:p>
        </w:tc>
        <w:tc>
          <w:tcPr>
            <w:tcW w:w="710" w:type="dxa"/>
            <w:vAlign w:val="center"/>
          </w:tcPr>
          <w:p>
            <w:pPr>
              <w:jc w:val="center"/>
            </w:pPr>
            <w:r>
              <w:rPr>
                <w:rFonts w:ascii="仿宋_GB2312" w:hAnsi="仿宋_GB2312" w:cs="仿宋_GB2312"/>
                <w:bCs/>
                <w:sz w:val="24"/>
              </w:rPr>
              <w:t>●</w:t>
            </w: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7</w:t>
            </w:r>
          </w:p>
        </w:tc>
        <w:tc>
          <w:tcPr>
            <w:tcW w:w="21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勾心弯曲性能</w:t>
            </w:r>
          </w:p>
        </w:tc>
        <w:tc>
          <w:tcPr>
            <w:tcW w:w="206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28011-2021</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28011-2011</w:t>
            </w:r>
          </w:p>
        </w:tc>
        <w:tc>
          <w:tcPr>
            <w:tcW w:w="766" w:type="dxa"/>
            <w:vAlign w:val="center"/>
          </w:tcPr>
          <w:p>
            <w:pPr>
              <w:jc w:val="center"/>
            </w:pPr>
          </w:p>
        </w:tc>
        <w:tc>
          <w:tcPr>
            <w:tcW w:w="710" w:type="dxa"/>
            <w:vAlign w:val="center"/>
          </w:tcPr>
          <w:p>
            <w:pPr>
              <w:jc w:val="center"/>
            </w:pPr>
            <w:r>
              <w:rPr>
                <w:rFonts w:ascii="仿宋_GB2312" w:hAnsi="仿宋_GB2312" w:cs="仿宋_GB2312"/>
                <w:bCs/>
                <w:sz w:val="24"/>
              </w:rPr>
              <w:t>●</w:t>
            </w: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8</w:t>
            </w:r>
          </w:p>
        </w:tc>
        <w:tc>
          <w:tcPr>
            <w:tcW w:w="21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勾心尺寸（勾心长度下限值）</w:t>
            </w:r>
          </w:p>
        </w:tc>
        <w:tc>
          <w:tcPr>
            <w:tcW w:w="206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28011-2021</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28011-2011</w:t>
            </w:r>
          </w:p>
        </w:tc>
        <w:tc>
          <w:tcPr>
            <w:tcW w:w="766" w:type="dxa"/>
            <w:vAlign w:val="center"/>
          </w:tcPr>
          <w:p>
            <w:pPr>
              <w:jc w:val="center"/>
            </w:pPr>
          </w:p>
        </w:tc>
        <w:tc>
          <w:tcPr>
            <w:tcW w:w="710" w:type="dxa"/>
            <w:vAlign w:val="center"/>
          </w:tcPr>
          <w:p>
            <w:pPr>
              <w:jc w:val="center"/>
            </w:pPr>
            <w:r>
              <w:rPr>
                <w:rFonts w:ascii="仿宋_GB2312" w:hAnsi="仿宋_GB2312" w:cs="仿宋_GB2312"/>
                <w:bCs/>
                <w:sz w:val="24"/>
              </w:rPr>
              <w:t>●</w:t>
            </w: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9</w:t>
            </w:r>
          </w:p>
        </w:tc>
        <w:tc>
          <w:tcPr>
            <w:tcW w:w="21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衬里和内垫摩擦色牢度</w:t>
            </w:r>
          </w:p>
        </w:tc>
        <w:tc>
          <w:tcPr>
            <w:tcW w:w="206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QB/T 2882-2007</w:t>
            </w:r>
          </w:p>
        </w:tc>
        <w:tc>
          <w:tcPr>
            <w:tcW w:w="766" w:type="dxa"/>
            <w:vAlign w:val="center"/>
          </w:tcPr>
          <w:p>
            <w:pPr>
              <w:adjustRightInd w:val="0"/>
              <w:snapToGrid w:val="0"/>
              <w:spacing w:line="400" w:lineRule="exact"/>
              <w:jc w:val="center"/>
              <w:rPr>
                <w:rFonts w:ascii="仿宋_GB2312" w:hAnsi="仿宋_GB2312" w:cs="仿宋_GB2312"/>
                <w:bCs/>
                <w:sz w:val="24"/>
              </w:rPr>
            </w:pPr>
          </w:p>
        </w:tc>
        <w:tc>
          <w:tcPr>
            <w:tcW w:w="71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bl>
    <w:p>
      <w:pPr>
        <w:adjustRightInd w:val="0"/>
        <w:snapToGrid w:val="0"/>
        <w:spacing w:line="560" w:lineRule="exact"/>
        <w:ind w:firstLine="640"/>
        <w:rPr>
          <w:kern w:val="0"/>
          <w:szCs w:val="32"/>
        </w:rPr>
      </w:pPr>
      <w:r>
        <w:rPr>
          <w:rFonts w:hint="eastAsia"/>
          <w:kern w:val="0"/>
          <w:szCs w:val="32"/>
        </w:rPr>
        <w:t>（</w:t>
      </w:r>
      <w:r>
        <w:rPr>
          <w:kern w:val="0"/>
          <w:szCs w:val="32"/>
        </w:rPr>
        <w:t>2</w:t>
      </w:r>
      <w:r>
        <w:rPr>
          <w:rFonts w:hint="eastAsia"/>
          <w:kern w:val="0"/>
          <w:szCs w:val="32"/>
        </w:rPr>
        <w:t>）老人健步鞋</w:t>
      </w:r>
    </w:p>
    <w:tbl>
      <w:tblPr>
        <w:tblStyle w:val="9"/>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126"/>
        <w:gridCol w:w="2552"/>
        <w:gridCol w:w="709"/>
        <w:gridCol w:w="708"/>
        <w:gridCol w:w="765"/>
        <w:gridCol w:w="792"/>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序号</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检验项目</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检验方法</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强制性</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非强制性</w:t>
            </w:r>
          </w:p>
        </w:tc>
        <w:tc>
          <w:tcPr>
            <w:tcW w:w="7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重要项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较重</w:t>
            </w:r>
          </w:p>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p>
        </w:tc>
        <w:tc>
          <w:tcPr>
            <w:tcW w:w="21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游离甲醛/游离或可部分水解的甲醛/甲醛</w:t>
            </w:r>
          </w:p>
        </w:tc>
        <w:tc>
          <w:tcPr>
            <w:tcW w:w="2552"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2912.1-2009</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19941.1-2019</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相应产品标准</w:t>
            </w:r>
          </w:p>
        </w:tc>
        <w:tc>
          <w:tcPr>
            <w:tcW w:w="709" w:type="dxa"/>
            <w:vAlign w:val="center"/>
          </w:tcPr>
          <w:p>
            <w:pPr>
              <w:adjustRightInd w:val="0"/>
              <w:snapToGrid w:val="0"/>
              <w:spacing w:line="400" w:lineRule="exact"/>
              <w:jc w:val="center"/>
              <w:rPr>
                <w:rFonts w:ascii="仿宋_GB2312" w:hAnsi="仿宋_GB2312" w:cs="仿宋_GB2312"/>
                <w:bCs/>
                <w:sz w:val="24"/>
              </w:rPr>
            </w:pPr>
          </w:p>
        </w:tc>
        <w:tc>
          <w:tcPr>
            <w:tcW w:w="708"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65"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2</w:t>
            </w:r>
          </w:p>
        </w:tc>
        <w:tc>
          <w:tcPr>
            <w:tcW w:w="21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可分解有害芳香胺染料/可分解致癌芳香胺染料</w:t>
            </w:r>
          </w:p>
        </w:tc>
        <w:tc>
          <w:tcPr>
            <w:tcW w:w="2552"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17592-2011</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19942-2019</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相应产品标准</w:t>
            </w:r>
          </w:p>
        </w:tc>
        <w:tc>
          <w:tcPr>
            <w:tcW w:w="709" w:type="dxa"/>
            <w:vAlign w:val="center"/>
          </w:tcPr>
          <w:p>
            <w:pPr>
              <w:adjustRightInd w:val="0"/>
              <w:snapToGrid w:val="0"/>
              <w:spacing w:line="400" w:lineRule="exact"/>
              <w:jc w:val="center"/>
              <w:rPr>
                <w:rFonts w:ascii="仿宋_GB2312" w:hAnsi="仿宋_GB2312" w:cs="仿宋_GB2312"/>
                <w:bCs/>
                <w:sz w:val="24"/>
              </w:rPr>
            </w:pPr>
          </w:p>
        </w:tc>
        <w:tc>
          <w:tcPr>
            <w:tcW w:w="708"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65"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3</w:t>
            </w:r>
          </w:p>
        </w:tc>
        <w:tc>
          <w:tcPr>
            <w:tcW w:w="21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成鞋耐折性能/耐折性能</w:t>
            </w:r>
          </w:p>
        </w:tc>
        <w:tc>
          <w:tcPr>
            <w:tcW w:w="2552"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3903.1-2017</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相应产品标准</w:t>
            </w:r>
          </w:p>
        </w:tc>
        <w:tc>
          <w:tcPr>
            <w:tcW w:w="709" w:type="dxa"/>
            <w:vAlign w:val="center"/>
          </w:tcPr>
          <w:p>
            <w:pPr>
              <w:adjustRightInd w:val="0"/>
              <w:snapToGrid w:val="0"/>
              <w:spacing w:line="400" w:lineRule="exact"/>
              <w:jc w:val="center"/>
              <w:rPr>
                <w:rFonts w:ascii="仿宋_GB2312" w:hAnsi="仿宋_GB2312" w:cs="仿宋_GB2312"/>
                <w:bCs/>
                <w:sz w:val="24"/>
              </w:rPr>
            </w:pPr>
          </w:p>
        </w:tc>
        <w:tc>
          <w:tcPr>
            <w:tcW w:w="708" w:type="dxa"/>
            <w:vAlign w:val="center"/>
          </w:tcPr>
          <w:p>
            <w:pPr>
              <w:jc w:val="center"/>
            </w:pPr>
            <w:r>
              <w:rPr>
                <w:rFonts w:ascii="仿宋_GB2312" w:hAnsi="仿宋_GB2312" w:cs="仿宋_GB2312"/>
                <w:bCs/>
                <w:sz w:val="24"/>
              </w:rPr>
              <w:t>●</w:t>
            </w:r>
          </w:p>
        </w:tc>
        <w:tc>
          <w:tcPr>
            <w:tcW w:w="765"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4</w:t>
            </w:r>
          </w:p>
        </w:tc>
        <w:tc>
          <w:tcPr>
            <w:tcW w:w="21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外底耐磨性能</w:t>
            </w:r>
          </w:p>
        </w:tc>
        <w:tc>
          <w:tcPr>
            <w:tcW w:w="2552"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3903.2-2017</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相应产品标准</w:t>
            </w:r>
          </w:p>
        </w:tc>
        <w:tc>
          <w:tcPr>
            <w:tcW w:w="709" w:type="dxa"/>
            <w:vAlign w:val="center"/>
          </w:tcPr>
          <w:p>
            <w:pPr>
              <w:adjustRightInd w:val="0"/>
              <w:snapToGrid w:val="0"/>
              <w:spacing w:line="400" w:lineRule="exact"/>
              <w:jc w:val="center"/>
              <w:rPr>
                <w:rFonts w:ascii="仿宋_GB2312" w:hAnsi="仿宋_GB2312" w:cs="仿宋_GB2312"/>
                <w:bCs/>
                <w:sz w:val="24"/>
              </w:rPr>
            </w:pPr>
          </w:p>
        </w:tc>
        <w:tc>
          <w:tcPr>
            <w:tcW w:w="708" w:type="dxa"/>
            <w:vAlign w:val="center"/>
          </w:tcPr>
          <w:p>
            <w:pPr>
              <w:jc w:val="center"/>
            </w:pPr>
            <w:r>
              <w:rPr>
                <w:rFonts w:ascii="仿宋_GB2312" w:hAnsi="仿宋_GB2312" w:cs="仿宋_GB2312"/>
                <w:bCs/>
                <w:sz w:val="24"/>
              </w:rPr>
              <w:t>●</w:t>
            </w:r>
          </w:p>
        </w:tc>
        <w:tc>
          <w:tcPr>
            <w:tcW w:w="765"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5</w:t>
            </w:r>
          </w:p>
        </w:tc>
        <w:tc>
          <w:tcPr>
            <w:tcW w:w="21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帮底剥离强度或底墙与帮面剥离强度/剥离强度</w:t>
            </w:r>
          </w:p>
        </w:tc>
        <w:tc>
          <w:tcPr>
            <w:tcW w:w="2552"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3903.3-2011</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相应产品标准</w:t>
            </w:r>
          </w:p>
        </w:tc>
        <w:tc>
          <w:tcPr>
            <w:tcW w:w="709" w:type="dxa"/>
            <w:vAlign w:val="center"/>
          </w:tcPr>
          <w:p>
            <w:pPr>
              <w:adjustRightInd w:val="0"/>
              <w:snapToGrid w:val="0"/>
              <w:spacing w:line="400" w:lineRule="exact"/>
              <w:jc w:val="center"/>
              <w:rPr>
                <w:rFonts w:ascii="仿宋_GB2312" w:hAnsi="仿宋_GB2312" w:cs="仿宋_GB2312"/>
                <w:bCs/>
                <w:sz w:val="24"/>
              </w:rPr>
            </w:pPr>
          </w:p>
        </w:tc>
        <w:tc>
          <w:tcPr>
            <w:tcW w:w="708" w:type="dxa"/>
            <w:vAlign w:val="center"/>
          </w:tcPr>
          <w:p>
            <w:pPr>
              <w:jc w:val="center"/>
            </w:pPr>
            <w:r>
              <w:rPr>
                <w:rFonts w:ascii="仿宋_GB2312" w:hAnsi="仿宋_GB2312" w:cs="仿宋_GB2312"/>
                <w:bCs/>
                <w:sz w:val="24"/>
              </w:rPr>
              <w:t>●</w:t>
            </w:r>
          </w:p>
        </w:tc>
        <w:tc>
          <w:tcPr>
            <w:tcW w:w="765"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6</w:t>
            </w:r>
          </w:p>
        </w:tc>
        <w:tc>
          <w:tcPr>
            <w:tcW w:w="21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帮带拉出强度/鞋帮拉出强度</w:t>
            </w:r>
          </w:p>
        </w:tc>
        <w:tc>
          <w:tcPr>
            <w:tcW w:w="2552"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相应产品标准</w:t>
            </w:r>
          </w:p>
        </w:tc>
        <w:tc>
          <w:tcPr>
            <w:tcW w:w="709" w:type="dxa"/>
            <w:vAlign w:val="center"/>
          </w:tcPr>
          <w:p>
            <w:pPr>
              <w:adjustRightInd w:val="0"/>
              <w:snapToGrid w:val="0"/>
              <w:spacing w:line="400" w:lineRule="exact"/>
              <w:jc w:val="center"/>
              <w:rPr>
                <w:rFonts w:ascii="仿宋_GB2312" w:hAnsi="仿宋_GB2312" w:cs="仿宋_GB2312"/>
                <w:bCs/>
                <w:sz w:val="24"/>
              </w:rPr>
            </w:pPr>
          </w:p>
        </w:tc>
        <w:tc>
          <w:tcPr>
            <w:tcW w:w="708" w:type="dxa"/>
            <w:vAlign w:val="center"/>
          </w:tcPr>
          <w:p>
            <w:pPr>
              <w:jc w:val="center"/>
            </w:pPr>
            <w:r>
              <w:rPr>
                <w:rFonts w:ascii="仿宋_GB2312" w:hAnsi="仿宋_GB2312" w:cs="仿宋_GB2312"/>
                <w:bCs/>
                <w:sz w:val="24"/>
              </w:rPr>
              <w:t>●</w:t>
            </w:r>
          </w:p>
        </w:tc>
        <w:tc>
          <w:tcPr>
            <w:tcW w:w="765"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7</w:t>
            </w:r>
          </w:p>
        </w:tc>
        <w:tc>
          <w:tcPr>
            <w:tcW w:w="21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衬里和内垫摩擦色牢度/鞋里和内底摩擦色牢度</w:t>
            </w:r>
          </w:p>
        </w:tc>
        <w:tc>
          <w:tcPr>
            <w:tcW w:w="2552"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QB/T 2882-2007</w:t>
            </w:r>
          </w:p>
        </w:tc>
        <w:tc>
          <w:tcPr>
            <w:tcW w:w="709" w:type="dxa"/>
            <w:vAlign w:val="center"/>
          </w:tcPr>
          <w:p>
            <w:pPr>
              <w:adjustRightInd w:val="0"/>
              <w:snapToGrid w:val="0"/>
              <w:spacing w:line="400" w:lineRule="exact"/>
              <w:jc w:val="center"/>
              <w:rPr>
                <w:rFonts w:ascii="仿宋_GB2312" w:hAnsi="仿宋_GB2312" w:cs="仿宋_GB2312"/>
                <w:bCs/>
                <w:sz w:val="24"/>
              </w:rPr>
            </w:pPr>
          </w:p>
        </w:tc>
        <w:tc>
          <w:tcPr>
            <w:tcW w:w="708" w:type="dxa"/>
            <w:vAlign w:val="center"/>
          </w:tcPr>
          <w:p>
            <w:pPr>
              <w:jc w:val="center"/>
            </w:pPr>
            <w:r>
              <w:rPr>
                <w:rFonts w:ascii="仿宋_GB2312" w:hAnsi="仿宋_GB2312" w:cs="仿宋_GB2312"/>
                <w:bCs/>
                <w:sz w:val="24"/>
              </w:rPr>
              <w:t>●</w:t>
            </w:r>
          </w:p>
        </w:tc>
        <w:tc>
          <w:tcPr>
            <w:tcW w:w="765"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8</w:t>
            </w:r>
          </w:p>
        </w:tc>
        <w:tc>
          <w:tcPr>
            <w:tcW w:w="21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勾心或支撑材料安装条件</w:t>
            </w:r>
          </w:p>
        </w:tc>
        <w:tc>
          <w:tcPr>
            <w:tcW w:w="2552"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相应产品标准</w:t>
            </w:r>
          </w:p>
        </w:tc>
        <w:tc>
          <w:tcPr>
            <w:tcW w:w="709" w:type="dxa"/>
            <w:vAlign w:val="center"/>
          </w:tcPr>
          <w:p>
            <w:pPr>
              <w:adjustRightInd w:val="0"/>
              <w:snapToGrid w:val="0"/>
              <w:spacing w:line="400" w:lineRule="exact"/>
              <w:jc w:val="center"/>
              <w:rPr>
                <w:rFonts w:ascii="仿宋_GB2312" w:hAnsi="仿宋_GB2312" w:cs="仿宋_GB2312"/>
                <w:bCs/>
                <w:sz w:val="24"/>
              </w:rPr>
            </w:pPr>
          </w:p>
        </w:tc>
        <w:tc>
          <w:tcPr>
            <w:tcW w:w="708" w:type="dxa"/>
            <w:vAlign w:val="center"/>
          </w:tcPr>
          <w:p>
            <w:pPr>
              <w:jc w:val="center"/>
            </w:pPr>
            <w:r>
              <w:rPr>
                <w:rFonts w:ascii="仿宋_GB2312" w:hAnsi="仿宋_GB2312" w:cs="仿宋_GB2312"/>
                <w:bCs/>
                <w:sz w:val="24"/>
              </w:rPr>
              <w:t>●</w:t>
            </w:r>
          </w:p>
        </w:tc>
        <w:tc>
          <w:tcPr>
            <w:tcW w:w="765"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9</w:t>
            </w:r>
          </w:p>
        </w:tc>
        <w:tc>
          <w:tcPr>
            <w:tcW w:w="21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纵向刚度</w:t>
            </w:r>
          </w:p>
        </w:tc>
        <w:tc>
          <w:tcPr>
            <w:tcW w:w="2552"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3903.34-2019</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QB/T 1813-2000</w:t>
            </w:r>
          </w:p>
        </w:tc>
        <w:tc>
          <w:tcPr>
            <w:tcW w:w="709" w:type="dxa"/>
            <w:vAlign w:val="center"/>
          </w:tcPr>
          <w:p>
            <w:pPr>
              <w:adjustRightInd w:val="0"/>
              <w:snapToGrid w:val="0"/>
              <w:spacing w:line="400" w:lineRule="exact"/>
              <w:jc w:val="center"/>
              <w:rPr>
                <w:rFonts w:ascii="仿宋_GB2312" w:hAnsi="仿宋_GB2312" w:cs="仿宋_GB2312"/>
                <w:bCs/>
                <w:sz w:val="24"/>
              </w:rPr>
            </w:pPr>
          </w:p>
        </w:tc>
        <w:tc>
          <w:tcPr>
            <w:tcW w:w="708" w:type="dxa"/>
            <w:vAlign w:val="center"/>
          </w:tcPr>
          <w:p>
            <w:pPr>
              <w:jc w:val="center"/>
            </w:pPr>
            <w:r>
              <w:rPr>
                <w:rFonts w:ascii="仿宋_GB2312" w:hAnsi="仿宋_GB2312" w:cs="仿宋_GB2312"/>
                <w:bCs/>
                <w:sz w:val="24"/>
              </w:rPr>
              <w:t>●</w:t>
            </w:r>
          </w:p>
        </w:tc>
        <w:tc>
          <w:tcPr>
            <w:tcW w:w="765"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0</w:t>
            </w:r>
          </w:p>
        </w:tc>
        <w:tc>
          <w:tcPr>
            <w:tcW w:w="21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硬度</w:t>
            </w:r>
          </w:p>
        </w:tc>
        <w:tc>
          <w:tcPr>
            <w:tcW w:w="2552"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230.1-2018</w:t>
            </w:r>
          </w:p>
        </w:tc>
        <w:tc>
          <w:tcPr>
            <w:tcW w:w="709" w:type="dxa"/>
            <w:vAlign w:val="center"/>
          </w:tcPr>
          <w:p>
            <w:pPr>
              <w:adjustRightInd w:val="0"/>
              <w:snapToGrid w:val="0"/>
              <w:spacing w:line="400" w:lineRule="exact"/>
              <w:jc w:val="center"/>
              <w:rPr>
                <w:rFonts w:ascii="仿宋_GB2312" w:hAnsi="仿宋_GB2312" w:cs="仿宋_GB2312"/>
                <w:bCs/>
                <w:sz w:val="24"/>
              </w:rPr>
            </w:pPr>
          </w:p>
        </w:tc>
        <w:tc>
          <w:tcPr>
            <w:tcW w:w="708" w:type="dxa"/>
            <w:vAlign w:val="center"/>
          </w:tcPr>
          <w:p>
            <w:pPr>
              <w:jc w:val="center"/>
            </w:pPr>
            <w:r>
              <w:rPr>
                <w:rFonts w:ascii="仿宋_GB2312" w:hAnsi="仿宋_GB2312" w:cs="仿宋_GB2312"/>
                <w:bCs/>
                <w:sz w:val="24"/>
              </w:rPr>
              <w:t>●</w:t>
            </w:r>
          </w:p>
        </w:tc>
        <w:tc>
          <w:tcPr>
            <w:tcW w:w="765"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1</w:t>
            </w:r>
          </w:p>
        </w:tc>
        <w:tc>
          <w:tcPr>
            <w:tcW w:w="21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长度下限值</w:t>
            </w:r>
          </w:p>
        </w:tc>
        <w:tc>
          <w:tcPr>
            <w:tcW w:w="2552"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28011-2021</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28011-2011</w:t>
            </w:r>
          </w:p>
        </w:tc>
        <w:tc>
          <w:tcPr>
            <w:tcW w:w="709" w:type="dxa"/>
            <w:vAlign w:val="center"/>
          </w:tcPr>
          <w:p>
            <w:pPr>
              <w:adjustRightInd w:val="0"/>
              <w:snapToGrid w:val="0"/>
              <w:spacing w:line="400" w:lineRule="exact"/>
              <w:jc w:val="center"/>
              <w:rPr>
                <w:rFonts w:ascii="仿宋_GB2312" w:hAnsi="仿宋_GB2312" w:cs="仿宋_GB2312"/>
                <w:bCs/>
                <w:sz w:val="24"/>
              </w:rPr>
            </w:pPr>
          </w:p>
        </w:tc>
        <w:tc>
          <w:tcPr>
            <w:tcW w:w="708" w:type="dxa"/>
            <w:vAlign w:val="center"/>
          </w:tcPr>
          <w:p>
            <w:pPr>
              <w:jc w:val="center"/>
            </w:pPr>
            <w:r>
              <w:rPr>
                <w:rFonts w:ascii="仿宋_GB2312" w:hAnsi="仿宋_GB2312" w:cs="仿宋_GB2312"/>
                <w:bCs/>
                <w:sz w:val="24"/>
              </w:rPr>
              <w:t>●</w:t>
            </w:r>
          </w:p>
        </w:tc>
        <w:tc>
          <w:tcPr>
            <w:tcW w:w="765"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2</w:t>
            </w:r>
          </w:p>
        </w:tc>
        <w:tc>
          <w:tcPr>
            <w:tcW w:w="21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外底拉伸强度</w:t>
            </w:r>
          </w:p>
        </w:tc>
        <w:tc>
          <w:tcPr>
            <w:tcW w:w="2552"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HG/T 2017-2011</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528-2009</w:t>
            </w:r>
          </w:p>
        </w:tc>
        <w:tc>
          <w:tcPr>
            <w:tcW w:w="709" w:type="dxa"/>
            <w:vAlign w:val="center"/>
          </w:tcPr>
          <w:p>
            <w:pPr>
              <w:adjustRightInd w:val="0"/>
              <w:snapToGrid w:val="0"/>
              <w:spacing w:line="400" w:lineRule="exact"/>
              <w:jc w:val="center"/>
              <w:rPr>
                <w:rFonts w:ascii="仿宋_GB2312" w:hAnsi="仿宋_GB2312" w:cs="仿宋_GB2312"/>
                <w:bCs/>
                <w:sz w:val="24"/>
              </w:rPr>
            </w:pPr>
          </w:p>
        </w:tc>
        <w:tc>
          <w:tcPr>
            <w:tcW w:w="708" w:type="dxa"/>
            <w:vAlign w:val="center"/>
          </w:tcPr>
          <w:p>
            <w:pPr>
              <w:jc w:val="center"/>
            </w:pPr>
            <w:r>
              <w:rPr>
                <w:rFonts w:ascii="仿宋_GB2312" w:hAnsi="仿宋_GB2312" w:cs="仿宋_GB2312"/>
                <w:bCs/>
                <w:sz w:val="24"/>
              </w:rPr>
              <w:t>●</w:t>
            </w:r>
          </w:p>
        </w:tc>
        <w:tc>
          <w:tcPr>
            <w:tcW w:w="765"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3</w:t>
            </w:r>
          </w:p>
        </w:tc>
        <w:tc>
          <w:tcPr>
            <w:tcW w:w="21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外底拉断伸长率</w:t>
            </w:r>
          </w:p>
        </w:tc>
        <w:tc>
          <w:tcPr>
            <w:tcW w:w="2552"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HG/T 2017-2011</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528-2009</w:t>
            </w:r>
          </w:p>
        </w:tc>
        <w:tc>
          <w:tcPr>
            <w:tcW w:w="709" w:type="dxa"/>
            <w:vAlign w:val="center"/>
          </w:tcPr>
          <w:p>
            <w:pPr>
              <w:adjustRightInd w:val="0"/>
              <w:snapToGrid w:val="0"/>
              <w:spacing w:line="400" w:lineRule="exact"/>
              <w:jc w:val="center"/>
              <w:rPr>
                <w:rFonts w:ascii="仿宋_GB2312" w:hAnsi="仿宋_GB2312" w:cs="仿宋_GB2312"/>
                <w:bCs/>
                <w:sz w:val="24"/>
              </w:rPr>
            </w:pPr>
          </w:p>
        </w:tc>
        <w:tc>
          <w:tcPr>
            <w:tcW w:w="708" w:type="dxa"/>
            <w:vAlign w:val="center"/>
          </w:tcPr>
          <w:p>
            <w:pPr>
              <w:jc w:val="center"/>
            </w:pPr>
            <w:r>
              <w:rPr>
                <w:rFonts w:ascii="仿宋_GB2312" w:hAnsi="仿宋_GB2312" w:cs="仿宋_GB2312"/>
                <w:bCs/>
                <w:sz w:val="24"/>
              </w:rPr>
              <w:t>●</w:t>
            </w:r>
          </w:p>
        </w:tc>
        <w:tc>
          <w:tcPr>
            <w:tcW w:w="765"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4</w:t>
            </w:r>
          </w:p>
        </w:tc>
        <w:tc>
          <w:tcPr>
            <w:tcW w:w="21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外底磨耗量</w:t>
            </w:r>
          </w:p>
        </w:tc>
        <w:tc>
          <w:tcPr>
            <w:tcW w:w="2552"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1689-2014</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QB/T 2884-2007</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9867-2008</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相应产品标准</w:t>
            </w:r>
          </w:p>
        </w:tc>
        <w:tc>
          <w:tcPr>
            <w:tcW w:w="709" w:type="dxa"/>
            <w:vAlign w:val="center"/>
          </w:tcPr>
          <w:p>
            <w:pPr>
              <w:adjustRightInd w:val="0"/>
              <w:snapToGrid w:val="0"/>
              <w:spacing w:line="400" w:lineRule="exact"/>
              <w:jc w:val="center"/>
              <w:rPr>
                <w:rFonts w:ascii="仿宋_GB2312" w:hAnsi="仿宋_GB2312" w:cs="仿宋_GB2312"/>
                <w:bCs/>
                <w:sz w:val="24"/>
              </w:rPr>
            </w:pPr>
          </w:p>
        </w:tc>
        <w:tc>
          <w:tcPr>
            <w:tcW w:w="708" w:type="dxa"/>
            <w:vAlign w:val="center"/>
          </w:tcPr>
          <w:p>
            <w:pPr>
              <w:jc w:val="center"/>
            </w:pPr>
            <w:r>
              <w:rPr>
                <w:rFonts w:ascii="仿宋_GB2312" w:hAnsi="仿宋_GB2312" w:cs="仿宋_GB2312"/>
                <w:bCs/>
                <w:sz w:val="24"/>
              </w:rPr>
              <w:t>●</w:t>
            </w:r>
          </w:p>
        </w:tc>
        <w:tc>
          <w:tcPr>
            <w:tcW w:w="765"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5</w:t>
            </w:r>
          </w:p>
        </w:tc>
        <w:tc>
          <w:tcPr>
            <w:tcW w:w="21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外底硬度</w:t>
            </w:r>
          </w:p>
        </w:tc>
        <w:tc>
          <w:tcPr>
            <w:tcW w:w="2552"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531.1-2008</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HG/T 2489-2007</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3903.4-2017</w:t>
            </w:r>
          </w:p>
        </w:tc>
        <w:tc>
          <w:tcPr>
            <w:tcW w:w="709" w:type="dxa"/>
            <w:vAlign w:val="center"/>
          </w:tcPr>
          <w:p>
            <w:pPr>
              <w:adjustRightInd w:val="0"/>
              <w:snapToGrid w:val="0"/>
              <w:spacing w:line="400" w:lineRule="exact"/>
              <w:jc w:val="center"/>
              <w:rPr>
                <w:rFonts w:ascii="仿宋_GB2312" w:hAnsi="仿宋_GB2312" w:cs="仿宋_GB2312"/>
                <w:bCs/>
                <w:sz w:val="24"/>
              </w:rPr>
            </w:pPr>
          </w:p>
        </w:tc>
        <w:tc>
          <w:tcPr>
            <w:tcW w:w="708" w:type="dxa"/>
            <w:vAlign w:val="center"/>
          </w:tcPr>
          <w:p>
            <w:pPr>
              <w:jc w:val="center"/>
            </w:pPr>
            <w:r>
              <w:rPr>
                <w:rFonts w:ascii="仿宋_GB2312" w:hAnsi="仿宋_GB2312" w:cs="仿宋_GB2312"/>
                <w:bCs/>
                <w:sz w:val="24"/>
              </w:rPr>
              <w:t>●</w:t>
            </w:r>
          </w:p>
        </w:tc>
        <w:tc>
          <w:tcPr>
            <w:tcW w:w="765"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6</w:t>
            </w:r>
          </w:p>
        </w:tc>
        <w:tc>
          <w:tcPr>
            <w:tcW w:w="21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围条与鞋帮粘合强度</w:t>
            </w:r>
          </w:p>
        </w:tc>
        <w:tc>
          <w:tcPr>
            <w:tcW w:w="2552"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532-2008</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21396-2008</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QB/T 2886-2007</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HG/T 4805-2015</w:t>
            </w:r>
          </w:p>
        </w:tc>
        <w:tc>
          <w:tcPr>
            <w:tcW w:w="709" w:type="dxa"/>
            <w:vAlign w:val="center"/>
          </w:tcPr>
          <w:p>
            <w:pPr>
              <w:adjustRightInd w:val="0"/>
              <w:snapToGrid w:val="0"/>
              <w:spacing w:line="400" w:lineRule="exact"/>
              <w:jc w:val="center"/>
              <w:rPr>
                <w:rFonts w:ascii="仿宋_GB2312" w:hAnsi="仿宋_GB2312" w:cs="仿宋_GB2312"/>
                <w:bCs/>
                <w:sz w:val="24"/>
              </w:rPr>
            </w:pPr>
          </w:p>
        </w:tc>
        <w:tc>
          <w:tcPr>
            <w:tcW w:w="708" w:type="dxa"/>
            <w:vAlign w:val="center"/>
          </w:tcPr>
          <w:p>
            <w:pPr>
              <w:jc w:val="center"/>
            </w:pPr>
            <w:r>
              <w:rPr>
                <w:rFonts w:ascii="仿宋_GB2312" w:hAnsi="仿宋_GB2312" w:cs="仿宋_GB2312"/>
                <w:bCs/>
                <w:sz w:val="24"/>
              </w:rPr>
              <w:t>●</w:t>
            </w:r>
          </w:p>
        </w:tc>
        <w:tc>
          <w:tcPr>
            <w:tcW w:w="765"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7</w:t>
            </w:r>
          </w:p>
        </w:tc>
        <w:tc>
          <w:tcPr>
            <w:tcW w:w="21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底板厚度</w:t>
            </w:r>
          </w:p>
        </w:tc>
        <w:tc>
          <w:tcPr>
            <w:tcW w:w="2552"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相应产品标准</w:t>
            </w:r>
          </w:p>
        </w:tc>
        <w:tc>
          <w:tcPr>
            <w:tcW w:w="709" w:type="dxa"/>
            <w:vAlign w:val="center"/>
          </w:tcPr>
          <w:p>
            <w:pPr>
              <w:adjustRightInd w:val="0"/>
              <w:snapToGrid w:val="0"/>
              <w:spacing w:line="400" w:lineRule="exact"/>
              <w:jc w:val="center"/>
              <w:rPr>
                <w:rFonts w:ascii="仿宋_GB2312" w:hAnsi="仿宋_GB2312" w:cs="仿宋_GB2312"/>
                <w:bCs/>
                <w:sz w:val="24"/>
              </w:rPr>
            </w:pPr>
          </w:p>
        </w:tc>
        <w:tc>
          <w:tcPr>
            <w:tcW w:w="708" w:type="dxa"/>
            <w:vAlign w:val="center"/>
          </w:tcPr>
          <w:p>
            <w:pPr>
              <w:jc w:val="center"/>
            </w:pPr>
            <w:r>
              <w:rPr>
                <w:rFonts w:ascii="仿宋_GB2312" w:hAnsi="仿宋_GB2312" w:cs="仿宋_GB2312"/>
                <w:bCs/>
                <w:sz w:val="24"/>
              </w:rPr>
              <w:t>●</w:t>
            </w:r>
          </w:p>
        </w:tc>
        <w:tc>
          <w:tcPr>
            <w:tcW w:w="765"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8</w:t>
            </w:r>
          </w:p>
        </w:tc>
        <w:tc>
          <w:tcPr>
            <w:tcW w:w="21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外底厚度</w:t>
            </w:r>
          </w:p>
        </w:tc>
        <w:tc>
          <w:tcPr>
            <w:tcW w:w="2552"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相应产品标准</w:t>
            </w:r>
          </w:p>
        </w:tc>
        <w:tc>
          <w:tcPr>
            <w:tcW w:w="709" w:type="dxa"/>
            <w:vAlign w:val="center"/>
          </w:tcPr>
          <w:p>
            <w:pPr>
              <w:adjustRightInd w:val="0"/>
              <w:snapToGrid w:val="0"/>
              <w:spacing w:line="400" w:lineRule="exact"/>
              <w:jc w:val="center"/>
              <w:rPr>
                <w:rFonts w:ascii="仿宋_GB2312" w:hAnsi="仿宋_GB2312" w:cs="仿宋_GB2312"/>
                <w:bCs/>
                <w:sz w:val="24"/>
              </w:rPr>
            </w:pPr>
          </w:p>
        </w:tc>
        <w:tc>
          <w:tcPr>
            <w:tcW w:w="708" w:type="dxa"/>
            <w:vAlign w:val="center"/>
          </w:tcPr>
          <w:p>
            <w:pPr>
              <w:jc w:val="center"/>
            </w:pPr>
            <w:r>
              <w:rPr>
                <w:rFonts w:ascii="仿宋_GB2312" w:hAnsi="仿宋_GB2312" w:cs="仿宋_GB2312"/>
                <w:bCs/>
                <w:sz w:val="24"/>
              </w:rPr>
              <w:t>●</w:t>
            </w:r>
          </w:p>
        </w:tc>
        <w:tc>
          <w:tcPr>
            <w:tcW w:w="765"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9</w:t>
            </w:r>
          </w:p>
        </w:tc>
        <w:tc>
          <w:tcPr>
            <w:tcW w:w="21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可萃取的重金属</w:t>
            </w:r>
          </w:p>
        </w:tc>
        <w:tc>
          <w:tcPr>
            <w:tcW w:w="2552"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25038-2010</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17593.1-2006</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17593.2-2007</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17593.4-2006</w:t>
            </w:r>
          </w:p>
        </w:tc>
        <w:tc>
          <w:tcPr>
            <w:tcW w:w="709"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08" w:type="dxa"/>
            <w:vAlign w:val="center"/>
          </w:tcPr>
          <w:p>
            <w:pPr>
              <w:adjustRightInd w:val="0"/>
              <w:snapToGrid w:val="0"/>
              <w:spacing w:line="400" w:lineRule="exact"/>
              <w:jc w:val="center"/>
              <w:rPr>
                <w:rFonts w:ascii="仿宋_GB2312" w:hAnsi="仿宋_GB2312" w:cs="仿宋_GB2312"/>
                <w:bCs/>
                <w:sz w:val="24"/>
              </w:rPr>
            </w:pPr>
          </w:p>
        </w:tc>
        <w:tc>
          <w:tcPr>
            <w:tcW w:w="765"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9148" w:type="dxa"/>
            <w:gridSpan w:val="8"/>
            <w:vAlign w:val="center"/>
          </w:tcPr>
          <w:p>
            <w:pPr>
              <w:adjustRightInd w:val="0"/>
              <w:snapToGrid w:val="0"/>
              <w:spacing w:line="400" w:lineRule="exact"/>
              <w:rPr>
                <w:rFonts w:ascii="仿宋_GB2312" w:hAnsi="仿宋_GB2312" w:cs="仿宋_GB2312"/>
                <w:bCs/>
                <w:sz w:val="24"/>
              </w:rPr>
            </w:pPr>
            <w:r>
              <w:rPr>
                <w:rFonts w:hint="eastAsia" w:ascii="仿宋_GB2312" w:hAnsi="仿宋_GB2312" w:cs="仿宋_GB2312"/>
                <w:bCs/>
                <w:sz w:val="24"/>
              </w:rPr>
              <w:t>注：衬里和内垫摩擦色牢度、游离甲醛、可分解有害芳香胺染料按照GB 25038-2010《胶鞋健康安全技术规范》判定时，属于强制性项目。</w:t>
            </w:r>
          </w:p>
        </w:tc>
      </w:tr>
    </w:tbl>
    <w:p>
      <w:pPr>
        <w:adjustRightInd w:val="0"/>
        <w:snapToGrid w:val="0"/>
        <w:spacing w:line="560" w:lineRule="exact"/>
        <w:ind w:firstLine="640"/>
        <w:rPr>
          <w:kern w:val="0"/>
          <w:szCs w:val="32"/>
        </w:rPr>
      </w:pPr>
      <w:r>
        <w:rPr>
          <w:rFonts w:hint="eastAsia"/>
          <w:kern w:val="0"/>
          <w:szCs w:val="32"/>
        </w:rPr>
        <w:t>（</w:t>
      </w:r>
      <w:r>
        <w:rPr>
          <w:kern w:val="0"/>
          <w:szCs w:val="32"/>
        </w:rPr>
        <w:t>3</w:t>
      </w:r>
      <w:r>
        <w:rPr>
          <w:rFonts w:hint="eastAsia"/>
          <w:kern w:val="0"/>
          <w:szCs w:val="32"/>
        </w:rPr>
        <w:t>）橡塑凉拖鞋</w:t>
      </w:r>
    </w:p>
    <w:tbl>
      <w:tblPr>
        <w:tblStyle w:val="9"/>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126"/>
        <w:gridCol w:w="2358"/>
        <w:gridCol w:w="761"/>
        <w:gridCol w:w="715"/>
        <w:gridCol w:w="900"/>
        <w:gridCol w:w="792"/>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序号</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检验项目</w:t>
            </w:r>
          </w:p>
        </w:tc>
        <w:tc>
          <w:tcPr>
            <w:tcW w:w="2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检验方法</w:t>
            </w:r>
          </w:p>
        </w:tc>
        <w:tc>
          <w:tcPr>
            <w:tcW w:w="7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强制性</w:t>
            </w:r>
          </w:p>
        </w:tc>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非强制性</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重要项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较重</w:t>
            </w:r>
          </w:p>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p>
        </w:tc>
        <w:tc>
          <w:tcPr>
            <w:tcW w:w="21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拉伸强度</w:t>
            </w:r>
          </w:p>
        </w:tc>
        <w:tc>
          <w:tcPr>
            <w:tcW w:w="2358"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528-2009</w:t>
            </w:r>
          </w:p>
        </w:tc>
        <w:tc>
          <w:tcPr>
            <w:tcW w:w="761" w:type="dxa"/>
            <w:vAlign w:val="center"/>
          </w:tcPr>
          <w:p>
            <w:pPr>
              <w:adjustRightInd w:val="0"/>
              <w:snapToGrid w:val="0"/>
              <w:spacing w:line="400" w:lineRule="exact"/>
              <w:jc w:val="center"/>
              <w:rPr>
                <w:rFonts w:ascii="仿宋_GB2312" w:hAnsi="仿宋_GB2312" w:cs="仿宋_GB2312"/>
                <w:bCs/>
                <w:sz w:val="24"/>
              </w:rPr>
            </w:pPr>
          </w:p>
        </w:tc>
        <w:tc>
          <w:tcPr>
            <w:tcW w:w="715" w:type="dxa"/>
            <w:vAlign w:val="center"/>
          </w:tcPr>
          <w:p>
            <w:pPr>
              <w:jc w:val="center"/>
            </w:pPr>
            <w:r>
              <w:rPr>
                <w:rFonts w:ascii="仿宋_GB2312" w:hAnsi="仿宋_GB2312" w:cs="仿宋_GB2312"/>
                <w:bCs/>
                <w:sz w:val="24"/>
              </w:rPr>
              <w:t>●</w:t>
            </w: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2</w:t>
            </w:r>
          </w:p>
        </w:tc>
        <w:tc>
          <w:tcPr>
            <w:tcW w:w="21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拉断伸长率</w:t>
            </w:r>
          </w:p>
        </w:tc>
        <w:tc>
          <w:tcPr>
            <w:tcW w:w="2358"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528-2009</w:t>
            </w:r>
          </w:p>
        </w:tc>
        <w:tc>
          <w:tcPr>
            <w:tcW w:w="761" w:type="dxa"/>
            <w:vAlign w:val="center"/>
          </w:tcPr>
          <w:p>
            <w:pPr>
              <w:adjustRightInd w:val="0"/>
              <w:snapToGrid w:val="0"/>
              <w:spacing w:line="400" w:lineRule="exact"/>
              <w:jc w:val="center"/>
              <w:rPr>
                <w:rFonts w:ascii="仿宋_GB2312" w:hAnsi="仿宋_GB2312" w:cs="仿宋_GB2312"/>
                <w:bCs/>
                <w:sz w:val="24"/>
              </w:rPr>
            </w:pPr>
          </w:p>
        </w:tc>
        <w:tc>
          <w:tcPr>
            <w:tcW w:w="715" w:type="dxa"/>
            <w:vAlign w:val="center"/>
          </w:tcPr>
          <w:p>
            <w:pPr>
              <w:jc w:val="center"/>
            </w:pPr>
            <w:r>
              <w:rPr>
                <w:rFonts w:ascii="仿宋_GB2312" w:hAnsi="仿宋_GB2312" w:cs="仿宋_GB2312"/>
                <w:bCs/>
                <w:sz w:val="24"/>
              </w:rPr>
              <w:t>●</w:t>
            </w: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3</w:t>
            </w:r>
          </w:p>
        </w:tc>
        <w:tc>
          <w:tcPr>
            <w:tcW w:w="21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硬度</w:t>
            </w:r>
          </w:p>
        </w:tc>
        <w:tc>
          <w:tcPr>
            <w:tcW w:w="2358"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531.1-2008</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HG/T 2489-2007</w:t>
            </w:r>
          </w:p>
        </w:tc>
        <w:tc>
          <w:tcPr>
            <w:tcW w:w="761" w:type="dxa"/>
            <w:vAlign w:val="center"/>
          </w:tcPr>
          <w:p>
            <w:pPr>
              <w:adjustRightInd w:val="0"/>
              <w:snapToGrid w:val="0"/>
              <w:spacing w:line="400" w:lineRule="exact"/>
              <w:jc w:val="center"/>
              <w:rPr>
                <w:rFonts w:ascii="仿宋_GB2312" w:hAnsi="仿宋_GB2312" w:cs="仿宋_GB2312"/>
                <w:bCs/>
                <w:sz w:val="24"/>
              </w:rPr>
            </w:pPr>
          </w:p>
        </w:tc>
        <w:tc>
          <w:tcPr>
            <w:tcW w:w="715" w:type="dxa"/>
            <w:vAlign w:val="center"/>
          </w:tcPr>
          <w:p>
            <w:pPr>
              <w:jc w:val="center"/>
            </w:pPr>
            <w:r>
              <w:rPr>
                <w:rFonts w:ascii="仿宋_GB2312" w:hAnsi="仿宋_GB2312" w:cs="仿宋_GB2312"/>
                <w:bCs/>
                <w:sz w:val="24"/>
              </w:rPr>
              <w:t>●</w:t>
            </w: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4</w:t>
            </w:r>
          </w:p>
        </w:tc>
        <w:tc>
          <w:tcPr>
            <w:tcW w:w="21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屈挠</w:t>
            </w:r>
          </w:p>
        </w:tc>
        <w:tc>
          <w:tcPr>
            <w:tcW w:w="2358"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HG/T 2873-2008</w:t>
            </w:r>
          </w:p>
        </w:tc>
        <w:tc>
          <w:tcPr>
            <w:tcW w:w="761" w:type="dxa"/>
            <w:vAlign w:val="center"/>
          </w:tcPr>
          <w:p>
            <w:pPr>
              <w:adjustRightInd w:val="0"/>
              <w:snapToGrid w:val="0"/>
              <w:spacing w:line="400" w:lineRule="exact"/>
              <w:jc w:val="center"/>
              <w:rPr>
                <w:rFonts w:ascii="仿宋_GB2312" w:hAnsi="仿宋_GB2312" w:cs="仿宋_GB2312"/>
                <w:bCs/>
                <w:sz w:val="24"/>
              </w:rPr>
            </w:pPr>
          </w:p>
        </w:tc>
        <w:tc>
          <w:tcPr>
            <w:tcW w:w="715" w:type="dxa"/>
            <w:vAlign w:val="center"/>
          </w:tcPr>
          <w:p>
            <w:pPr>
              <w:jc w:val="center"/>
            </w:pPr>
            <w:r>
              <w:rPr>
                <w:rFonts w:ascii="仿宋_GB2312" w:hAnsi="仿宋_GB2312" w:cs="仿宋_GB2312"/>
                <w:bCs/>
                <w:sz w:val="24"/>
              </w:rPr>
              <w:t>●</w:t>
            </w: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5</w:t>
            </w:r>
          </w:p>
        </w:tc>
        <w:tc>
          <w:tcPr>
            <w:tcW w:w="21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帮带拔出力</w:t>
            </w:r>
          </w:p>
        </w:tc>
        <w:tc>
          <w:tcPr>
            <w:tcW w:w="2358"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HG/T 2877-1997</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22756-2008</w:t>
            </w:r>
          </w:p>
        </w:tc>
        <w:tc>
          <w:tcPr>
            <w:tcW w:w="761" w:type="dxa"/>
            <w:vAlign w:val="center"/>
          </w:tcPr>
          <w:p>
            <w:pPr>
              <w:adjustRightInd w:val="0"/>
              <w:snapToGrid w:val="0"/>
              <w:spacing w:line="400" w:lineRule="exact"/>
              <w:jc w:val="center"/>
              <w:rPr>
                <w:rFonts w:ascii="仿宋_GB2312" w:hAnsi="仿宋_GB2312" w:cs="仿宋_GB2312"/>
                <w:bCs/>
                <w:sz w:val="24"/>
              </w:rPr>
            </w:pPr>
          </w:p>
        </w:tc>
        <w:tc>
          <w:tcPr>
            <w:tcW w:w="715" w:type="dxa"/>
            <w:vAlign w:val="center"/>
          </w:tcPr>
          <w:p>
            <w:pPr>
              <w:jc w:val="center"/>
            </w:pPr>
            <w:r>
              <w:rPr>
                <w:rFonts w:ascii="仿宋_GB2312" w:hAnsi="仿宋_GB2312" w:cs="仿宋_GB2312"/>
                <w:bCs/>
                <w:sz w:val="24"/>
              </w:rPr>
              <w:t>●</w:t>
            </w: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6</w:t>
            </w:r>
          </w:p>
        </w:tc>
        <w:tc>
          <w:tcPr>
            <w:tcW w:w="21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耐黄变性能</w:t>
            </w:r>
          </w:p>
        </w:tc>
        <w:tc>
          <w:tcPr>
            <w:tcW w:w="2358"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HG/T3689-2014</w:t>
            </w:r>
          </w:p>
        </w:tc>
        <w:tc>
          <w:tcPr>
            <w:tcW w:w="761" w:type="dxa"/>
            <w:vAlign w:val="center"/>
          </w:tcPr>
          <w:p>
            <w:pPr>
              <w:adjustRightInd w:val="0"/>
              <w:snapToGrid w:val="0"/>
              <w:spacing w:line="400" w:lineRule="exact"/>
              <w:jc w:val="center"/>
              <w:rPr>
                <w:rFonts w:ascii="仿宋_GB2312" w:hAnsi="仿宋_GB2312" w:cs="仿宋_GB2312"/>
                <w:bCs/>
                <w:sz w:val="24"/>
              </w:rPr>
            </w:pPr>
          </w:p>
        </w:tc>
        <w:tc>
          <w:tcPr>
            <w:tcW w:w="715" w:type="dxa"/>
            <w:vAlign w:val="center"/>
          </w:tcPr>
          <w:p>
            <w:pPr>
              <w:jc w:val="center"/>
            </w:pPr>
            <w:r>
              <w:rPr>
                <w:rFonts w:ascii="仿宋_GB2312" w:hAnsi="仿宋_GB2312" w:cs="仿宋_GB2312"/>
                <w:bCs/>
                <w:sz w:val="24"/>
              </w:rPr>
              <w:t>●</w:t>
            </w: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bl>
    <w:p>
      <w:pPr>
        <w:adjustRightInd w:val="0"/>
        <w:snapToGrid w:val="0"/>
        <w:spacing w:line="600" w:lineRule="exact"/>
        <w:ind w:firstLine="640" w:firstLineChars="200"/>
        <w:rPr>
          <w:rFonts w:eastAsia="黑体" w:cs="黑体"/>
          <w:color w:val="000000"/>
          <w:szCs w:val="32"/>
        </w:rPr>
      </w:pPr>
      <w:r>
        <w:rPr>
          <w:rFonts w:hint="eastAsia" w:eastAsia="黑体" w:cs="黑体"/>
          <w:color w:val="000000"/>
          <w:szCs w:val="32"/>
        </w:rPr>
        <w:t>三、判定规则</w:t>
      </w:r>
    </w:p>
    <w:p>
      <w:pPr>
        <w:spacing w:line="590" w:lineRule="exact"/>
        <w:ind w:firstLine="640" w:firstLineChars="200"/>
        <w:rPr>
          <w:rFonts w:eastAsia="方正小标宋简体" w:cs="方正小标宋简体"/>
          <w:color w:val="000000"/>
          <w:sz w:val="44"/>
          <w:szCs w:val="44"/>
        </w:rPr>
      </w:pPr>
      <w:r>
        <w:rPr>
          <w:rFonts w:hint="eastAsia" w:eastAsia="楷体_GB2312" w:cs="楷体_GB2312"/>
          <w:color w:val="000000"/>
          <w:szCs w:val="32"/>
        </w:rPr>
        <w:t>（一）依据标准</w:t>
      </w:r>
    </w:p>
    <w:p>
      <w:pPr>
        <w:pStyle w:val="7"/>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GB 30585-2014《儿童鞋安全技术规范》</w:t>
      </w:r>
    </w:p>
    <w:p>
      <w:pPr>
        <w:pStyle w:val="7"/>
        <w:widowControl/>
        <w:snapToGrid w:val="0"/>
        <w:spacing w:before="0" w:beforeAutospacing="0" w:after="0" w:afterAutospacing="0" w:line="600" w:lineRule="exact"/>
        <w:ind w:firstLine="640" w:firstLineChars="200"/>
        <w:rPr>
          <w:rFonts w:ascii="仿宋_GB2312" w:eastAsia="仿宋_GB2312"/>
          <w:sz w:val="32"/>
          <w:szCs w:val="32"/>
        </w:rPr>
      </w:pPr>
      <w:r>
        <w:rPr>
          <w:rFonts w:hint="eastAsia" w:ascii="仿宋_GB2312" w:eastAsia="仿宋_GB2312"/>
          <w:sz w:val="32"/>
          <w:szCs w:val="32"/>
        </w:rPr>
        <w:t>GB 25038-2010《胶鞋健康安全技术规范》</w:t>
      </w:r>
    </w:p>
    <w:p>
      <w:pPr>
        <w:pStyle w:val="7"/>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QB/T 2880-2016《儿童皮鞋》</w:t>
      </w:r>
    </w:p>
    <w:p>
      <w:pPr>
        <w:pStyle w:val="7"/>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QB/T 4331-2012《儿童旅游鞋》</w:t>
      </w:r>
    </w:p>
    <w:p>
      <w:pPr>
        <w:pStyle w:val="7"/>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QB/T 4331-2021《儿童旅游鞋》</w:t>
      </w:r>
    </w:p>
    <w:p>
      <w:pPr>
        <w:pStyle w:val="7"/>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QB/T 4546-2013《儿童皮凉鞋》</w:t>
      </w:r>
    </w:p>
    <w:p>
      <w:pPr>
        <w:pStyle w:val="7"/>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QB/T 4546-2021《儿童皮凉鞋》</w:t>
      </w:r>
    </w:p>
    <w:p>
      <w:pPr>
        <w:pStyle w:val="7"/>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GB/T 15107-2013《旅游鞋》</w:t>
      </w:r>
    </w:p>
    <w:p>
      <w:pPr>
        <w:pStyle w:val="7"/>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QB/T 2955-2017《休闲鞋》</w:t>
      </w:r>
    </w:p>
    <w:p>
      <w:pPr>
        <w:pStyle w:val="7"/>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HG/T 2017-2011《普通运动鞋》</w:t>
      </w:r>
    </w:p>
    <w:p>
      <w:pPr>
        <w:pStyle w:val="7"/>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HG/T 2018-2014《轻便胶鞋》</w:t>
      </w:r>
    </w:p>
    <w:p>
      <w:pPr>
        <w:pStyle w:val="7"/>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HG/T 2182-2020《棉胶鞋》</w:t>
      </w:r>
    </w:p>
    <w:p>
      <w:pPr>
        <w:pStyle w:val="7"/>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HG/T 4809-2015《越野胶鞋》</w:t>
      </w:r>
    </w:p>
    <w:p>
      <w:pPr>
        <w:pStyle w:val="7"/>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HG/T 4992-2016《慢跑胶鞋》</w:t>
      </w:r>
    </w:p>
    <w:p>
      <w:pPr>
        <w:pStyle w:val="7"/>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HG/T 4994-2016《休闲胶鞋》</w:t>
      </w:r>
    </w:p>
    <w:p>
      <w:pPr>
        <w:pStyle w:val="7"/>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HG/T 5294-2018《老年橡塑鞋》</w:t>
      </w:r>
    </w:p>
    <w:p>
      <w:pPr>
        <w:pStyle w:val="7"/>
        <w:widowControl/>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HG/T 3086-2011《橡塑凉、拖鞋》</w:t>
      </w:r>
    </w:p>
    <w:p>
      <w:pPr>
        <w:pStyle w:val="7"/>
        <w:widowControl/>
        <w:snapToGrid w:val="0"/>
        <w:spacing w:before="0" w:beforeAutospacing="0" w:after="0" w:afterAutospacing="0" w:line="600" w:lineRule="exact"/>
        <w:ind w:firstLine="640" w:firstLineChars="200"/>
        <w:rPr>
          <w:rFonts w:ascii="仿宋_GB2312" w:eastAsia="仿宋_GB2312"/>
          <w:sz w:val="32"/>
          <w:szCs w:val="32"/>
        </w:rPr>
      </w:pPr>
      <w:r>
        <w:rPr>
          <w:rFonts w:hint="eastAsia" w:ascii="仿宋_GB2312" w:eastAsia="仿宋_GB2312"/>
          <w:sz w:val="32"/>
          <w:szCs w:val="32"/>
        </w:rPr>
        <w:t>现行有效的企业标准、团体标准、地方标准及产品明示质量要求</w:t>
      </w:r>
    </w:p>
    <w:p>
      <w:pPr>
        <w:adjustRightInd w:val="0"/>
        <w:snapToGrid w:val="0"/>
        <w:spacing w:line="600" w:lineRule="exact"/>
        <w:ind w:firstLine="640" w:firstLineChars="200"/>
        <w:rPr>
          <w:rFonts w:eastAsia="楷体_GB2312" w:cs="楷体_GB2312"/>
          <w:color w:val="000000"/>
          <w:szCs w:val="32"/>
        </w:rPr>
      </w:pPr>
      <w:r>
        <w:rPr>
          <w:rFonts w:hint="eastAsia" w:eastAsia="楷体_GB2312" w:cs="楷体_GB2312"/>
          <w:color w:val="000000"/>
          <w:szCs w:val="32"/>
        </w:rPr>
        <w:t>（二）判定原则</w:t>
      </w:r>
    </w:p>
    <w:p>
      <w:pPr>
        <w:snapToGrid w:val="0"/>
        <w:spacing w:line="520" w:lineRule="exact"/>
        <w:ind w:firstLine="640" w:firstLineChars="200"/>
        <w:rPr>
          <w:rFonts w:ascii="仿宋_GB2312" w:hAnsi="仿宋_GB2312" w:cs="仿宋_GB2312"/>
          <w:szCs w:val="32"/>
        </w:rPr>
      </w:pPr>
      <w:r>
        <w:rPr>
          <w:rFonts w:hint="eastAsia" w:ascii="仿宋_GB2312" w:hAnsi="仿宋_GB2312" w:cs="仿宋_GB2312"/>
          <w:szCs w:val="32"/>
        </w:rPr>
        <w:t>经检验，检验项目全部合格，判定为抽取的样本所检项目未检出不合格；检验项目中任一项或一项以上不合格，判定为被抽查产品不合格。</w:t>
      </w:r>
    </w:p>
    <w:p>
      <w:pPr>
        <w:pStyle w:val="16"/>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当被检样品明示的质量要求优于监督抽查实施细则中依据的标准要求时，应按被检样品明示的质量要求判定；</w:t>
      </w:r>
    </w:p>
    <w:p>
      <w:pPr>
        <w:pStyle w:val="16"/>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当被检样品明示的质量要求劣于或不包含监督抽查实施细则中依据的强制性标准要求时，应按照强制性标准要求判定；</w:t>
      </w:r>
    </w:p>
    <w:p>
      <w:pPr>
        <w:pStyle w:val="16"/>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当被检样品明示的质量要求劣于或包含监督抽查实施细则中依据的推荐性标准要求时，应以被检样品明示的质量要求判定，如相应检验结果不符合相关推荐性标准要求时，应在检验报告中予以说明；</w:t>
      </w:r>
    </w:p>
    <w:p>
      <w:pPr>
        <w:pStyle w:val="16"/>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当被检样品明示的质量要求不包含监督抽查实施细则中依据的推荐性标准要求时，该指标不参与判定，但应在检验报告中作出说明；</w:t>
      </w:r>
    </w:p>
    <w:p>
      <w:pPr>
        <w:pStyle w:val="16"/>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当被检样品未能提供有效的企业标准时，按相关国家或行业标准进行判定；</w:t>
      </w:r>
    </w:p>
    <w:p>
      <w:pPr>
        <w:pStyle w:val="16"/>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当被检样品标签标识中执行标准信息和产品类别信息不明或有误，影响检测和判定时，可根据相关强制性标准要求，同时结合产品特点等信息判断和选择相关标准进行检验，并应在检验报告中作出相关说明；</w:t>
      </w:r>
    </w:p>
    <w:p>
      <w:pPr>
        <w:pStyle w:val="16"/>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按照产品质量相关法律法规的规定判定。</w:t>
      </w:r>
    </w:p>
    <w:p>
      <w:pPr>
        <w:pStyle w:val="16"/>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检验中发现因样品失效或者其他原因致使检验无法进行的，检验人员应如实记录，并提供相关证明材料，报送组织监督抽查的市场监管部门。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方正小标宋简体">
    <w:altName w:val="仿宋_GB2312"/>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148" w:firstLine="0"/>
      </w:pPr>
      <w:rPr>
        <w:rFonts w:hint="default" w:ascii="Times New Roman" w:hAnsi="Times New Roman"/>
        <w:b/>
        <w:i w:val="0"/>
        <w:sz w:val="21"/>
      </w:rPr>
    </w:lvl>
    <w:lvl w:ilvl="1" w:tentative="0">
      <w:start w:val="1"/>
      <w:numFmt w:val="decimal"/>
      <w:suff w:val="nothing"/>
      <w:lvlText w:val="%1%2　"/>
      <w:lvlJc w:val="left"/>
      <w:pPr>
        <w:ind w:left="1708" w:firstLine="0"/>
      </w:pPr>
      <w:rPr>
        <w:rFonts w:hint="eastAsia" w:ascii="黑体" w:hAnsi="Times New Roman" w:eastAsia="黑体"/>
        <w:b w:val="0"/>
        <w:i w:val="0"/>
        <w:sz w:val="21"/>
      </w:rPr>
    </w:lvl>
    <w:lvl w:ilvl="2" w:tentative="0">
      <w:start w:val="1"/>
      <w:numFmt w:val="decimal"/>
      <w:pStyle w:val="17"/>
      <w:suff w:val="nothing"/>
      <w:lvlText w:val="%1%2.%3　"/>
      <w:lvlJc w:val="left"/>
      <w:pPr>
        <w:ind w:left="716" w:firstLine="0"/>
      </w:pPr>
      <w:rPr>
        <w:rFonts w:hint="eastAsia" w:ascii="黑体" w:hAnsi="Times New Roman" w:eastAsia="黑体" w:cs="Times New Roman"/>
        <w:b w:val="0"/>
      </w:rPr>
    </w:lvl>
    <w:lvl w:ilvl="3" w:tentative="0">
      <w:start w:val="1"/>
      <w:numFmt w:val="decimal"/>
      <w:isLgl/>
      <w:suff w:val="nothing"/>
      <w:lvlText w:val="%2%1.%3.%4　"/>
      <w:lvlJc w:val="left"/>
      <w:pPr>
        <w:ind w:left="2269" w:firstLine="0"/>
      </w:pPr>
      <w:rPr>
        <w:rFonts w:hint="eastAsia" w:ascii="黑体" w:hAnsi="Times New Roman" w:eastAsia="黑体"/>
        <w:b w:val="0"/>
        <w:i w:val="0"/>
        <w:sz w:val="21"/>
      </w:rPr>
    </w:lvl>
    <w:lvl w:ilvl="4" w:tentative="0">
      <w:start w:val="1"/>
      <w:numFmt w:val="decimal"/>
      <w:suff w:val="nothing"/>
      <w:lvlText w:val="%1%2.%3.%4.%5　"/>
      <w:lvlJc w:val="left"/>
      <w:pPr>
        <w:ind w:left="1141" w:firstLine="0"/>
      </w:pPr>
      <w:rPr>
        <w:rFonts w:hint="eastAsia" w:ascii="黑体" w:hAnsi="Times New Roman" w:eastAsia="黑体"/>
        <w:b w:val="0"/>
        <w:i w:val="0"/>
        <w:sz w:val="21"/>
      </w:rPr>
    </w:lvl>
    <w:lvl w:ilvl="5" w:tentative="0">
      <w:start w:val="1"/>
      <w:numFmt w:val="decimal"/>
      <w:suff w:val="nothing"/>
      <w:lvlText w:val="%1%2.%3.%4.%5.%6　"/>
      <w:lvlJc w:val="left"/>
      <w:pPr>
        <w:ind w:left="148" w:firstLine="0"/>
      </w:pPr>
      <w:rPr>
        <w:rFonts w:hint="eastAsia" w:ascii="黑体" w:hAnsi="Times New Roman" w:eastAsia="黑体"/>
        <w:b w:val="0"/>
        <w:i w:val="0"/>
        <w:sz w:val="21"/>
      </w:rPr>
    </w:lvl>
    <w:lvl w:ilvl="6" w:tentative="0">
      <w:start w:val="1"/>
      <w:numFmt w:val="decimal"/>
      <w:suff w:val="nothing"/>
      <w:lvlText w:val="%1%2.%3.%4.%5.%6.%7　"/>
      <w:lvlJc w:val="left"/>
      <w:pPr>
        <w:ind w:left="148" w:firstLine="0"/>
      </w:pPr>
      <w:rPr>
        <w:rFonts w:hint="eastAsia" w:ascii="黑体" w:hAnsi="Times New Roman" w:eastAsia="黑体"/>
        <w:b w:val="0"/>
        <w:i w:val="0"/>
        <w:sz w:val="21"/>
      </w:rPr>
    </w:lvl>
    <w:lvl w:ilvl="7" w:tentative="0">
      <w:start w:val="1"/>
      <w:numFmt w:val="decimal"/>
      <w:lvlText w:val="%1.%2.%3.%4.%5.%6.%7.%8"/>
      <w:lvlJc w:val="left"/>
      <w:pPr>
        <w:tabs>
          <w:tab w:val="left" w:pos="4499"/>
        </w:tabs>
        <w:ind w:left="4117" w:hanging="1418"/>
      </w:pPr>
      <w:rPr>
        <w:rFonts w:hint="eastAsia"/>
      </w:rPr>
    </w:lvl>
    <w:lvl w:ilvl="8" w:tentative="0">
      <w:start w:val="1"/>
      <w:numFmt w:val="decimal"/>
      <w:lvlText w:val="%1.%2.%3.%4.%5.%6.%7.%8.%9"/>
      <w:lvlJc w:val="left"/>
      <w:pPr>
        <w:tabs>
          <w:tab w:val="left" w:pos="4925"/>
        </w:tabs>
        <w:ind w:left="4825"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CE"/>
    <w:rsid w:val="0000577C"/>
    <w:rsid w:val="00012D99"/>
    <w:rsid w:val="00025460"/>
    <w:rsid w:val="00032E8F"/>
    <w:rsid w:val="00044860"/>
    <w:rsid w:val="00064400"/>
    <w:rsid w:val="00066872"/>
    <w:rsid w:val="00067E3B"/>
    <w:rsid w:val="00071293"/>
    <w:rsid w:val="00071DB1"/>
    <w:rsid w:val="00072261"/>
    <w:rsid w:val="000754C4"/>
    <w:rsid w:val="0008211E"/>
    <w:rsid w:val="000862D0"/>
    <w:rsid w:val="000908DF"/>
    <w:rsid w:val="000B19EE"/>
    <w:rsid w:val="000B7A06"/>
    <w:rsid w:val="000D00DC"/>
    <w:rsid w:val="000D5D13"/>
    <w:rsid w:val="000E5072"/>
    <w:rsid w:val="000F1ADB"/>
    <w:rsid w:val="000F2148"/>
    <w:rsid w:val="00107527"/>
    <w:rsid w:val="00111F61"/>
    <w:rsid w:val="00135333"/>
    <w:rsid w:val="00147CA7"/>
    <w:rsid w:val="00160BA9"/>
    <w:rsid w:val="0016504F"/>
    <w:rsid w:val="00170E49"/>
    <w:rsid w:val="001724AF"/>
    <w:rsid w:val="001759C5"/>
    <w:rsid w:val="00180BC7"/>
    <w:rsid w:val="00185692"/>
    <w:rsid w:val="001936FE"/>
    <w:rsid w:val="001A4CB4"/>
    <w:rsid w:val="001A7686"/>
    <w:rsid w:val="001B4569"/>
    <w:rsid w:val="001C1E9D"/>
    <w:rsid w:val="001E1DB2"/>
    <w:rsid w:val="001E6192"/>
    <w:rsid w:val="001F1F39"/>
    <w:rsid w:val="00202EC3"/>
    <w:rsid w:val="00220EA1"/>
    <w:rsid w:val="00223B8B"/>
    <w:rsid w:val="00223B8C"/>
    <w:rsid w:val="00226EC2"/>
    <w:rsid w:val="00233310"/>
    <w:rsid w:val="00234560"/>
    <w:rsid w:val="00236393"/>
    <w:rsid w:val="00274C13"/>
    <w:rsid w:val="00290763"/>
    <w:rsid w:val="00295C46"/>
    <w:rsid w:val="002B20CE"/>
    <w:rsid w:val="002B31C6"/>
    <w:rsid w:val="002C106D"/>
    <w:rsid w:val="002D2561"/>
    <w:rsid w:val="002E2AEA"/>
    <w:rsid w:val="002E4D42"/>
    <w:rsid w:val="002E78D6"/>
    <w:rsid w:val="002F300F"/>
    <w:rsid w:val="002F3C7A"/>
    <w:rsid w:val="002F4DC2"/>
    <w:rsid w:val="002F6589"/>
    <w:rsid w:val="00300EF2"/>
    <w:rsid w:val="0030124A"/>
    <w:rsid w:val="00312715"/>
    <w:rsid w:val="003163B8"/>
    <w:rsid w:val="003533AC"/>
    <w:rsid w:val="003545DB"/>
    <w:rsid w:val="003555B6"/>
    <w:rsid w:val="00356D3D"/>
    <w:rsid w:val="0036316E"/>
    <w:rsid w:val="00364BAE"/>
    <w:rsid w:val="00372B27"/>
    <w:rsid w:val="0037537B"/>
    <w:rsid w:val="003B0AA4"/>
    <w:rsid w:val="003B2A51"/>
    <w:rsid w:val="003C1D8D"/>
    <w:rsid w:val="003C683E"/>
    <w:rsid w:val="003C6C3A"/>
    <w:rsid w:val="003D3E2C"/>
    <w:rsid w:val="003D3E95"/>
    <w:rsid w:val="003D5839"/>
    <w:rsid w:val="003E379B"/>
    <w:rsid w:val="003E45E0"/>
    <w:rsid w:val="003F0BA8"/>
    <w:rsid w:val="003F26DE"/>
    <w:rsid w:val="003F56BC"/>
    <w:rsid w:val="0040094E"/>
    <w:rsid w:val="004052AF"/>
    <w:rsid w:val="00410634"/>
    <w:rsid w:val="00417709"/>
    <w:rsid w:val="00417A02"/>
    <w:rsid w:val="0042595A"/>
    <w:rsid w:val="00454730"/>
    <w:rsid w:val="004609A3"/>
    <w:rsid w:val="00470A2D"/>
    <w:rsid w:val="004814D7"/>
    <w:rsid w:val="00491A01"/>
    <w:rsid w:val="00497EC5"/>
    <w:rsid w:val="004A603E"/>
    <w:rsid w:val="004E6412"/>
    <w:rsid w:val="004E7582"/>
    <w:rsid w:val="004F1DF0"/>
    <w:rsid w:val="004F1F5C"/>
    <w:rsid w:val="004F232F"/>
    <w:rsid w:val="004F2E7B"/>
    <w:rsid w:val="004F63BE"/>
    <w:rsid w:val="004F7677"/>
    <w:rsid w:val="005111E4"/>
    <w:rsid w:val="00517342"/>
    <w:rsid w:val="005256C6"/>
    <w:rsid w:val="00525719"/>
    <w:rsid w:val="0053154B"/>
    <w:rsid w:val="00534035"/>
    <w:rsid w:val="00534172"/>
    <w:rsid w:val="0055647A"/>
    <w:rsid w:val="00562275"/>
    <w:rsid w:val="005643BC"/>
    <w:rsid w:val="00565191"/>
    <w:rsid w:val="005730A6"/>
    <w:rsid w:val="00592248"/>
    <w:rsid w:val="00593ED9"/>
    <w:rsid w:val="00594938"/>
    <w:rsid w:val="005A118B"/>
    <w:rsid w:val="005A234F"/>
    <w:rsid w:val="005B7A36"/>
    <w:rsid w:val="005C2145"/>
    <w:rsid w:val="005C3C66"/>
    <w:rsid w:val="005E76DB"/>
    <w:rsid w:val="005F125E"/>
    <w:rsid w:val="00635586"/>
    <w:rsid w:val="00693940"/>
    <w:rsid w:val="00697C63"/>
    <w:rsid w:val="006A2AEE"/>
    <w:rsid w:val="006A2E05"/>
    <w:rsid w:val="006A5695"/>
    <w:rsid w:val="006B2844"/>
    <w:rsid w:val="006B2E32"/>
    <w:rsid w:val="006B34D1"/>
    <w:rsid w:val="006D5048"/>
    <w:rsid w:val="006D715A"/>
    <w:rsid w:val="006D748F"/>
    <w:rsid w:val="006E157B"/>
    <w:rsid w:val="00700F83"/>
    <w:rsid w:val="007060A7"/>
    <w:rsid w:val="007104CF"/>
    <w:rsid w:val="007216BA"/>
    <w:rsid w:val="00730510"/>
    <w:rsid w:val="00730E29"/>
    <w:rsid w:val="00734DEF"/>
    <w:rsid w:val="00756D89"/>
    <w:rsid w:val="007572BC"/>
    <w:rsid w:val="00780132"/>
    <w:rsid w:val="0078122D"/>
    <w:rsid w:val="00794700"/>
    <w:rsid w:val="007953D3"/>
    <w:rsid w:val="007A329E"/>
    <w:rsid w:val="007B6EB6"/>
    <w:rsid w:val="007C2110"/>
    <w:rsid w:val="007E2CBA"/>
    <w:rsid w:val="007E752E"/>
    <w:rsid w:val="007F3853"/>
    <w:rsid w:val="008102AB"/>
    <w:rsid w:val="00813701"/>
    <w:rsid w:val="00825AA9"/>
    <w:rsid w:val="00847A4D"/>
    <w:rsid w:val="0085493C"/>
    <w:rsid w:val="00855800"/>
    <w:rsid w:val="00867EFD"/>
    <w:rsid w:val="00870846"/>
    <w:rsid w:val="00883572"/>
    <w:rsid w:val="008942EC"/>
    <w:rsid w:val="008F2DCC"/>
    <w:rsid w:val="008F3152"/>
    <w:rsid w:val="008F3D3D"/>
    <w:rsid w:val="008F6327"/>
    <w:rsid w:val="008F6750"/>
    <w:rsid w:val="00916F06"/>
    <w:rsid w:val="00917CD0"/>
    <w:rsid w:val="00924627"/>
    <w:rsid w:val="009825FF"/>
    <w:rsid w:val="00983197"/>
    <w:rsid w:val="0098610C"/>
    <w:rsid w:val="009949E0"/>
    <w:rsid w:val="009A3678"/>
    <w:rsid w:val="009A69EB"/>
    <w:rsid w:val="009D7FB5"/>
    <w:rsid w:val="009D7FD6"/>
    <w:rsid w:val="009F69D5"/>
    <w:rsid w:val="00A073AD"/>
    <w:rsid w:val="00A07996"/>
    <w:rsid w:val="00A15704"/>
    <w:rsid w:val="00A217D8"/>
    <w:rsid w:val="00A2299E"/>
    <w:rsid w:val="00A2459F"/>
    <w:rsid w:val="00A32AFB"/>
    <w:rsid w:val="00A361C4"/>
    <w:rsid w:val="00A4341C"/>
    <w:rsid w:val="00A6231F"/>
    <w:rsid w:val="00A64FBC"/>
    <w:rsid w:val="00A704F2"/>
    <w:rsid w:val="00A7174E"/>
    <w:rsid w:val="00A72515"/>
    <w:rsid w:val="00A81BF9"/>
    <w:rsid w:val="00AA69E8"/>
    <w:rsid w:val="00AA7123"/>
    <w:rsid w:val="00AB0D60"/>
    <w:rsid w:val="00AB5362"/>
    <w:rsid w:val="00AC114A"/>
    <w:rsid w:val="00AC4941"/>
    <w:rsid w:val="00B25BCB"/>
    <w:rsid w:val="00B25FA1"/>
    <w:rsid w:val="00B2794D"/>
    <w:rsid w:val="00B405A8"/>
    <w:rsid w:val="00B41FB4"/>
    <w:rsid w:val="00B43622"/>
    <w:rsid w:val="00B50051"/>
    <w:rsid w:val="00B60609"/>
    <w:rsid w:val="00B723AA"/>
    <w:rsid w:val="00B9223A"/>
    <w:rsid w:val="00B92DD8"/>
    <w:rsid w:val="00BA725C"/>
    <w:rsid w:val="00BC0A2A"/>
    <w:rsid w:val="00BC3670"/>
    <w:rsid w:val="00BC5792"/>
    <w:rsid w:val="00BD6A6F"/>
    <w:rsid w:val="00BF63FC"/>
    <w:rsid w:val="00BF6453"/>
    <w:rsid w:val="00C073C2"/>
    <w:rsid w:val="00C14D16"/>
    <w:rsid w:val="00C258EA"/>
    <w:rsid w:val="00C35F5E"/>
    <w:rsid w:val="00C35FDC"/>
    <w:rsid w:val="00C36403"/>
    <w:rsid w:val="00C374EE"/>
    <w:rsid w:val="00C4347F"/>
    <w:rsid w:val="00C5211F"/>
    <w:rsid w:val="00C57767"/>
    <w:rsid w:val="00C74936"/>
    <w:rsid w:val="00C860D0"/>
    <w:rsid w:val="00C97764"/>
    <w:rsid w:val="00CB3A5E"/>
    <w:rsid w:val="00CB51B5"/>
    <w:rsid w:val="00CD2224"/>
    <w:rsid w:val="00CE4C2C"/>
    <w:rsid w:val="00CE73BD"/>
    <w:rsid w:val="00CF2C14"/>
    <w:rsid w:val="00CF405D"/>
    <w:rsid w:val="00D0079A"/>
    <w:rsid w:val="00D01527"/>
    <w:rsid w:val="00D10CF6"/>
    <w:rsid w:val="00D10D3F"/>
    <w:rsid w:val="00D130CE"/>
    <w:rsid w:val="00D134A7"/>
    <w:rsid w:val="00D147F9"/>
    <w:rsid w:val="00D152A9"/>
    <w:rsid w:val="00D50977"/>
    <w:rsid w:val="00D6005C"/>
    <w:rsid w:val="00D6569D"/>
    <w:rsid w:val="00D6737E"/>
    <w:rsid w:val="00D713F1"/>
    <w:rsid w:val="00D7261D"/>
    <w:rsid w:val="00D733D2"/>
    <w:rsid w:val="00D76B1B"/>
    <w:rsid w:val="00D76D15"/>
    <w:rsid w:val="00D85E93"/>
    <w:rsid w:val="00D9515C"/>
    <w:rsid w:val="00D95CC3"/>
    <w:rsid w:val="00DA2A4C"/>
    <w:rsid w:val="00DA34B9"/>
    <w:rsid w:val="00DB1379"/>
    <w:rsid w:val="00DC0946"/>
    <w:rsid w:val="00DC2A79"/>
    <w:rsid w:val="00DC630D"/>
    <w:rsid w:val="00DE688B"/>
    <w:rsid w:val="00DF15C4"/>
    <w:rsid w:val="00DF62F3"/>
    <w:rsid w:val="00DF7C6E"/>
    <w:rsid w:val="00E01515"/>
    <w:rsid w:val="00E15D38"/>
    <w:rsid w:val="00E4129A"/>
    <w:rsid w:val="00E45518"/>
    <w:rsid w:val="00E45B63"/>
    <w:rsid w:val="00E565B2"/>
    <w:rsid w:val="00E6771F"/>
    <w:rsid w:val="00E70EF7"/>
    <w:rsid w:val="00E75873"/>
    <w:rsid w:val="00E864C0"/>
    <w:rsid w:val="00E97E7C"/>
    <w:rsid w:val="00EA7241"/>
    <w:rsid w:val="00EC19D6"/>
    <w:rsid w:val="00ED28F0"/>
    <w:rsid w:val="00EE73A5"/>
    <w:rsid w:val="00EF19CF"/>
    <w:rsid w:val="00F03617"/>
    <w:rsid w:val="00F32B6D"/>
    <w:rsid w:val="00F374AC"/>
    <w:rsid w:val="00F43F45"/>
    <w:rsid w:val="00F47264"/>
    <w:rsid w:val="00F5276B"/>
    <w:rsid w:val="00F54195"/>
    <w:rsid w:val="00F634B8"/>
    <w:rsid w:val="00F7286E"/>
    <w:rsid w:val="00F81614"/>
    <w:rsid w:val="00F9270A"/>
    <w:rsid w:val="00FA2E75"/>
    <w:rsid w:val="00FB311C"/>
    <w:rsid w:val="00FB58BB"/>
    <w:rsid w:val="00FC447A"/>
    <w:rsid w:val="00FD2074"/>
    <w:rsid w:val="00FE3C54"/>
    <w:rsid w:val="00FE5C3B"/>
    <w:rsid w:val="00FF01D1"/>
    <w:rsid w:val="079C3104"/>
    <w:rsid w:val="0E9606F4"/>
    <w:rsid w:val="0F2C2D20"/>
    <w:rsid w:val="1CD97ECA"/>
    <w:rsid w:val="235D16ED"/>
    <w:rsid w:val="58755F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3"/>
    <w:unhideWhenUsed/>
    <w:uiPriority w:val="99"/>
    <w:pPr>
      <w:jc w:val="left"/>
    </w:pPr>
  </w:style>
  <w:style w:type="paragraph" w:styleId="3">
    <w:name w:val="Plain Text"/>
    <w:basedOn w:val="1"/>
    <w:link w:val="30"/>
    <w:qFormat/>
    <w:uiPriority w:val="99"/>
    <w:rPr>
      <w:rFonts w:ascii="宋体" w:hAnsi="Courier New"/>
      <w:sz w:val="30"/>
    </w:rPr>
  </w:style>
  <w:style w:type="paragraph" w:styleId="4">
    <w:name w:val="Balloon Text"/>
    <w:basedOn w:val="1"/>
    <w:link w:val="22"/>
    <w:qFormat/>
    <w:uiPriority w:val="0"/>
    <w:rPr>
      <w:sz w:val="18"/>
      <w:szCs w:val="18"/>
    </w:rPr>
  </w:style>
  <w:style w:type="paragraph" w:styleId="5">
    <w:name w:val="footer"/>
    <w:basedOn w:val="1"/>
    <w:link w:val="15"/>
    <w:qFormat/>
    <w:uiPriority w:val="0"/>
    <w:pPr>
      <w:tabs>
        <w:tab w:val="center" w:pos="4153"/>
        <w:tab w:val="right" w:pos="8306"/>
      </w:tabs>
      <w:snapToGrid w:val="0"/>
      <w:jc w:val="left"/>
    </w:pPr>
    <w:rPr>
      <w:sz w:val="18"/>
    </w:rPr>
  </w:style>
  <w:style w:type="paragraph" w:styleId="6">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jc w:val="left"/>
    </w:pPr>
    <w:rPr>
      <w:rFonts w:ascii="Calibri" w:hAnsi="Calibri" w:eastAsia="宋体"/>
      <w:kern w:val="0"/>
      <w:sz w:val="24"/>
    </w:rPr>
  </w:style>
  <w:style w:type="paragraph" w:styleId="8">
    <w:name w:val="annotation subject"/>
    <w:basedOn w:val="2"/>
    <w:next w:val="2"/>
    <w:link w:val="24"/>
    <w:unhideWhenUsed/>
    <w:qFormat/>
    <w:uiPriority w:val="99"/>
    <w:rPr>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Hyperlink"/>
    <w:basedOn w:val="11"/>
    <w:unhideWhenUsed/>
    <w:qFormat/>
    <w:uiPriority w:val="99"/>
    <w:rPr>
      <w:color w:val="0000FF"/>
      <w:u w:val="single"/>
    </w:rPr>
  </w:style>
  <w:style w:type="character" w:styleId="14">
    <w:name w:val="annotation reference"/>
    <w:basedOn w:val="11"/>
    <w:unhideWhenUsed/>
    <w:qFormat/>
    <w:uiPriority w:val="99"/>
    <w:rPr>
      <w:sz w:val="21"/>
      <w:szCs w:val="21"/>
    </w:rPr>
  </w:style>
  <w:style w:type="character" w:customStyle="1" w:styleId="15">
    <w:name w:val="页脚 字符"/>
    <w:basedOn w:val="11"/>
    <w:link w:val="5"/>
    <w:qFormat/>
    <w:uiPriority w:val="0"/>
    <w:rPr>
      <w:rFonts w:ascii="Times New Roman" w:hAnsi="Times New Roman" w:eastAsia="仿宋_GB2312" w:cs="Times New Roman"/>
      <w:sz w:val="18"/>
      <w:szCs w:val="24"/>
    </w:rPr>
  </w:style>
  <w:style w:type="paragraph" w:customStyle="1" w:styleId="16">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17">
    <w:name w:val="一级条标题"/>
    <w:next w:val="16"/>
    <w:qFormat/>
    <w:uiPriority w:val="0"/>
    <w:pPr>
      <w:numPr>
        <w:ilvl w:val="2"/>
        <w:numId w:val="1"/>
      </w:numPr>
      <w:spacing w:beforeLines="50" w:afterLines="50"/>
      <w:outlineLvl w:val="2"/>
    </w:pPr>
    <w:rPr>
      <w:rFonts w:ascii="黑体" w:hAnsi="Calibri" w:eastAsia="黑体" w:cs="Times New Roman"/>
      <w:sz w:val="21"/>
      <w:szCs w:val="21"/>
      <w:lang w:val="en-US" w:eastAsia="zh-CN" w:bidi="ar-SA"/>
    </w:rPr>
  </w:style>
  <w:style w:type="paragraph" w:customStyle="1" w:styleId="18">
    <w:name w:val="二级条标题"/>
    <w:basedOn w:val="17"/>
    <w:next w:val="16"/>
    <w:qFormat/>
    <w:uiPriority w:val="0"/>
    <w:pPr>
      <w:spacing w:before="50" w:after="50"/>
      <w:outlineLvl w:val="3"/>
    </w:pPr>
  </w:style>
  <w:style w:type="paragraph" w:customStyle="1" w:styleId="19">
    <w:name w:val="列出段落2"/>
    <w:basedOn w:val="1"/>
    <w:unhideWhenUsed/>
    <w:qFormat/>
    <w:uiPriority w:val="99"/>
    <w:pPr>
      <w:ind w:firstLine="420" w:firstLineChars="200"/>
    </w:pPr>
    <w:rPr>
      <w:sz w:val="30"/>
    </w:rPr>
  </w:style>
  <w:style w:type="paragraph" w:customStyle="1" w:styleId="20">
    <w:name w:val="Table Paragraph"/>
    <w:basedOn w:val="1"/>
    <w:qFormat/>
    <w:uiPriority w:val="99"/>
    <w:pPr>
      <w:jc w:val="left"/>
    </w:pPr>
    <w:rPr>
      <w:rFonts w:ascii="Calibri" w:hAnsi="Calibri"/>
      <w:kern w:val="0"/>
      <w:sz w:val="22"/>
      <w:szCs w:val="22"/>
      <w:lang w:eastAsia="en-US"/>
    </w:rPr>
  </w:style>
  <w:style w:type="character" w:customStyle="1" w:styleId="21">
    <w:name w:val="页眉 字符"/>
    <w:basedOn w:val="11"/>
    <w:link w:val="6"/>
    <w:qFormat/>
    <w:uiPriority w:val="0"/>
    <w:rPr>
      <w:rFonts w:ascii="Times New Roman" w:hAnsi="Times New Roman" w:eastAsia="仿宋_GB2312" w:cs="Times New Roman"/>
      <w:sz w:val="18"/>
      <w:szCs w:val="18"/>
    </w:rPr>
  </w:style>
  <w:style w:type="character" w:customStyle="1" w:styleId="22">
    <w:name w:val="批注框文本 字符"/>
    <w:basedOn w:val="11"/>
    <w:link w:val="4"/>
    <w:qFormat/>
    <w:uiPriority w:val="0"/>
    <w:rPr>
      <w:rFonts w:ascii="Times New Roman" w:hAnsi="Times New Roman" w:eastAsia="仿宋_GB2312" w:cs="Times New Roman"/>
      <w:sz w:val="18"/>
      <w:szCs w:val="18"/>
    </w:rPr>
  </w:style>
  <w:style w:type="character" w:customStyle="1" w:styleId="23">
    <w:name w:val="批注文字 字符"/>
    <w:basedOn w:val="11"/>
    <w:link w:val="2"/>
    <w:semiHidden/>
    <w:qFormat/>
    <w:uiPriority w:val="99"/>
    <w:rPr>
      <w:rFonts w:ascii="Times New Roman" w:hAnsi="Times New Roman" w:eastAsia="仿宋_GB2312" w:cs="Times New Roman"/>
      <w:sz w:val="32"/>
      <w:szCs w:val="24"/>
    </w:rPr>
  </w:style>
  <w:style w:type="character" w:customStyle="1" w:styleId="24">
    <w:name w:val="批注主题 字符"/>
    <w:basedOn w:val="23"/>
    <w:link w:val="8"/>
    <w:semiHidden/>
    <w:qFormat/>
    <w:uiPriority w:val="99"/>
    <w:rPr>
      <w:rFonts w:ascii="Times New Roman" w:hAnsi="Times New Roman" w:eastAsia="仿宋_GB2312" w:cs="Times New Roman"/>
      <w:b/>
      <w:bCs/>
      <w:sz w:val="32"/>
      <w:szCs w:val="24"/>
    </w:rPr>
  </w:style>
  <w:style w:type="paragraph" w:customStyle="1" w:styleId="25">
    <w:name w:val="正文 New New New New New New New New New New New New New New New"/>
    <w:qFormat/>
    <w:uiPriority w:val="0"/>
    <w:pPr>
      <w:widowControl w:val="0"/>
      <w:jc w:val="both"/>
    </w:pPr>
    <w:rPr>
      <w:rFonts w:ascii="等线" w:hAnsi="等线" w:eastAsia="等线" w:cs="黑体"/>
      <w:kern w:val="2"/>
      <w:sz w:val="21"/>
      <w:szCs w:val="22"/>
      <w:lang w:val="en-US" w:eastAsia="zh-CN" w:bidi="ar-SA"/>
    </w:rPr>
  </w:style>
  <w:style w:type="character" w:customStyle="1" w:styleId="26">
    <w:name w:val="页码1"/>
    <w:basedOn w:val="11"/>
    <w:qFormat/>
    <w:uiPriority w:val="0"/>
  </w:style>
  <w:style w:type="paragraph" w:customStyle="1" w:styleId="27">
    <w:name w:val="正文 New New New New New New New New New New New New New New New New New New New New New New New"/>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8">
    <w:name w:val="正文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9">
    <w:name w:val="正文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customStyle="1" w:styleId="30">
    <w:name w:val="纯文本 字符"/>
    <w:basedOn w:val="11"/>
    <w:link w:val="3"/>
    <w:qFormat/>
    <w:uiPriority w:val="99"/>
    <w:rPr>
      <w:rFonts w:ascii="宋体" w:hAnsi="Courier New" w:eastAsia="仿宋_GB2312" w:cs="Times New Roman"/>
      <w:kern w:val="2"/>
      <w:sz w:val="3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9A3B49-50EE-4444-A39B-A94E7C85A337}">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496</Words>
  <Characters>2830</Characters>
  <Lines>23</Lines>
  <Paragraphs>6</Paragraphs>
  <TotalTime>161</TotalTime>
  <ScaleCrop>false</ScaleCrop>
  <LinksUpToDate>false</LinksUpToDate>
  <CharactersWithSpaces>3320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2022-09-28T06:45:00Z</dcterms:created>
  <dc:creator>yws1</dc:creator>
  <cp:lastModifiedBy>刘燕</cp:lastModifiedBy>
  <cp:lastPrinted>2021-06-05T13:46:00Z</cp:lastPrinted>
  <dcterms:modified xsi:type="dcterms:W3CDTF">2022-10-08T08:19:17Z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