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简体" w:cs="方正小标宋简体"/>
          <w:w w:val="99"/>
          <w:position w:val="1"/>
          <w:sz w:val="44"/>
          <w:szCs w:val="44"/>
        </w:rPr>
      </w:pPr>
      <w:r>
        <w:rPr>
          <w:rFonts w:hint="eastAsia" w:eastAsia="方正小标宋简体" w:cs="方正小标宋简体"/>
          <w:w w:val="99"/>
          <w:position w:val="1"/>
          <w:sz w:val="44"/>
          <w:szCs w:val="44"/>
        </w:rPr>
        <w:t>佛冈县</w:t>
      </w:r>
      <w:r>
        <w:rPr>
          <w:rFonts w:hint="eastAsia" w:eastAsia="方正小标宋简体" w:cs="方正小标宋简体"/>
          <w:w w:val="99"/>
          <w:position w:val="1"/>
          <w:sz w:val="44"/>
          <w:szCs w:val="44"/>
          <w:lang w:val="en-US" w:eastAsia="zh-CN"/>
        </w:rPr>
        <w:t>2022年</w:t>
      </w:r>
      <w:bookmarkStart w:id="0" w:name="_GoBack"/>
      <w:bookmarkEnd w:id="0"/>
      <w:r>
        <w:rPr>
          <w:rFonts w:hint="eastAsia" w:eastAsia="方正小标宋简体" w:cs="方正小标宋简体"/>
          <w:w w:val="99"/>
          <w:position w:val="1"/>
          <w:sz w:val="44"/>
          <w:szCs w:val="44"/>
        </w:rPr>
        <w:t>文体用品质量监督</w:t>
      </w:r>
      <w:r>
        <w:rPr>
          <w:rFonts w:hint="eastAsia" w:eastAsia="方正小标宋简体" w:cs="方正小标宋简体"/>
          <w:bCs/>
          <w:color w:val="000000"/>
          <w:sz w:val="44"/>
          <w:szCs w:val="44"/>
        </w:rPr>
        <w:t>抽查实施细则</w:t>
      </w:r>
    </w:p>
    <w:p>
      <w:pPr>
        <w:spacing w:line="590" w:lineRule="exact"/>
        <w:ind w:firstLine="880" w:firstLineChars="200"/>
        <w:rPr>
          <w:rFonts w:eastAsia="方正小标宋简体" w:cs="方正小标宋简体"/>
          <w:color w:val="000000"/>
          <w:sz w:val="44"/>
          <w:szCs w:val="44"/>
        </w:rPr>
      </w:pPr>
    </w:p>
    <w:p>
      <w:pPr>
        <w:spacing w:line="590" w:lineRule="exact"/>
        <w:ind w:firstLine="640" w:firstLineChars="200"/>
        <w:rPr>
          <w:rFonts w:ascii="黑体" w:hAnsi="黑体" w:eastAsia="黑体" w:cs="黑体"/>
          <w:szCs w:val="32"/>
        </w:rPr>
      </w:pPr>
      <w:r>
        <w:rPr>
          <w:rFonts w:hint="eastAsia" w:ascii="黑体" w:hAnsi="黑体" w:eastAsia="黑体" w:cs="黑体"/>
          <w:szCs w:val="32"/>
        </w:rPr>
        <w:t>一、抽样方法</w:t>
      </w:r>
    </w:p>
    <w:p>
      <w:pPr>
        <w:widowControl/>
        <w:spacing w:line="600" w:lineRule="exact"/>
        <w:ind w:firstLine="640" w:firstLineChars="200"/>
        <w:rPr>
          <w:kern w:val="0"/>
          <w:szCs w:val="32"/>
        </w:rPr>
      </w:pPr>
      <w:r>
        <w:rPr>
          <w:kern w:val="0"/>
          <w:szCs w:val="32"/>
        </w:rPr>
        <w:t>以随机抽样的方式在</w:t>
      </w:r>
      <w:r>
        <w:rPr>
          <w:rFonts w:hint="eastAsia"/>
          <w:kern w:val="0"/>
          <w:szCs w:val="32"/>
        </w:rPr>
        <w:t>被抽样经营者的待销产品中抽取。</w:t>
      </w:r>
    </w:p>
    <w:p>
      <w:pPr>
        <w:widowControl/>
        <w:spacing w:line="600" w:lineRule="exact"/>
        <w:ind w:firstLine="640" w:firstLineChars="200"/>
        <w:rPr>
          <w:kern w:val="0"/>
          <w:szCs w:val="32"/>
        </w:rPr>
      </w:pPr>
      <w:r>
        <w:rPr>
          <w:rFonts w:hint="eastAsia"/>
          <w:kern w:val="0"/>
          <w:szCs w:val="32"/>
        </w:rPr>
        <w:t>随机数一般可使用随机数表等方法产生。</w:t>
      </w:r>
    </w:p>
    <w:p>
      <w:pPr>
        <w:widowControl/>
        <w:spacing w:line="600" w:lineRule="exact"/>
        <w:ind w:firstLine="640" w:firstLineChars="200"/>
        <w:rPr>
          <w:kern w:val="0"/>
          <w:szCs w:val="32"/>
        </w:rPr>
      </w:pPr>
      <w:r>
        <w:rPr>
          <w:rFonts w:hint="eastAsia"/>
          <w:kern w:val="0"/>
          <w:szCs w:val="32"/>
        </w:rPr>
        <w:t>抽查数量：每款产品抽取2组样本，第1组用于检验，第2组用于备样。具体抽样数量如下：</w:t>
      </w:r>
    </w:p>
    <w:tbl>
      <w:tblPr>
        <w:tblStyle w:val="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1559"/>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846"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843"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产品名称</w:t>
            </w:r>
          </w:p>
        </w:tc>
        <w:tc>
          <w:tcPr>
            <w:tcW w:w="1559"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第1组数量</w:t>
            </w:r>
          </w:p>
        </w:tc>
        <w:tc>
          <w:tcPr>
            <w:tcW w:w="1559"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第2组数量</w:t>
            </w:r>
          </w:p>
        </w:tc>
        <w:tc>
          <w:tcPr>
            <w:tcW w:w="2977" w:type="dxa"/>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美术用品</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2套</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1套</w:t>
            </w:r>
          </w:p>
        </w:tc>
        <w:tc>
          <w:tcPr>
            <w:tcW w:w="297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水彩笔、水彩画颜料、油画棒、蜡笔、橡皮泥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843" w:type="dxa"/>
            <w:vMerge w:val="restart"/>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胶粘剂</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8支（以20g/支计）</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6支（以20g/支计）</w:t>
            </w:r>
          </w:p>
        </w:tc>
        <w:tc>
          <w:tcPr>
            <w:tcW w:w="297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固体胶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1843" w:type="dxa"/>
            <w:vMerge w:val="continue"/>
            <w:vAlign w:val="center"/>
          </w:tcPr>
          <w:p>
            <w:pPr>
              <w:adjustRightInd w:val="0"/>
              <w:snapToGrid w:val="0"/>
              <w:spacing w:line="400" w:lineRule="exact"/>
              <w:jc w:val="center"/>
              <w:rPr>
                <w:rFonts w:ascii="仿宋_GB2312" w:hAnsi="仿宋_GB2312" w:cs="仿宋_GB2312"/>
                <w:bCs/>
                <w:sz w:val="24"/>
              </w:rPr>
            </w:pP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300ml</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200ml</w:t>
            </w:r>
          </w:p>
        </w:tc>
        <w:tc>
          <w:tcPr>
            <w:tcW w:w="297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液体胶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1843" w:type="dxa"/>
            <w:vMerge w:val="continue"/>
            <w:vAlign w:val="center"/>
          </w:tcPr>
          <w:p>
            <w:pPr>
              <w:adjustRightInd w:val="0"/>
              <w:snapToGrid w:val="0"/>
              <w:spacing w:line="400" w:lineRule="exact"/>
              <w:jc w:val="center"/>
              <w:rPr>
                <w:rFonts w:ascii="仿宋_GB2312" w:hAnsi="仿宋_GB2312" w:cs="仿宋_GB2312"/>
                <w:bCs/>
                <w:sz w:val="24"/>
              </w:rPr>
            </w:pP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300ml</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200ml</w:t>
            </w:r>
          </w:p>
        </w:tc>
        <w:tc>
          <w:tcPr>
            <w:tcW w:w="297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浆糊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1843" w:type="dxa"/>
            <w:vMerge w:val="restart"/>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笔及笔芯</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25支</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25支</w:t>
            </w:r>
          </w:p>
        </w:tc>
        <w:tc>
          <w:tcPr>
            <w:tcW w:w="297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铅笔（石墨铅笔）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w:t>
            </w:r>
          </w:p>
        </w:tc>
        <w:tc>
          <w:tcPr>
            <w:tcW w:w="1843" w:type="dxa"/>
            <w:vMerge w:val="continue"/>
            <w:vAlign w:val="center"/>
          </w:tcPr>
          <w:p>
            <w:pPr>
              <w:adjustRightInd w:val="0"/>
              <w:snapToGrid w:val="0"/>
              <w:spacing w:line="400" w:lineRule="exact"/>
              <w:jc w:val="center"/>
              <w:rPr>
                <w:rFonts w:ascii="仿宋_GB2312" w:hAnsi="仿宋_GB2312" w:cs="仿宋_GB2312"/>
                <w:bCs/>
                <w:sz w:val="24"/>
              </w:rPr>
            </w:pP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2套</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1套</w:t>
            </w:r>
          </w:p>
        </w:tc>
        <w:tc>
          <w:tcPr>
            <w:tcW w:w="297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铅笔（彩色铅笔）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7</w:t>
            </w:r>
          </w:p>
        </w:tc>
        <w:tc>
          <w:tcPr>
            <w:tcW w:w="1843" w:type="dxa"/>
            <w:vMerge w:val="continue"/>
            <w:vAlign w:val="center"/>
          </w:tcPr>
          <w:p>
            <w:pPr>
              <w:adjustRightInd w:val="0"/>
              <w:snapToGrid w:val="0"/>
              <w:spacing w:line="400" w:lineRule="exact"/>
              <w:jc w:val="center"/>
              <w:rPr>
                <w:rFonts w:ascii="仿宋_GB2312" w:hAnsi="仿宋_GB2312" w:cs="仿宋_GB2312"/>
                <w:bCs/>
                <w:sz w:val="24"/>
              </w:rPr>
            </w:pP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2支</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1支</w:t>
            </w:r>
          </w:p>
        </w:tc>
        <w:tc>
          <w:tcPr>
            <w:tcW w:w="297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活动铅笔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8</w:t>
            </w:r>
          </w:p>
        </w:tc>
        <w:tc>
          <w:tcPr>
            <w:tcW w:w="1843" w:type="dxa"/>
            <w:vMerge w:val="continue"/>
            <w:vAlign w:val="center"/>
          </w:tcPr>
          <w:p>
            <w:pPr>
              <w:adjustRightInd w:val="0"/>
              <w:snapToGrid w:val="0"/>
              <w:spacing w:line="400" w:lineRule="exact"/>
              <w:jc w:val="center"/>
              <w:rPr>
                <w:rFonts w:ascii="仿宋_GB2312" w:hAnsi="仿宋_GB2312" w:cs="仿宋_GB2312"/>
                <w:bCs/>
                <w:sz w:val="24"/>
              </w:rPr>
            </w:pP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2套</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1套</w:t>
            </w:r>
          </w:p>
        </w:tc>
        <w:tc>
          <w:tcPr>
            <w:tcW w:w="297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考试用涂卡笔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9</w:t>
            </w:r>
          </w:p>
        </w:tc>
        <w:tc>
          <w:tcPr>
            <w:tcW w:w="1843" w:type="dxa"/>
            <w:vMerge w:val="continue"/>
            <w:vAlign w:val="center"/>
          </w:tcPr>
          <w:p>
            <w:pPr>
              <w:adjustRightInd w:val="0"/>
              <w:snapToGrid w:val="0"/>
              <w:spacing w:line="400" w:lineRule="exact"/>
              <w:jc w:val="center"/>
              <w:rPr>
                <w:rFonts w:ascii="仿宋_GB2312" w:hAnsi="仿宋_GB2312" w:cs="仿宋_GB2312"/>
                <w:bCs/>
                <w:sz w:val="24"/>
              </w:rPr>
            </w:pP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2盒</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1盒</w:t>
            </w:r>
          </w:p>
        </w:tc>
        <w:tc>
          <w:tcPr>
            <w:tcW w:w="297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铅芯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0</w:t>
            </w:r>
          </w:p>
        </w:tc>
        <w:tc>
          <w:tcPr>
            <w:tcW w:w="1843" w:type="dxa"/>
            <w:vMerge w:val="continue"/>
            <w:vAlign w:val="center"/>
          </w:tcPr>
          <w:p>
            <w:pPr>
              <w:adjustRightInd w:val="0"/>
              <w:snapToGrid w:val="0"/>
              <w:spacing w:line="400" w:lineRule="exact"/>
              <w:jc w:val="center"/>
              <w:rPr>
                <w:rFonts w:ascii="仿宋_GB2312" w:hAnsi="仿宋_GB2312" w:cs="仿宋_GB2312"/>
                <w:bCs/>
                <w:sz w:val="24"/>
              </w:rPr>
            </w:pP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12支</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10支</w:t>
            </w:r>
          </w:p>
        </w:tc>
        <w:tc>
          <w:tcPr>
            <w:tcW w:w="297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自来水笔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1</w:t>
            </w:r>
          </w:p>
        </w:tc>
        <w:tc>
          <w:tcPr>
            <w:tcW w:w="1843" w:type="dxa"/>
            <w:vMerge w:val="continue"/>
            <w:vAlign w:val="center"/>
          </w:tcPr>
          <w:p>
            <w:pPr>
              <w:adjustRightInd w:val="0"/>
              <w:snapToGrid w:val="0"/>
              <w:spacing w:line="400" w:lineRule="exact"/>
              <w:jc w:val="center"/>
              <w:rPr>
                <w:rFonts w:ascii="仿宋_GB2312" w:hAnsi="仿宋_GB2312" w:cs="仿宋_GB2312"/>
                <w:bCs/>
                <w:sz w:val="24"/>
              </w:rPr>
            </w:pP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12</w:t>
            </w:r>
            <w:r>
              <w:rPr>
                <w:rFonts w:ascii="宋体" w:hAnsi="宋体" w:eastAsia="宋体" w:cs="宋体"/>
                <w:bCs/>
                <w:szCs w:val="21"/>
                <w:vertAlign w:val="superscript"/>
              </w:rPr>
              <w:t xml:space="preserve"> </w:t>
            </w:r>
            <w:r>
              <w:rPr>
                <w:rFonts w:hint="eastAsia" w:ascii="仿宋_GB2312" w:hAnsi="仿宋_GB2312" w:cs="仿宋_GB2312"/>
                <w:bCs/>
                <w:sz w:val="24"/>
              </w:rPr>
              <w:t>支</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12</w:t>
            </w:r>
            <w:r>
              <w:rPr>
                <w:rFonts w:ascii="宋体" w:hAnsi="宋体" w:eastAsia="宋体" w:cs="宋体"/>
                <w:bCs/>
                <w:szCs w:val="21"/>
                <w:vertAlign w:val="superscript"/>
              </w:rPr>
              <w:t xml:space="preserve"> </w:t>
            </w:r>
            <w:r>
              <w:rPr>
                <w:rFonts w:hint="eastAsia" w:ascii="仿宋_GB2312" w:hAnsi="仿宋_GB2312" w:cs="仿宋_GB2312"/>
                <w:bCs/>
                <w:sz w:val="24"/>
              </w:rPr>
              <w:t>支</w:t>
            </w:r>
          </w:p>
        </w:tc>
        <w:tc>
          <w:tcPr>
            <w:tcW w:w="297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油墨圆珠笔和笔芯、中性墨水圆珠和笔芯、水性墨水圆珠笔和笔芯、考试用圆珠笔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2</w:t>
            </w:r>
          </w:p>
        </w:tc>
        <w:tc>
          <w:tcPr>
            <w:tcW w:w="1843" w:type="dxa"/>
            <w:vMerge w:val="continue"/>
            <w:vAlign w:val="center"/>
          </w:tcPr>
          <w:p>
            <w:pPr>
              <w:adjustRightInd w:val="0"/>
              <w:snapToGrid w:val="0"/>
              <w:spacing w:line="400" w:lineRule="exact"/>
              <w:jc w:val="center"/>
              <w:rPr>
                <w:rFonts w:ascii="仿宋_GB2312" w:hAnsi="仿宋_GB2312" w:cs="仿宋_GB2312"/>
                <w:bCs/>
                <w:sz w:val="24"/>
              </w:rPr>
            </w:pP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12支</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2X</w:t>
            </w:r>
            <w:r>
              <w:rPr>
                <w:rFonts w:ascii="宋体" w:hAnsi="宋体" w:eastAsia="宋体" w:cs="宋体"/>
                <w:bCs/>
                <w:szCs w:val="21"/>
                <w:vertAlign w:val="superscript"/>
              </w:rPr>
              <w:t xml:space="preserve"> </w:t>
            </w:r>
            <w:r>
              <w:rPr>
                <w:rFonts w:hint="eastAsia" w:ascii="仿宋_GB2312" w:hAnsi="仿宋_GB2312" w:cs="仿宋_GB2312"/>
                <w:bCs/>
                <w:sz w:val="24"/>
              </w:rPr>
              <w:t>支</w:t>
            </w:r>
          </w:p>
        </w:tc>
        <w:tc>
          <w:tcPr>
            <w:tcW w:w="297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记号笔、白板笔、荧光笔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3</w:t>
            </w:r>
          </w:p>
        </w:tc>
        <w:tc>
          <w:tcPr>
            <w:tcW w:w="1843" w:type="dxa"/>
            <w:vMerge w:val="restart"/>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涂改制品</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6支（以8ml/支计）</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4支（以8ml/支计）</w:t>
            </w:r>
          </w:p>
        </w:tc>
        <w:tc>
          <w:tcPr>
            <w:tcW w:w="297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修正液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4</w:t>
            </w:r>
          </w:p>
        </w:tc>
        <w:tc>
          <w:tcPr>
            <w:tcW w:w="1843" w:type="dxa"/>
            <w:vMerge w:val="continue"/>
            <w:vAlign w:val="center"/>
          </w:tcPr>
          <w:p>
            <w:pPr>
              <w:adjustRightInd w:val="0"/>
              <w:snapToGrid w:val="0"/>
              <w:spacing w:line="400" w:lineRule="exact"/>
              <w:jc w:val="center"/>
              <w:rPr>
                <w:rFonts w:ascii="仿宋_GB2312" w:hAnsi="仿宋_GB2312" w:cs="仿宋_GB2312"/>
                <w:bCs/>
                <w:sz w:val="24"/>
              </w:rPr>
            </w:pP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6个（以10m/个计）</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4个（以10m/个计）</w:t>
            </w:r>
          </w:p>
        </w:tc>
        <w:tc>
          <w:tcPr>
            <w:tcW w:w="297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修正带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5</w:t>
            </w:r>
          </w:p>
        </w:tc>
        <w:tc>
          <w:tcPr>
            <w:tcW w:w="1843" w:type="dxa"/>
            <w:vMerge w:val="continue"/>
            <w:vAlign w:val="center"/>
          </w:tcPr>
          <w:p>
            <w:pPr>
              <w:adjustRightInd w:val="0"/>
              <w:snapToGrid w:val="0"/>
              <w:spacing w:line="400" w:lineRule="exact"/>
              <w:jc w:val="center"/>
              <w:rPr>
                <w:rFonts w:ascii="仿宋_GB2312" w:hAnsi="仿宋_GB2312" w:cs="仿宋_GB2312"/>
                <w:bCs/>
                <w:sz w:val="24"/>
              </w:rPr>
            </w:pP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12支（以6ml/支计）</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6支（以6ml/支计）</w:t>
            </w:r>
          </w:p>
        </w:tc>
        <w:tc>
          <w:tcPr>
            <w:tcW w:w="297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修正笔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6</w:t>
            </w:r>
          </w:p>
        </w:tc>
        <w:tc>
          <w:tcPr>
            <w:tcW w:w="1843" w:type="dxa"/>
            <w:vMerge w:val="continue"/>
            <w:vAlign w:val="center"/>
          </w:tcPr>
          <w:p>
            <w:pPr>
              <w:adjustRightInd w:val="0"/>
              <w:snapToGrid w:val="0"/>
              <w:spacing w:line="400" w:lineRule="exact"/>
              <w:jc w:val="center"/>
              <w:rPr>
                <w:rFonts w:ascii="仿宋_GB2312" w:hAnsi="仿宋_GB2312" w:cs="仿宋_GB2312"/>
                <w:bCs/>
                <w:sz w:val="24"/>
              </w:rPr>
            </w:pP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5本</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5本</w:t>
            </w:r>
          </w:p>
        </w:tc>
        <w:tc>
          <w:tcPr>
            <w:tcW w:w="297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修正贴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7</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橡皮擦</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r>
              <w:rPr>
                <w:rFonts w:hint="eastAsia" w:ascii="宋体" w:hAnsi="宋体" w:eastAsia="宋体" w:cs="宋体"/>
                <w:bCs/>
                <w:szCs w:val="21"/>
                <w:vertAlign w:val="superscript"/>
              </w:rPr>
              <w:t xml:space="preserve"> </w:t>
            </w:r>
            <w:r>
              <w:rPr>
                <w:rFonts w:hint="eastAsia" w:ascii="仿宋_GB2312" w:hAnsi="仿宋_GB2312" w:cs="仿宋_GB2312"/>
                <w:bCs/>
                <w:sz w:val="24"/>
              </w:rPr>
              <w:t>个</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hint="eastAsia" w:ascii="宋体" w:hAnsi="宋体" w:eastAsia="宋体" w:cs="宋体"/>
                <w:bCs/>
                <w:szCs w:val="21"/>
                <w:vertAlign w:val="superscript"/>
              </w:rPr>
              <w:t xml:space="preserve"> </w:t>
            </w:r>
            <w:r>
              <w:rPr>
                <w:rFonts w:hint="eastAsia" w:ascii="仿宋_GB2312" w:hAnsi="仿宋_GB2312" w:cs="仿宋_GB2312"/>
                <w:bCs/>
                <w:sz w:val="24"/>
              </w:rPr>
              <w:t>个</w:t>
            </w:r>
          </w:p>
        </w:tc>
        <w:tc>
          <w:tcPr>
            <w:tcW w:w="297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橡皮擦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8</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本册</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2本</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1本</w:t>
            </w:r>
          </w:p>
        </w:tc>
        <w:tc>
          <w:tcPr>
            <w:tcW w:w="297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田字簿、拼音簿、数学簿、英语本、错题本、语文本、作文本、作业登记本等学生用课业簿册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4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r>
              <w:rPr>
                <w:rFonts w:ascii="仿宋_GB2312" w:hAnsi="仿宋_GB2312" w:cs="仿宋_GB2312"/>
                <w:bCs/>
                <w:sz w:val="24"/>
              </w:rPr>
              <w:t>9</w:t>
            </w:r>
          </w:p>
        </w:tc>
        <w:tc>
          <w:tcPr>
            <w:tcW w:w="1843"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卷削类文具</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2个</w:t>
            </w:r>
          </w:p>
        </w:tc>
        <w:tc>
          <w:tcPr>
            <w:tcW w:w="1559"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1个</w:t>
            </w:r>
          </w:p>
        </w:tc>
        <w:tc>
          <w:tcPr>
            <w:tcW w:w="297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卷笔刀、手动削笔机、文具剪刀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784" w:type="dxa"/>
            <w:gridSpan w:val="5"/>
            <w:vAlign w:val="center"/>
          </w:tcPr>
          <w:p>
            <w:pPr>
              <w:widowControl/>
              <w:textAlignment w:val="center"/>
              <w:rPr>
                <w:rFonts w:ascii="仿宋_GB2312" w:hAnsi="宋体" w:cs="宋体"/>
                <w:bCs/>
                <w:sz w:val="24"/>
              </w:rPr>
            </w:pPr>
            <w:r>
              <w:rPr>
                <w:rFonts w:hint="eastAsia" w:ascii="仿宋_GB2312" w:hAnsi="宋体" w:cs="宋体"/>
                <w:bCs/>
                <w:sz w:val="24"/>
              </w:rPr>
              <w:t>注：</w:t>
            </w:r>
          </w:p>
          <w:p>
            <w:pPr>
              <w:widowControl/>
              <w:textAlignment w:val="center"/>
              <w:rPr>
                <w:rFonts w:ascii="仿宋_GB2312" w:hAnsi="宋体" w:cs="宋体"/>
                <w:bCs/>
                <w:sz w:val="24"/>
              </w:rPr>
            </w:pPr>
            <w:r>
              <w:rPr>
                <w:rFonts w:hint="eastAsia" w:ascii="仿宋_GB2312" w:hAnsi="宋体" w:cs="宋体"/>
                <w:bCs/>
                <w:sz w:val="24"/>
              </w:rPr>
              <w:t>1</w:t>
            </w:r>
            <w:r>
              <w:rPr>
                <w:rFonts w:ascii="仿宋_GB2312" w:hAnsi="宋体" w:cs="宋体"/>
                <w:bCs/>
                <w:sz w:val="24"/>
              </w:rPr>
              <w:t>.</w:t>
            </w:r>
            <w:r>
              <w:rPr>
                <w:rFonts w:hint="eastAsia" w:ascii="仿宋_GB2312" w:hAnsi="宋体" w:cs="宋体"/>
                <w:bCs/>
                <w:sz w:val="24"/>
              </w:rPr>
              <w:t>水彩笔一套不少于12支；</w:t>
            </w:r>
          </w:p>
          <w:p>
            <w:pPr>
              <w:widowControl/>
              <w:textAlignment w:val="center"/>
              <w:rPr>
                <w:rFonts w:ascii="仿宋_GB2312" w:hAnsi="宋体" w:cs="宋体"/>
                <w:bCs/>
                <w:sz w:val="24"/>
              </w:rPr>
            </w:pPr>
            <w:r>
              <w:rPr>
                <w:rFonts w:hint="eastAsia" w:ascii="仿宋_GB2312" w:hAnsi="宋体" w:cs="宋体"/>
                <w:bCs/>
                <w:sz w:val="24"/>
              </w:rPr>
              <w:t>2</w:t>
            </w:r>
            <w:r>
              <w:rPr>
                <w:rFonts w:ascii="仿宋_GB2312" w:hAnsi="宋体" w:cs="宋体"/>
                <w:bCs/>
                <w:sz w:val="24"/>
              </w:rPr>
              <w:t>.</w:t>
            </w:r>
            <w:r>
              <w:rPr>
                <w:rFonts w:hint="eastAsia" w:ascii="仿宋_GB2312" w:hAnsi="宋体" w:cs="宋体"/>
                <w:bCs/>
                <w:sz w:val="24"/>
              </w:rPr>
              <w:t>油墨圆珠笔和笔芯、中性墨水圆珠和笔芯、水性墨水圆珠笔和笔芯抽样数量仅针对单色样品。若为多色混装样品，抽样数量需乘以墨水颜色数。</w:t>
            </w:r>
          </w:p>
          <w:p>
            <w:pPr>
              <w:widowControl/>
              <w:textAlignment w:val="center"/>
              <w:rPr>
                <w:rFonts w:ascii="仿宋_GB2312" w:hAnsi="宋体" w:cs="宋体"/>
                <w:bCs/>
                <w:sz w:val="24"/>
              </w:rPr>
            </w:pPr>
            <w:r>
              <w:rPr>
                <w:rFonts w:hint="eastAsia" w:ascii="仿宋_GB2312" w:hAnsi="宋体" w:cs="宋体"/>
                <w:bCs/>
                <w:sz w:val="24"/>
              </w:rPr>
              <w:t>3</w:t>
            </w:r>
            <w:r>
              <w:rPr>
                <w:rFonts w:ascii="仿宋_GB2312" w:hAnsi="宋体" w:cs="宋体"/>
                <w:bCs/>
                <w:sz w:val="24"/>
              </w:rPr>
              <w:t>.</w:t>
            </w:r>
            <w:r>
              <w:rPr>
                <w:rFonts w:hint="eastAsia" w:ascii="仿宋_GB2312" w:hAnsi="宋体" w:cs="宋体"/>
                <w:bCs/>
                <w:sz w:val="24"/>
              </w:rPr>
              <w:t>记号笔、白板笔、荧光笔，备样数量为墨水颜色数的2倍。</w:t>
            </w:r>
          </w:p>
          <w:p>
            <w:pPr>
              <w:widowControl/>
              <w:textAlignment w:val="center"/>
              <w:rPr>
                <w:rFonts w:ascii="仿宋_GB2312" w:hAnsi="仿宋_GB2312" w:cs="仿宋_GB2312"/>
                <w:bCs/>
                <w:sz w:val="24"/>
              </w:rPr>
            </w:pPr>
            <w:r>
              <w:rPr>
                <w:rFonts w:hint="eastAsia" w:ascii="仿宋_GB2312" w:hAnsi="宋体" w:cs="宋体"/>
                <w:bCs/>
                <w:sz w:val="24"/>
              </w:rPr>
              <w:t>4</w:t>
            </w:r>
            <w:r>
              <w:rPr>
                <w:rFonts w:ascii="仿宋_GB2312" w:hAnsi="宋体" w:cs="宋体"/>
                <w:bCs/>
                <w:sz w:val="24"/>
              </w:rPr>
              <w:t>.</w:t>
            </w:r>
            <w:r>
              <w:rPr>
                <w:rFonts w:hint="eastAsia" w:ascii="仿宋_GB2312" w:hAnsi="宋体" w:cs="宋体"/>
                <w:bCs/>
                <w:sz w:val="24"/>
              </w:rPr>
              <w:t>橡皮擦的抽查数量仅针对单色样品，若为多色混装样品，抽样数量需乘以颜色数。5</w:t>
            </w:r>
            <w:r>
              <w:rPr>
                <w:rFonts w:ascii="仿宋_GB2312" w:hAnsi="宋体" w:cs="宋体"/>
                <w:bCs/>
                <w:sz w:val="24"/>
              </w:rPr>
              <w:t>.</w:t>
            </w:r>
            <w:r>
              <w:rPr>
                <w:rFonts w:hint="eastAsia" w:ascii="仿宋_GB2312" w:hAnsi="仿宋_GB2312" w:cs="仿宋_GB2312"/>
                <w:bCs/>
                <w:sz w:val="24"/>
              </w:rPr>
              <w:t>固体胶、修正液、修正带、修正笔</w:t>
            </w:r>
            <w:r>
              <w:rPr>
                <w:rFonts w:hint="eastAsia" w:ascii="仿宋_GB2312" w:hAnsi="宋体" w:cs="宋体"/>
                <w:bCs/>
                <w:sz w:val="24"/>
              </w:rPr>
              <w:t>如单支样品的规格少于表中规定，则以总量换算成相应样品数量（即支数或个数）抽取。</w:t>
            </w:r>
          </w:p>
        </w:tc>
      </w:tr>
    </w:tbl>
    <w:p>
      <w:pPr>
        <w:widowControl/>
        <w:ind w:firstLine="640" w:firstLineChars="200"/>
        <w:jc w:val="left"/>
        <w:rPr>
          <w:rFonts w:eastAsia="黑体" w:cs="黑体"/>
          <w:color w:val="000000"/>
          <w:szCs w:val="32"/>
        </w:rPr>
      </w:pPr>
      <w:r>
        <w:rPr>
          <w:rFonts w:hint="eastAsia" w:eastAsia="黑体" w:cs="黑体"/>
          <w:color w:val="000000"/>
          <w:szCs w:val="32"/>
        </w:rPr>
        <w:t>二、主要检验项目及检验项目属性划分</w:t>
      </w:r>
    </w:p>
    <w:p>
      <w:pPr>
        <w:adjustRightInd w:val="0"/>
        <w:snapToGrid w:val="0"/>
        <w:spacing w:line="560" w:lineRule="exact"/>
        <w:ind w:firstLine="640"/>
        <w:rPr>
          <w:kern w:val="0"/>
          <w:szCs w:val="32"/>
        </w:rPr>
      </w:pPr>
      <w:r>
        <w:rPr>
          <w:rFonts w:hint="eastAsia"/>
          <w:kern w:val="0"/>
          <w:szCs w:val="32"/>
        </w:rPr>
        <w:t>（1）学生用品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807"/>
        <w:gridCol w:w="1926"/>
        <w:gridCol w:w="792"/>
        <w:gridCol w:w="684"/>
        <w:gridCol w:w="900"/>
        <w:gridCol w:w="7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5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序号</w:t>
            </w:r>
          </w:p>
        </w:tc>
        <w:tc>
          <w:tcPr>
            <w:tcW w:w="1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检验项目</w:t>
            </w:r>
          </w:p>
        </w:tc>
        <w:tc>
          <w:tcPr>
            <w:tcW w:w="19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检验方法</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强制性</w:t>
            </w:r>
          </w:p>
        </w:tc>
        <w:tc>
          <w:tcPr>
            <w:tcW w:w="6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非强制性</w:t>
            </w:r>
          </w:p>
        </w:tc>
        <w:tc>
          <w:tcPr>
            <w:tcW w:w="9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重要项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较重</w:t>
            </w:r>
          </w:p>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要项</w:t>
            </w:r>
          </w:p>
        </w:tc>
        <w:tc>
          <w:tcPr>
            <w:tcW w:w="7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
                <w:bCs/>
                <w:sz w:val="24"/>
              </w:rPr>
            </w:pPr>
            <w:r>
              <w:rPr>
                <w:rFonts w:hint="eastAsia" w:ascii="仿宋_GB2312" w:hAnsi="仿宋_GB2312" w:cs="仿宋_GB2312"/>
                <w:b/>
                <w:bCs/>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828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胶粘剂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可迁移元素的最大限量</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21027-2007</w:t>
            </w:r>
            <w:r>
              <w:rPr>
                <w:rFonts w:ascii="仿宋_GB2312" w:hAnsi="仿宋_GB2312" w:cs="仿宋_GB2312"/>
                <w:bCs/>
                <w:sz w:val="24"/>
              </w:rPr>
              <w:t xml:space="preserve"> </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 xml:space="preserve">GB 21027-2020 </w:t>
            </w: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68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苯</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21027-2007</w:t>
            </w:r>
            <w:r>
              <w:rPr>
                <w:rFonts w:ascii="仿宋_GB2312" w:hAnsi="仿宋_GB2312" w:cs="仿宋_GB2312"/>
                <w:bCs/>
                <w:sz w:val="24"/>
              </w:rPr>
              <w:t xml:space="preserve"> </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 xml:space="preserve">GB 21027-2020 </w:t>
            </w:r>
          </w:p>
        </w:tc>
        <w:tc>
          <w:tcPr>
            <w:tcW w:w="792" w:type="dxa"/>
            <w:vAlign w:val="center"/>
          </w:tcPr>
          <w:p>
            <w:pPr>
              <w:jc w:val="center"/>
            </w:pPr>
            <w:r>
              <w:rPr>
                <w:rFonts w:ascii="仿宋_GB2312" w:hAnsi="仿宋_GB2312" w:cs="仿宋_GB2312"/>
                <w:bCs/>
                <w:sz w:val="24"/>
              </w:rPr>
              <w:t>●</w:t>
            </w:r>
          </w:p>
        </w:tc>
        <w:tc>
          <w:tcPr>
            <w:tcW w:w="68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甲苯+二甲苯</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21027-2007</w:t>
            </w:r>
            <w:r>
              <w:rPr>
                <w:rFonts w:ascii="仿宋_GB2312" w:hAnsi="仿宋_GB2312" w:cs="仿宋_GB2312"/>
                <w:bCs/>
                <w:sz w:val="24"/>
              </w:rPr>
              <w:t xml:space="preserve"> </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21027-2020</w:t>
            </w:r>
          </w:p>
        </w:tc>
        <w:tc>
          <w:tcPr>
            <w:tcW w:w="792" w:type="dxa"/>
            <w:vAlign w:val="center"/>
          </w:tcPr>
          <w:p>
            <w:pPr>
              <w:jc w:val="center"/>
            </w:pPr>
            <w:r>
              <w:rPr>
                <w:rFonts w:ascii="仿宋_GB2312" w:hAnsi="仿宋_GB2312" w:cs="仿宋_GB2312"/>
                <w:bCs/>
                <w:sz w:val="24"/>
              </w:rPr>
              <w:t>●</w:t>
            </w:r>
          </w:p>
        </w:tc>
        <w:tc>
          <w:tcPr>
            <w:tcW w:w="68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4</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总挥发性有机物</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21027-2007</w:t>
            </w:r>
            <w:r>
              <w:rPr>
                <w:rFonts w:ascii="仿宋_GB2312" w:hAnsi="仿宋_GB2312" w:cs="仿宋_GB2312"/>
                <w:bCs/>
                <w:sz w:val="24"/>
              </w:rPr>
              <w:t xml:space="preserve"> </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 xml:space="preserve">GB 21027-2020 </w:t>
            </w:r>
          </w:p>
        </w:tc>
        <w:tc>
          <w:tcPr>
            <w:tcW w:w="792" w:type="dxa"/>
            <w:vAlign w:val="center"/>
          </w:tcPr>
          <w:p>
            <w:pPr>
              <w:jc w:val="center"/>
            </w:pPr>
            <w:r>
              <w:rPr>
                <w:rFonts w:ascii="仿宋_GB2312" w:hAnsi="仿宋_GB2312" w:cs="仿宋_GB2312"/>
                <w:bCs/>
                <w:sz w:val="24"/>
              </w:rPr>
              <w:t>●</w:t>
            </w:r>
          </w:p>
        </w:tc>
        <w:tc>
          <w:tcPr>
            <w:tcW w:w="68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5</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游离甲醛</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21027-2007</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GB/T32606-2016</w:t>
            </w:r>
          </w:p>
        </w:tc>
        <w:tc>
          <w:tcPr>
            <w:tcW w:w="792" w:type="dxa"/>
            <w:vAlign w:val="center"/>
          </w:tcPr>
          <w:p>
            <w:pPr>
              <w:jc w:val="center"/>
            </w:pPr>
            <w:r>
              <w:rPr>
                <w:rFonts w:ascii="仿宋_GB2312" w:hAnsi="仿宋_GB2312" w:cs="仿宋_GB2312"/>
                <w:bCs/>
                <w:sz w:val="24"/>
              </w:rPr>
              <w:t>●</w:t>
            </w:r>
          </w:p>
        </w:tc>
        <w:tc>
          <w:tcPr>
            <w:tcW w:w="68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8287" w:type="dxa"/>
            <w:gridSpan w:val="8"/>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美术用品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可迁移元素的最大限量</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21027-2007</w:t>
            </w:r>
            <w:r>
              <w:rPr>
                <w:rFonts w:ascii="仿宋_GB2312" w:hAnsi="仿宋_GB2312" w:cs="仿宋_GB2312"/>
                <w:bCs/>
                <w:sz w:val="24"/>
              </w:rPr>
              <w:t xml:space="preserve"> </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21027-2020</w:t>
            </w: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68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笔的上帽安全</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21027-2007</w:t>
            </w: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68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8287" w:type="dxa"/>
            <w:gridSpan w:val="8"/>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笔及笔芯（黑色）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可迁移元素的最大限量</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21027-2007</w:t>
            </w:r>
            <w:r>
              <w:rPr>
                <w:rFonts w:ascii="仿宋_GB2312" w:hAnsi="仿宋_GB2312" w:cs="仿宋_GB2312"/>
                <w:bCs/>
                <w:sz w:val="24"/>
              </w:rPr>
              <w:t xml:space="preserve"> </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 xml:space="preserve">GB 21027-2020 </w:t>
            </w:r>
          </w:p>
        </w:tc>
        <w:tc>
          <w:tcPr>
            <w:tcW w:w="792" w:type="dxa"/>
            <w:vAlign w:val="center"/>
          </w:tcPr>
          <w:p>
            <w:pPr>
              <w:jc w:val="center"/>
            </w:pPr>
            <w:r>
              <w:rPr>
                <w:rFonts w:ascii="仿宋_GB2312" w:hAnsi="仿宋_GB2312" w:cs="仿宋_GB2312"/>
                <w:bCs/>
                <w:sz w:val="24"/>
              </w:rPr>
              <w:t>●</w:t>
            </w:r>
          </w:p>
        </w:tc>
        <w:tc>
          <w:tcPr>
            <w:tcW w:w="68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笔的上帽安全</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21027-2007</w:t>
            </w:r>
            <w:r>
              <w:rPr>
                <w:rFonts w:ascii="仿宋_GB2312" w:hAnsi="仿宋_GB2312" w:cs="仿宋_GB2312"/>
                <w:bCs/>
                <w:sz w:val="24"/>
              </w:rPr>
              <w:t xml:space="preserve"> </w:t>
            </w:r>
          </w:p>
        </w:tc>
        <w:tc>
          <w:tcPr>
            <w:tcW w:w="792" w:type="dxa"/>
            <w:vAlign w:val="center"/>
          </w:tcPr>
          <w:p>
            <w:pPr>
              <w:jc w:val="center"/>
            </w:pPr>
            <w:r>
              <w:rPr>
                <w:rFonts w:ascii="仿宋_GB2312" w:hAnsi="仿宋_GB2312" w:cs="仿宋_GB2312"/>
                <w:bCs/>
                <w:sz w:val="24"/>
              </w:rPr>
              <w:t>●</w:t>
            </w:r>
          </w:p>
        </w:tc>
        <w:tc>
          <w:tcPr>
            <w:tcW w:w="68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287" w:type="dxa"/>
            <w:gridSpan w:val="8"/>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笔及笔芯（彩色）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可迁移元素的最大限量</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21027-2007</w:t>
            </w:r>
            <w:r>
              <w:rPr>
                <w:rFonts w:ascii="仿宋_GB2312" w:hAnsi="仿宋_GB2312" w:cs="仿宋_GB2312"/>
                <w:bCs/>
                <w:sz w:val="24"/>
              </w:rPr>
              <w:t xml:space="preserve"> </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 xml:space="preserve">GB 21027-2020 </w:t>
            </w: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68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笔的上帽安全</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21027-2007</w:t>
            </w:r>
            <w:r>
              <w:rPr>
                <w:rFonts w:ascii="仿宋_GB2312" w:hAnsi="仿宋_GB2312" w:cs="仿宋_GB2312"/>
                <w:bCs/>
                <w:sz w:val="24"/>
              </w:rPr>
              <w:t xml:space="preserve"> </w:t>
            </w: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68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8287" w:type="dxa"/>
            <w:gridSpan w:val="8"/>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橡皮擦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可迁移元素的最大限量</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21027-2007</w:t>
            </w:r>
            <w:r>
              <w:rPr>
                <w:rFonts w:ascii="仿宋_GB2312" w:hAnsi="仿宋_GB2312" w:cs="仿宋_GB2312"/>
                <w:bCs/>
                <w:sz w:val="24"/>
              </w:rPr>
              <w:t xml:space="preserve"> </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21027-2020</w:t>
            </w: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68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287" w:type="dxa"/>
            <w:gridSpan w:val="8"/>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涂改制品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可迁移元素的最大限量</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21027-2007</w:t>
            </w:r>
            <w:r>
              <w:rPr>
                <w:rFonts w:ascii="仿宋_GB2312" w:hAnsi="仿宋_GB2312" w:cs="仿宋_GB2312"/>
                <w:bCs/>
                <w:sz w:val="24"/>
              </w:rPr>
              <w:t xml:space="preserve"> </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21027-2020</w:t>
            </w: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68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苯</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21027-2007</w:t>
            </w:r>
            <w:r>
              <w:rPr>
                <w:rFonts w:ascii="仿宋_GB2312" w:hAnsi="仿宋_GB2312" w:cs="仿宋_GB2312"/>
                <w:bCs/>
                <w:sz w:val="24"/>
              </w:rPr>
              <w:t xml:space="preserve"> </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21027-2020</w:t>
            </w: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68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3</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氯代烃</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21027-2007</w:t>
            </w:r>
            <w:r>
              <w:rPr>
                <w:rFonts w:ascii="仿宋_GB2312" w:hAnsi="仿宋_GB2312" w:cs="仿宋_GB2312"/>
                <w:bCs/>
                <w:sz w:val="24"/>
              </w:rPr>
              <w:t xml:space="preserve"> </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21027-2020</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 xml:space="preserve">GB/T32613-2016 </w:t>
            </w: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68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8287" w:type="dxa"/>
            <w:gridSpan w:val="8"/>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卷削类文具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可迁移元素的最大限量</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21027-2007</w:t>
            </w:r>
            <w:r>
              <w:rPr>
                <w:rFonts w:ascii="仿宋_GB2312" w:hAnsi="仿宋_GB2312" w:cs="仿宋_GB2312"/>
                <w:bCs/>
                <w:sz w:val="24"/>
              </w:rPr>
              <w:t xml:space="preserve"> </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21027-2020</w:t>
            </w:r>
          </w:p>
        </w:tc>
        <w:tc>
          <w:tcPr>
            <w:tcW w:w="792"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68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adjustRightInd w:val="0"/>
              <w:snapToGrid w:val="0"/>
              <w:spacing w:line="400" w:lineRule="exact"/>
              <w:jc w:val="center"/>
              <w:rPr>
                <w:rFonts w:ascii="仿宋_GB2312" w:hAnsi="仿宋_GB2312" w:cs="仿宋_GB2312"/>
                <w:bCs/>
                <w:sz w:val="24"/>
              </w:rP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287" w:type="dxa"/>
            <w:gridSpan w:val="8"/>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本册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1</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可迁移元素的最大限量</w:t>
            </w:r>
          </w:p>
        </w:tc>
        <w:tc>
          <w:tcPr>
            <w:tcW w:w="1926"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GB 21027-2007</w:t>
            </w:r>
            <w:r>
              <w:rPr>
                <w:rFonts w:ascii="仿宋_GB2312" w:hAnsi="仿宋_GB2312" w:cs="仿宋_GB2312"/>
                <w:bCs/>
                <w:sz w:val="24"/>
              </w:rPr>
              <w:t xml:space="preserve"> </w:t>
            </w:r>
          </w:p>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 xml:space="preserve">GB 21027-2020 </w:t>
            </w:r>
          </w:p>
        </w:tc>
        <w:tc>
          <w:tcPr>
            <w:tcW w:w="792" w:type="dxa"/>
            <w:vAlign w:val="center"/>
          </w:tcPr>
          <w:p>
            <w:pPr>
              <w:jc w:val="center"/>
            </w:pPr>
            <w:r>
              <w:rPr>
                <w:rFonts w:ascii="仿宋_GB2312" w:hAnsi="仿宋_GB2312" w:cs="仿宋_GB2312"/>
                <w:bCs/>
                <w:sz w:val="24"/>
              </w:rPr>
              <w:t>●</w:t>
            </w:r>
          </w:p>
        </w:tc>
        <w:tc>
          <w:tcPr>
            <w:tcW w:w="68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94"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2</w:t>
            </w:r>
          </w:p>
        </w:tc>
        <w:tc>
          <w:tcPr>
            <w:tcW w:w="1807" w:type="dxa"/>
            <w:vAlign w:val="center"/>
          </w:tcPr>
          <w:p>
            <w:pPr>
              <w:adjustRightInd w:val="0"/>
              <w:snapToGrid w:val="0"/>
              <w:spacing w:line="400" w:lineRule="exact"/>
              <w:jc w:val="center"/>
              <w:rPr>
                <w:rFonts w:ascii="仿宋_GB2312" w:hAnsi="仿宋_GB2312" w:cs="仿宋_GB2312"/>
                <w:bCs/>
                <w:sz w:val="24"/>
              </w:rPr>
            </w:pPr>
            <w:r>
              <w:rPr>
                <w:rFonts w:hint="eastAsia" w:ascii="仿宋_GB2312" w:hAnsi="仿宋_GB2312" w:cs="仿宋_GB2312"/>
                <w:bCs/>
                <w:sz w:val="24"/>
              </w:rPr>
              <w:t>亮度</w:t>
            </w:r>
          </w:p>
        </w:tc>
        <w:tc>
          <w:tcPr>
            <w:tcW w:w="1926" w:type="dxa"/>
            <w:vAlign w:val="center"/>
          </w:tcPr>
          <w:p>
            <w:pPr>
              <w:adjustRightInd w:val="0"/>
              <w:snapToGrid w:val="0"/>
              <w:spacing w:line="400" w:lineRule="exact"/>
              <w:rPr>
                <w:rFonts w:ascii="仿宋_GB2312" w:hAnsi="仿宋_GB2312" w:cs="仿宋_GB2312"/>
                <w:bCs/>
                <w:sz w:val="24"/>
              </w:rPr>
            </w:pPr>
            <w:r>
              <w:rPr>
                <w:rFonts w:hint="eastAsia" w:ascii="仿宋_GB2312" w:hAnsi="仿宋_GB2312" w:cs="仿宋_GB2312"/>
                <w:bCs/>
                <w:sz w:val="24"/>
              </w:rPr>
              <w:t>GB/T 7974-2002 GB/T 7974-2013</w:t>
            </w:r>
          </w:p>
        </w:tc>
        <w:tc>
          <w:tcPr>
            <w:tcW w:w="792" w:type="dxa"/>
            <w:vAlign w:val="center"/>
          </w:tcPr>
          <w:p>
            <w:pPr>
              <w:jc w:val="center"/>
            </w:pPr>
            <w:r>
              <w:rPr>
                <w:rFonts w:ascii="仿宋_GB2312" w:hAnsi="仿宋_GB2312" w:cs="仿宋_GB2312"/>
                <w:bCs/>
                <w:sz w:val="24"/>
              </w:rPr>
              <w:t>●</w:t>
            </w:r>
          </w:p>
        </w:tc>
        <w:tc>
          <w:tcPr>
            <w:tcW w:w="684" w:type="dxa"/>
            <w:vAlign w:val="center"/>
          </w:tcPr>
          <w:p>
            <w:pPr>
              <w:adjustRightInd w:val="0"/>
              <w:snapToGrid w:val="0"/>
              <w:spacing w:line="400" w:lineRule="exact"/>
              <w:jc w:val="center"/>
              <w:rPr>
                <w:rFonts w:ascii="仿宋_GB2312" w:hAnsi="仿宋_GB2312" w:cs="仿宋_GB2312"/>
                <w:bCs/>
                <w:sz w:val="24"/>
              </w:rPr>
            </w:pPr>
          </w:p>
        </w:tc>
        <w:tc>
          <w:tcPr>
            <w:tcW w:w="900" w:type="dxa"/>
            <w:vAlign w:val="center"/>
          </w:tcPr>
          <w:p>
            <w:pPr>
              <w:jc w:val="center"/>
            </w:pPr>
            <w:r>
              <w:rPr>
                <w:rFonts w:ascii="仿宋_GB2312" w:hAnsi="仿宋_GB2312" w:cs="仿宋_GB2312"/>
                <w:bCs/>
                <w:sz w:val="24"/>
              </w:rPr>
              <w:t>●</w:t>
            </w:r>
          </w:p>
        </w:tc>
        <w:tc>
          <w:tcPr>
            <w:tcW w:w="792" w:type="dxa"/>
            <w:vAlign w:val="center"/>
          </w:tcPr>
          <w:p>
            <w:pPr>
              <w:adjustRightInd w:val="0"/>
              <w:snapToGrid w:val="0"/>
              <w:spacing w:line="400" w:lineRule="exact"/>
              <w:jc w:val="center"/>
              <w:rPr>
                <w:rFonts w:ascii="仿宋_GB2312" w:hAnsi="仿宋_GB2312" w:cs="仿宋_GB2312"/>
                <w:bCs/>
                <w:sz w:val="24"/>
              </w:rPr>
            </w:pPr>
          </w:p>
        </w:tc>
        <w:tc>
          <w:tcPr>
            <w:tcW w:w="792" w:type="dxa"/>
            <w:vAlign w:val="center"/>
          </w:tcPr>
          <w:p>
            <w:pPr>
              <w:adjustRightInd w:val="0"/>
              <w:snapToGrid w:val="0"/>
              <w:spacing w:line="400" w:lineRule="exact"/>
              <w:jc w:val="center"/>
              <w:rPr>
                <w:rFonts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287" w:type="dxa"/>
            <w:gridSpan w:val="8"/>
            <w:vAlign w:val="center"/>
          </w:tcPr>
          <w:p>
            <w:pPr>
              <w:adjustRightInd w:val="0"/>
              <w:snapToGrid w:val="0"/>
              <w:spacing w:line="400" w:lineRule="exact"/>
              <w:rPr>
                <w:rFonts w:ascii="仿宋_GB2312" w:hAnsi="仿宋_GB2312" w:cs="仿宋_GB2312"/>
                <w:bCs/>
                <w:sz w:val="24"/>
              </w:rPr>
            </w:pPr>
            <w:r>
              <w:rPr>
                <w:rFonts w:hint="eastAsia" w:ascii="仿宋_GB2312" w:hAnsi="仿宋_GB2312" w:cs="仿宋_GB2312"/>
                <w:bCs/>
                <w:sz w:val="24"/>
              </w:rPr>
              <w:t>注：</w:t>
            </w:r>
          </w:p>
          <w:p>
            <w:pPr>
              <w:adjustRightInd w:val="0"/>
              <w:snapToGrid w:val="0"/>
              <w:spacing w:line="400" w:lineRule="exact"/>
              <w:rPr>
                <w:rFonts w:ascii="仿宋_GB2312" w:hAnsi="仿宋_GB2312" w:cs="仿宋_GB2312"/>
                <w:bCs/>
                <w:sz w:val="24"/>
              </w:rPr>
            </w:pPr>
            <w:r>
              <w:rPr>
                <w:rFonts w:hint="eastAsia" w:ascii="仿宋_GB2312" w:hAnsi="仿宋_GB2312" w:cs="仿宋_GB2312"/>
                <w:bCs/>
                <w:sz w:val="24"/>
              </w:rPr>
              <w:t>1.胶粘剂（固体胶、液体胶、浆糊等）中的游离甲醛的测定按GB 21027-2007附录A测试发现不合格时，需重新按GB/T 32606-2016规定的方法进行检测，以GB/T 32606-2016的检测结果作为最终结果。</w:t>
            </w:r>
          </w:p>
          <w:p>
            <w:pPr>
              <w:adjustRightInd w:val="0"/>
              <w:snapToGrid w:val="0"/>
              <w:spacing w:line="400" w:lineRule="exact"/>
              <w:rPr>
                <w:rFonts w:ascii="宋体" w:hAnsi="宋体" w:eastAsia="宋体" w:cs="仿宋_GB2312"/>
                <w:szCs w:val="21"/>
              </w:rPr>
            </w:pPr>
            <w:r>
              <w:rPr>
                <w:rFonts w:hint="eastAsia" w:ascii="仿宋_GB2312" w:hAnsi="仿宋_GB2312" w:cs="仿宋_GB2312"/>
                <w:bCs/>
                <w:sz w:val="24"/>
              </w:rPr>
              <w:t>2.仅当产品明示执行标准 GB 21027-2020 或生产日期为 2022 年 2 月 1 日及以后时，按照 GB 21027-2020 进行检测和判定。其他情况按照GB 21027-2007进行检测和判定。</w:t>
            </w:r>
          </w:p>
        </w:tc>
      </w:tr>
    </w:tbl>
    <w:p>
      <w:pPr>
        <w:adjustRightInd w:val="0"/>
        <w:snapToGrid w:val="0"/>
        <w:spacing w:line="600" w:lineRule="exact"/>
        <w:ind w:firstLine="640" w:firstLineChars="200"/>
        <w:rPr>
          <w:rFonts w:eastAsia="黑体" w:cs="黑体"/>
          <w:color w:val="000000"/>
          <w:szCs w:val="32"/>
        </w:rPr>
      </w:pPr>
      <w:r>
        <w:rPr>
          <w:rFonts w:hint="eastAsia" w:eastAsia="黑体" w:cs="黑体"/>
          <w:color w:val="000000"/>
          <w:szCs w:val="32"/>
        </w:rPr>
        <w:t>三、判定规则</w:t>
      </w:r>
    </w:p>
    <w:p>
      <w:pPr>
        <w:spacing w:line="590" w:lineRule="exact"/>
        <w:ind w:firstLine="640" w:firstLineChars="200"/>
        <w:rPr>
          <w:rFonts w:eastAsia="方正小标宋简体" w:cs="方正小标宋简体"/>
          <w:color w:val="000000"/>
          <w:sz w:val="44"/>
          <w:szCs w:val="44"/>
        </w:rPr>
      </w:pPr>
      <w:r>
        <w:rPr>
          <w:rFonts w:hint="eastAsia" w:eastAsia="楷体_GB2312" w:cs="楷体_GB2312"/>
          <w:color w:val="000000"/>
          <w:szCs w:val="32"/>
        </w:rPr>
        <w:t>（一）依据标准</w:t>
      </w:r>
    </w:p>
    <w:p>
      <w:pPr>
        <w:pStyle w:val="6"/>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GB  21027-2007《学生用品的安全通用要求》</w:t>
      </w:r>
    </w:p>
    <w:p>
      <w:pPr>
        <w:pStyle w:val="6"/>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GB  21027-2020《学生用品的安全通用要求》</w:t>
      </w:r>
    </w:p>
    <w:p>
      <w:pPr>
        <w:pStyle w:val="6"/>
        <w:widowControl/>
        <w:snapToGrid w:val="0"/>
        <w:spacing w:before="0" w:beforeAutospacing="0" w:after="0" w:afterAutospacing="0" w:line="600" w:lineRule="exact"/>
        <w:ind w:firstLine="640" w:firstLineChars="200"/>
        <w:rPr>
          <w:rFonts w:ascii="仿宋_GB2312" w:eastAsia="仿宋_GB2312"/>
          <w:sz w:val="32"/>
          <w:szCs w:val="32"/>
        </w:rPr>
      </w:pPr>
      <w:r>
        <w:rPr>
          <w:rFonts w:hint="eastAsia" w:ascii="仿宋_GB2312" w:eastAsia="仿宋_GB2312"/>
          <w:sz w:val="32"/>
          <w:szCs w:val="32"/>
        </w:rPr>
        <w:t>现行有效的企业标准、团体标准、地方标准及产品明示质量要求</w:t>
      </w:r>
    </w:p>
    <w:p>
      <w:pPr>
        <w:adjustRightInd w:val="0"/>
        <w:snapToGrid w:val="0"/>
        <w:spacing w:line="600" w:lineRule="exact"/>
        <w:ind w:firstLine="640" w:firstLineChars="200"/>
        <w:rPr>
          <w:rFonts w:eastAsia="楷体_GB2312" w:cs="楷体_GB2312"/>
          <w:color w:val="000000"/>
          <w:szCs w:val="32"/>
        </w:rPr>
      </w:pPr>
      <w:r>
        <w:rPr>
          <w:rFonts w:hint="eastAsia" w:eastAsia="楷体_GB2312" w:cs="楷体_GB2312"/>
          <w:color w:val="000000"/>
          <w:szCs w:val="32"/>
        </w:rPr>
        <w:t>（二）判定原则</w:t>
      </w:r>
    </w:p>
    <w:p>
      <w:pPr>
        <w:snapToGrid w:val="0"/>
        <w:spacing w:line="520" w:lineRule="exact"/>
        <w:ind w:firstLine="640" w:firstLineChars="200"/>
        <w:rPr>
          <w:rFonts w:ascii="仿宋_GB2312" w:hAnsi="仿宋_GB2312" w:cs="仿宋_GB2312"/>
          <w:szCs w:val="32"/>
        </w:rPr>
      </w:pPr>
      <w:r>
        <w:rPr>
          <w:rFonts w:hint="eastAsia" w:ascii="仿宋_GB2312" w:hAnsi="仿宋_GB2312" w:cs="仿宋_GB2312"/>
          <w:szCs w:val="32"/>
        </w:rPr>
        <w:t>经检验，检验项目全部合格，判定为抽取的样本所检项目未检出不合格；检验项目中任一项或一项以上不合格，判定为被抽查产品不合格。</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当被检样品明示的质量要求优于监督抽查实施细则中依据的标准要求时，应按被检样品明示的质量要求判定；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当被检样品明示的质量要求劣于或不包含监督抽查实施细则中依据的强制性标准要求时，应按照强制性标准要求判定；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当被检样品明示的质量要求不包含监督抽查实施细则中依据的推荐性标准要求时，该指标不参与判定，但应在检验报告中作出说明；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当被检样品未能提供有效的企业标准时，按相关国家或行业标准进行判定；</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pStyle w:val="15"/>
        <w:widowControl w:val="0"/>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按照产品质量相关法律法规的规定判定。</w:t>
      </w:r>
    </w:p>
    <w:p>
      <w:pPr>
        <w:pStyle w:val="15"/>
        <w:tabs>
          <w:tab w:val="clear" w:pos="4201"/>
          <w:tab w:val="clear" w:pos="9298"/>
        </w:tabs>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检验中发现因样品失效或者其他原因致使检验无法进行的，检验人员应如实记录，并提供相关证明材料，报送组织监督抽查的市场监管部门。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148" w:firstLine="0"/>
      </w:pPr>
      <w:rPr>
        <w:rFonts w:hint="default" w:ascii="Times New Roman" w:hAnsi="Times New Roman"/>
        <w:b/>
        <w:i w:val="0"/>
        <w:sz w:val="21"/>
      </w:rPr>
    </w:lvl>
    <w:lvl w:ilvl="1" w:tentative="0">
      <w:start w:val="1"/>
      <w:numFmt w:val="decimal"/>
      <w:suff w:val="nothing"/>
      <w:lvlText w:val="%1%2　"/>
      <w:lvlJc w:val="left"/>
      <w:pPr>
        <w:ind w:left="1708" w:firstLine="0"/>
      </w:pPr>
      <w:rPr>
        <w:rFonts w:hint="eastAsia" w:ascii="黑体" w:hAnsi="Times New Roman" w:eastAsia="黑体"/>
        <w:b w:val="0"/>
        <w:i w:val="0"/>
        <w:sz w:val="21"/>
      </w:rPr>
    </w:lvl>
    <w:lvl w:ilvl="2" w:tentative="0">
      <w:start w:val="1"/>
      <w:numFmt w:val="decimal"/>
      <w:pStyle w:val="16"/>
      <w:suff w:val="nothing"/>
      <w:lvlText w:val="%1%2.%3　"/>
      <w:lvlJc w:val="left"/>
      <w:pPr>
        <w:ind w:left="716" w:firstLine="0"/>
      </w:pPr>
      <w:rPr>
        <w:rFonts w:hint="eastAsia" w:ascii="黑体" w:hAnsi="Times New Roman" w:eastAsia="黑体" w:cs="Times New Roman"/>
        <w:b w:val="0"/>
      </w:rPr>
    </w:lvl>
    <w:lvl w:ilvl="3" w:tentative="0">
      <w:start w:val="1"/>
      <w:numFmt w:val="decimal"/>
      <w:isLgl/>
      <w:suff w:val="nothing"/>
      <w:lvlText w:val="%2%1.%3.%4　"/>
      <w:lvlJc w:val="left"/>
      <w:pPr>
        <w:ind w:left="2269" w:firstLine="0"/>
      </w:pPr>
      <w:rPr>
        <w:rFonts w:hint="eastAsia" w:ascii="黑体" w:hAnsi="Times New Roman" w:eastAsia="黑体"/>
        <w:b w:val="0"/>
        <w:i w:val="0"/>
        <w:sz w:val="21"/>
      </w:rPr>
    </w:lvl>
    <w:lvl w:ilvl="4" w:tentative="0">
      <w:start w:val="1"/>
      <w:numFmt w:val="decimal"/>
      <w:suff w:val="nothing"/>
      <w:lvlText w:val="%1%2.%3.%4.%5　"/>
      <w:lvlJc w:val="left"/>
      <w:pPr>
        <w:ind w:left="1141" w:firstLine="0"/>
      </w:pPr>
      <w:rPr>
        <w:rFonts w:hint="eastAsia" w:ascii="黑体" w:hAnsi="Times New Roman" w:eastAsia="黑体"/>
        <w:b w:val="0"/>
        <w:i w:val="0"/>
        <w:sz w:val="21"/>
      </w:rPr>
    </w:lvl>
    <w:lvl w:ilvl="5" w:tentative="0">
      <w:start w:val="1"/>
      <w:numFmt w:val="decimal"/>
      <w:suff w:val="nothing"/>
      <w:lvlText w:val="%1%2.%3.%4.%5.%6　"/>
      <w:lvlJc w:val="left"/>
      <w:pPr>
        <w:ind w:left="148" w:firstLine="0"/>
      </w:pPr>
      <w:rPr>
        <w:rFonts w:hint="eastAsia" w:ascii="黑体" w:hAnsi="Times New Roman" w:eastAsia="黑体"/>
        <w:b w:val="0"/>
        <w:i w:val="0"/>
        <w:sz w:val="21"/>
      </w:rPr>
    </w:lvl>
    <w:lvl w:ilvl="6" w:tentative="0">
      <w:start w:val="1"/>
      <w:numFmt w:val="decimal"/>
      <w:suff w:val="nothing"/>
      <w:lvlText w:val="%1%2.%3.%4.%5.%6.%7　"/>
      <w:lvlJc w:val="left"/>
      <w:pPr>
        <w:ind w:left="148" w:firstLine="0"/>
      </w:pPr>
      <w:rPr>
        <w:rFonts w:hint="eastAsia" w:ascii="黑体" w:hAnsi="Times New Roman" w:eastAsia="黑体"/>
        <w:b w:val="0"/>
        <w:i w:val="0"/>
        <w:sz w:val="21"/>
      </w:rPr>
    </w:lvl>
    <w:lvl w:ilvl="7" w:tentative="0">
      <w:start w:val="1"/>
      <w:numFmt w:val="decimal"/>
      <w:lvlText w:val="%1.%2.%3.%4.%5.%6.%7.%8"/>
      <w:lvlJc w:val="left"/>
      <w:pPr>
        <w:tabs>
          <w:tab w:val="left" w:pos="4499"/>
        </w:tabs>
        <w:ind w:left="4117" w:hanging="1418"/>
      </w:pPr>
      <w:rPr>
        <w:rFonts w:hint="eastAsia"/>
      </w:rPr>
    </w:lvl>
    <w:lvl w:ilvl="8" w:tentative="0">
      <w:start w:val="1"/>
      <w:numFmt w:val="decimal"/>
      <w:lvlText w:val="%1.%2.%3.%4.%5.%6.%7.%8.%9"/>
      <w:lvlJc w:val="left"/>
      <w:pPr>
        <w:tabs>
          <w:tab w:val="left" w:pos="4925"/>
        </w:tabs>
        <w:ind w:left="4825"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CE"/>
    <w:rsid w:val="0000577C"/>
    <w:rsid w:val="00012D99"/>
    <w:rsid w:val="00025460"/>
    <w:rsid w:val="00032E8F"/>
    <w:rsid w:val="00044860"/>
    <w:rsid w:val="00064400"/>
    <w:rsid w:val="00066872"/>
    <w:rsid w:val="00067E3B"/>
    <w:rsid w:val="00071293"/>
    <w:rsid w:val="00071DB1"/>
    <w:rsid w:val="00072261"/>
    <w:rsid w:val="000754C4"/>
    <w:rsid w:val="0008211E"/>
    <w:rsid w:val="000908DF"/>
    <w:rsid w:val="000B19EE"/>
    <w:rsid w:val="000B7A06"/>
    <w:rsid w:val="000D00DC"/>
    <w:rsid w:val="000D5D13"/>
    <w:rsid w:val="000E5072"/>
    <w:rsid w:val="000F1ADB"/>
    <w:rsid w:val="000F2148"/>
    <w:rsid w:val="00107527"/>
    <w:rsid w:val="00111F61"/>
    <w:rsid w:val="00135333"/>
    <w:rsid w:val="00147CA7"/>
    <w:rsid w:val="0016504F"/>
    <w:rsid w:val="00170E49"/>
    <w:rsid w:val="001724AF"/>
    <w:rsid w:val="001759C5"/>
    <w:rsid w:val="00180BC7"/>
    <w:rsid w:val="00185692"/>
    <w:rsid w:val="001936FE"/>
    <w:rsid w:val="001A4CB4"/>
    <w:rsid w:val="001A7686"/>
    <w:rsid w:val="001B4569"/>
    <w:rsid w:val="001C1E9D"/>
    <w:rsid w:val="001E1DB2"/>
    <w:rsid w:val="001E6192"/>
    <w:rsid w:val="001F1F39"/>
    <w:rsid w:val="00202EC3"/>
    <w:rsid w:val="00220EA1"/>
    <w:rsid w:val="00223B8B"/>
    <w:rsid w:val="00223B8C"/>
    <w:rsid w:val="00226EC2"/>
    <w:rsid w:val="00233310"/>
    <w:rsid w:val="00234560"/>
    <w:rsid w:val="00236393"/>
    <w:rsid w:val="00274C13"/>
    <w:rsid w:val="002810F0"/>
    <w:rsid w:val="00290763"/>
    <w:rsid w:val="00295C46"/>
    <w:rsid w:val="002B20CE"/>
    <w:rsid w:val="002B31C6"/>
    <w:rsid w:val="002C106D"/>
    <w:rsid w:val="002D2561"/>
    <w:rsid w:val="002E2AEA"/>
    <w:rsid w:val="002E4D42"/>
    <w:rsid w:val="002E78D6"/>
    <w:rsid w:val="002F300F"/>
    <w:rsid w:val="002F3C7A"/>
    <w:rsid w:val="002F4DC2"/>
    <w:rsid w:val="002F6589"/>
    <w:rsid w:val="00300EF2"/>
    <w:rsid w:val="0030124A"/>
    <w:rsid w:val="00312715"/>
    <w:rsid w:val="003163B8"/>
    <w:rsid w:val="003533AC"/>
    <w:rsid w:val="003545DB"/>
    <w:rsid w:val="003555B6"/>
    <w:rsid w:val="00356D3D"/>
    <w:rsid w:val="0036316E"/>
    <w:rsid w:val="00364BAE"/>
    <w:rsid w:val="00372B27"/>
    <w:rsid w:val="0037537B"/>
    <w:rsid w:val="003B0AA4"/>
    <w:rsid w:val="003B2A51"/>
    <w:rsid w:val="003C1D8D"/>
    <w:rsid w:val="003C683E"/>
    <w:rsid w:val="003C6C3A"/>
    <w:rsid w:val="003D3E2C"/>
    <w:rsid w:val="003D3E95"/>
    <w:rsid w:val="003D5839"/>
    <w:rsid w:val="003E379B"/>
    <w:rsid w:val="003E45E0"/>
    <w:rsid w:val="003F0BA8"/>
    <w:rsid w:val="003F26DE"/>
    <w:rsid w:val="003F56BC"/>
    <w:rsid w:val="0040094E"/>
    <w:rsid w:val="004052AF"/>
    <w:rsid w:val="00410634"/>
    <w:rsid w:val="00417709"/>
    <w:rsid w:val="00417A02"/>
    <w:rsid w:val="0042595A"/>
    <w:rsid w:val="00454730"/>
    <w:rsid w:val="004609A3"/>
    <w:rsid w:val="00470A2D"/>
    <w:rsid w:val="004814D7"/>
    <w:rsid w:val="00491A01"/>
    <w:rsid w:val="00497EC5"/>
    <w:rsid w:val="004A603E"/>
    <w:rsid w:val="004E6412"/>
    <w:rsid w:val="004E7582"/>
    <w:rsid w:val="004F1DF0"/>
    <w:rsid w:val="004F1F5C"/>
    <w:rsid w:val="004F232F"/>
    <w:rsid w:val="004F2E7B"/>
    <w:rsid w:val="004F63BE"/>
    <w:rsid w:val="004F7677"/>
    <w:rsid w:val="005111E4"/>
    <w:rsid w:val="00517342"/>
    <w:rsid w:val="005256C6"/>
    <w:rsid w:val="00525719"/>
    <w:rsid w:val="0053154B"/>
    <w:rsid w:val="00534035"/>
    <w:rsid w:val="00534172"/>
    <w:rsid w:val="0055647A"/>
    <w:rsid w:val="00562275"/>
    <w:rsid w:val="005643BC"/>
    <w:rsid w:val="00565191"/>
    <w:rsid w:val="005730A6"/>
    <w:rsid w:val="00592248"/>
    <w:rsid w:val="00593ED9"/>
    <w:rsid w:val="00594938"/>
    <w:rsid w:val="005A118B"/>
    <w:rsid w:val="005A234F"/>
    <w:rsid w:val="005B7A36"/>
    <w:rsid w:val="005C2145"/>
    <w:rsid w:val="005C3C66"/>
    <w:rsid w:val="005E76DB"/>
    <w:rsid w:val="005F125E"/>
    <w:rsid w:val="00635586"/>
    <w:rsid w:val="00693940"/>
    <w:rsid w:val="00697C63"/>
    <w:rsid w:val="006A2AEE"/>
    <w:rsid w:val="006A2E05"/>
    <w:rsid w:val="006A5695"/>
    <w:rsid w:val="006B2844"/>
    <w:rsid w:val="006B2E32"/>
    <w:rsid w:val="006B34D1"/>
    <w:rsid w:val="006D5048"/>
    <w:rsid w:val="006D715A"/>
    <w:rsid w:val="006E157B"/>
    <w:rsid w:val="00700F83"/>
    <w:rsid w:val="007060A7"/>
    <w:rsid w:val="007104CF"/>
    <w:rsid w:val="007216BA"/>
    <w:rsid w:val="00730510"/>
    <w:rsid w:val="00730E29"/>
    <w:rsid w:val="00734DEF"/>
    <w:rsid w:val="007426B7"/>
    <w:rsid w:val="00756D89"/>
    <w:rsid w:val="007572BC"/>
    <w:rsid w:val="00780132"/>
    <w:rsid w:val="0078122D"/>
    <w:rsid w:val="00794700"/>
    <w:rsid w:val="007953D3"/>
    <w:rsid w:val="007A329E"/>
    <w:rsid w:val="007B6EB6"/>
    <w:rsid w:val="007C2110"/>
    <w:rsid w:val="007E2CBA"/>
    <w:rsid w:val="007E752E"/>
    <w:rsid w:val="007F3853"/>
    <w:rsid w:val="008102AB"/>
    <w:rsid w:val="00813701"/>
    <w:rsid w:val="00825AA9"/>
    <w:rsid w:val="00847A4D"/>
    <w:rsid w:val="0085493C"/>
    <w:rsid w:val="00855800"/>
    <w:rsid w:val="00867EFD"/>
    <w:rsid w:val="00870846"/>
    <w:rsid w:val="00883572"/>
    <w:rsid w:val="008942EC"/>
    <w:rsid w:val="008F2DCC"/>
    <w:rsid w:val="008F3152"/>
    <w:rsid w:val="008F3D3D"/>
    <w:rsid w:val="008F6327"/>
    <w:rsid w:val="00916F06"/>
    <w:rsid w:val="00917CD0"/>
    <w:rsid w:val="00924627"/>
    <w:rsid w:val="009825FF"/>
    <w:rsid w:val="00983197"/>
    <w:rsid w:val="0098610C"/>
    <w:rsid w:val="009949E0"/>
    <w:rsid w:val="009A3678"/>
    <w:rsid w:val="009A69EB"/>
    <w:rsid w:val="009D7FB5"/>
    <w:rsid w:val="009D7FD6"/>
    <w:rsid w:val="009F69D5"/>
    <w:rsid w:val="00A07996"/>
    <w:rsid w:val="00A15704"/>
    <w:rsid w:val="00A217D8"/>
    <w:rsid w:val="00A2299E"/>
    <w:rsid w:val="00A2459F"/>
    <w:rsid w:val="00A32AFB"/>
    <w:rsid w:val="00A361C4"/>
    <w:rsid w:val="00A4341C"/>
    <w:rsid w:val="00A6231F"/>
    <w:rsid w:val="00A64FBC"/>
    <w:rsid w:val="00A704F2"/>
    <w:rsid w:val="00A7174E"/>
    <w:rsid w:val="00A72515"/>
    <w:rsid w:val="00A81BF9"/>
    <w:rsid w:val="00AA69E8"/>
    <w:rsid w:val="00AA7123"/>
    <w:rsid w:val="00AB0D60"/>
    <w:rsid w:val="00AB5362"/>
    <w:rsid w:val="00AC114A"/>
    <w:rsid w:val="00AC4941"/>
    <w:rsid w:val="00B25BCB"/>
    <w:rsid w:val="00B25FA1"/>
    <w:rsid w:val="00B2794D"/>
    <w:rsid w:val="00B405A8"/>
    <w:rsid w:val="00B41FB4"/>
    <w:rsid w:val="00B43622"/>
    <w:rsid w:val="00B50051"/>
    <w:rsid w:val="00B60609"/>
    <w:rsid w:val="00B723AA"/>
    <w:rsid w:val="00B9223A"/>
    <w:rsid w:val="00B92DD8"/>
    <w:rsid w:val="00BA725C"/>
    <w:rsid w:val="00BC0A2A"/>
    <w:rsid w:val="00BC3670"/>
    <w:rsid w:val="00BC5792"/>
    <w:rsid w:val="00BD6A6F"/>
    <w:rsid w:val="00BF63FC"/>
    <w:rsid w:val="00BF6453"/>
    <w:rsid w:val="00C073C2"/>
    <w:rsid w:val="00C14D16"/>
    <w:rsid w:val="00C258EA"/>
    <w:rsid w:val="00C35F5E"/>
    <w:rsid w:val="00C36403"/>
    <w:rsid w:val="00C374EE"/>
    <w:rsid w:val="00C4347F"/>
    <w:rsid w:val="00C5211F"/>
    <w:rsid w:val="00C57767"/>
    <w:rsid w:val="00C74936"/>
    <w:rsid w:val="00C860D0"/>
    <w:rsid w:val="00C97764"/>
    <w:rsid w:val="00CB3A5E"/>
    <w:rsid w:val="00CB51B5"/>
    <w:rsid w:val="00CC3224"/>
    <w:rsid w:val="00CD2224"/>
    <w:rsid w:val="00CE1F58"/>
    <w:rsid w:val="00CE4C2C"/>
    <w:rsid w:val="00CE73BD"/>
    <w:rsid w:val="00CF2C14"/>
    <w:rsid w:val="00CF405D"/>
    <w:rsid w:val="00D0079A"/>
    <w:rsid w:val="00D01527"/>
    <w:rsid w:val="00D10CF6"/>
    <w:rsid w:val="00D10D3F"/>
    <w:rsid w:val="00D130CE"/>
    <w:rsid w:val="00D134A7"/>
    <w:rsid w:val="00D147F9"/>
    <w:rsid w:val="00D152A9"/>
    <w:rsid w:val="00D50977"/>
    <w:rsid w:val="00D6005C"/>
    <w:rsid w:val="00D6569D"/>
    <w:rsid w:val="00D6737E"/>
    <w:rsid w:val="00D713F1"/>
    <w:rsid w:val="00D7261D"/>
    <w:rsid w:val="00D733D2"/>
    <w:rsid w:val="00D76B1B"/>
    <w:rsid w:val="00D76D15"/>
    <w:rsid w:val="00D85E93"/>
    <w:rsid w:val="00D9515C"/>
    <w:rsid w:val="00DA2A4C"/>
    <w:rsid w:val="00DA34B9"/>
    <w:rsid w:val="00DB1379"/>
    <w:rsid w:val="00DC0946"/>
    <w:rsid w:val="00DC2A79"/>
    <w:rsid w:val="00DC630D"/>
    <w:rsid w:val="00DE688B"/>
    <w:rsid w:val="00DF15C4"/>
    <w:rsid w:val="00DF62F3"/>
    <w:rsid w:val="00DF7C6E"/>
    <w:rsid w:val="00E01515"/>
    <w:rsid w:val="00E15D38"/>
    <w:rsid w:val="00E4129A"/>
    <w:rsid w:val="00E45518"/>
    <w:rsid w:val="00E45B63"/>
    <w:rsid w:val="00E565B2"/>
    <w:rsid w:val="00E6771F"/>
    <w:rsid w:val="00E70CBF"/>
    <w:rsid w:val="00E70EF7"/>
    <w:rsid w:val="00E75873"/>
    <w:rsid w:val="00E864C0"/>
    <w:rsid w:val="00E97E7C"/>
    <w:rsid w:val="00EA7241"/>
    <w:rsid w:val="00EC19D6"/>
    <w:rsid w:val="00ED28F0"/>
    <w:rsid w:val="00EE73A5"/>
    <w:rsid w:val="00EF19CF"/>
    <w:rsid w:val="00F03617"/>
    <w:rsid w:val="00F32B6D"/>
    <w:rsid w:val="00F374AC"/>
    <w:rsid w:val="00F43F45"/>
    <w:rsid w:val="00F47264"/>
    <w:rsid w:val="00F5276B"/>
    <w:rsid w:val="00F54195"/>
    <w:rsid w:val="00F634B8"/>
    <w:rsid w:val="00F7286E"/>
    <w:rsid w:val="00F81614"/>
    <w:rsid w:val="00F85D96"/>
    <w:rsid w:val="00F9270A"/>
    <w:rsid w:val="00FA2E75"/>
    <w:rsid w:val="00FB311C"/>
    <w:rsid w:val="00FB58BB"/>
    <w:rsid w:val="00FC447A"/>
    <w:rsid w:val="00FD2074"/>
    <w:rsid w:val="00FE3C54"/>
    <w:rsid w:val="00FE5C3B"/>
    <w:rsid w:val="00FF01D1"/>
    <w:rsid w:val="0E9606F4"/>
    <w:rsid w:val="0F2C2D20"/>
    <w:rsid w:val="1CD97ECA"/>
    <w:rsid w:val="235D16ED"/>
    <w:rsid w:val="4FE61C40"/>
    <w:rsid w:val="58755F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unhideWhenUsed/>
    <w:uiPriority w:val="99"/>
    <w:pPr>
      <w:jc w:val="left"/>
    </w:pPr>
  </w:style>
  <w:style w:type="paragraph" w:styleId="3">
    <w:name w:val="Balloon Text"/>
    <w:basedOn w:val="1"/>
    <w:link w:val="21"/>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kern w:val="0"/>
      <w:sz w:val="24"/>
    </w:rPr>
  </w:style>
  <w:style w:type="paragraph" w:styleId="7">
    <w:name w:val="annotation subject"/>
    <w:basedOn w:val="2"/>
    <w:next w:val="2"/>
    <w:link w:val="23"/>
    <w:unhideWhenUsed/>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unhideWhenUsed/>
    <w:qFormat/>
    <w:uiPriority w:val="99"/>
    <w:rPr>
      <w:color w:val="0000FF"/>
      <w:u w:val="single"/>
    </w:rPr>
  </w:style>
  <w:style w:type="character" w:styleId="13">
    <w:name w:val="annotation reference"/>
    <w:basedOn w:val="10"/>
    <w:unhideWhenUsed/>
    <w:qFormat/>
    <w:uiPriority w:val="99"/>
    <w:rPr>
      <w:sz w:val="21"/>
      <w:szCs w:val="21"/>
    </w:rPr>
  </w:style>
  <w:style w:type="character" w:customStyle="1" w:styleId="14">
    <w:name w:val="页脚 字符"/>
    <w:basedOn w:val="10"/>
    <w:link w:val="4"/>
    <w:qFormat/>
    <w:uiPriority w:val="0"/>
    <w:rPr>
      <w:rFonts w:ascii="Times New Roman" w:hAnsi="Times New Roman" w:eastAsia="仿宋_GB2312" w:cs="Times New Roman"/>
      <w:sz w:val="18"/>
      <w:szCs w:val="24"/>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6">
    <w:name w:val="一级条标题"/>
    <w:next w:val="15"/>
    <w:qFormat/>
    <w:uiPriority w:val="0"/>
    <w:pPr>
      <w:numPr>
        <w:ilvl w:val="2"/>
        <w:numId w:val="1"/>
      </w:numPr>
      <w:spacing w:beforeLines="50" w:afterLines="50"/>
      <w:outlineLvl w:val="2"/>
    </w:pPr>
    <w:rPr>
      <w:rFonts w:ascii="黑体" w:hAnsi="Calibri" w:eastAsia="黑体" w:cs="Times New Roman"/>
      <w:sz w:val="21"/>
      <w:szCs w:val="21"/>
      <w:lang w:val="en-US" w:eastAsia="zh-CN" w:bidi="ar-SA"/>
    </w:rPr>
  </w:style>
  <w:style w:type="paragraph" w:customStyle="1" w:styleId="17">
    <w:name w:val="二级条标题"/>
    <w:basedOn w:val="16"/>
    <w:next w:val="15"/>
    <w:qFormat/>
    <w:uiPriority w:val="0"/>
    <w:pPr>
      <w:spacing w:before="50" w:after="50"/>
      <w:outlineLvl w:val="3"/>
    </w:pPr>
  </w:style>
  <w:style w:type="paragraph" w:customStyle="1" w:styleId="18">
    <w:name w:val="列出段落2"/>
    <w:basedOn w:val="1"/>
    <w:unhideWhenUsed/>
    <w:qFormat/>
    <w:uiPriority w:val="99"/>
    <w:pPr>
      <w:ind w:firstLine="420" w:firstLineChars="200"/>
    </w:pPr>
    <w:rPr>
      <w:sz w:val="30"/>
    </w:rPr>
  </w:style>
  <w:style w:type="paragraph" w:customStyle="1" w:styleId="19">
    <w:name w:val="Table Paragraph"/>
    <w:basedOn w:val="1"/>
    <w:qFormat/>
    <w:uiPriority w:val="99"/>
    <w:pPr>
      <w:jc w:val="left"/>
    </w:pPr>
    <w:rPr>
      <w:rFonts w:ascii="Calibri" w:hAnsi="Calibri"/>
      <w:kern w:val="0"/>
      <w:sz w:val="22"/>
      <w:szCs w:val="22"/>
      <w:lang w:eastAsia="en-US"/>
    </w:rPr>
  </w:style>
  <w:style w:type="character" w:customStyle="1" w:styleId="20">
    <w:name w:val="页眉 字符"/>
    <w:basedOn w:val="10"/>
    <w:link w:val="5"/>
    <w:qFormat/>
    <w:uiPriority w:val="0"/>
    <w:rPr>
      <w:rFonts w:ascii="Times New Roman" w:hAnsi="Times New Roman" w:eastAsia="仿宋_GB2312" w:cs="Times New Roman"/>
      <w:sz w:val="18"/>
      <w:szCs w:val="18"/>
    </w:rPr>
  </w:style>
  <w:style w:type="character" w:customStyle="1" w:styleId="21">
    <w:name w:val="批注框文本 字符"/>
    <w:basedOn w:val="10"/>
    <w:link w:val="3"/>
    <w:qFormat/>
    <w:uiPriority w:val="0"/>
    <w:rPr>
      <w:rFonts w:ascii="Times New Roman" w:hAnsi="Times New Roman" w:eastAsia="仿宋_GB2312" w:cs="Times New Roman"/>
      <w:sz w:val="18"/>
      <w:szCs w:val="18"/>
    </w:rPr>
  </w:style>
  <w:style w:type="character" w:customStyle="1" w:styleId="22">
    <w:name w:val="批注文字 字符"/>
    <w:basedOn w:val="10"/>
    <w:link w:val="2"/>
    <w:semiHidden/>
    <w:qFormat/>
    <w:uiPriority w:val="99"/>
    <w:rPr>
      <w:rFonts w:ascii="Times New Roman" w:hAnsi="Times New Roman" w:eastAsia="仿宋_GB2312" w:cs="Times New Roman"/>
      <w:sz w:val="32"/>
      <w:szCs w:val="24"/>
    </w:rPr>
  </w:style>
  <w:style w:type="character" w:customStyle="1" w:styleId="23">
    <w:name w:val="批注主题 字符"/>
    <w:basedOn w:val="22"/>
    <w:link w:val="7"/>
    <w:semiHidden/>
    <w:qFormat/>
    <w:uiPriority w:val="99"/>
    <w:rPr>
      <w:rFonts w:ascii="Times New Roman" w:hAnsi="Times New Roman" w:eastAsia="仿宋_GB2312" w:cs="Times New Roman"/>
      <w:b/>
      <w:bCs/>
      <w:sz w:val="32"/>
      <w:szCs w:val="24"/>
    </w:rPr>
  </w:style>
  <w:style w:type="paragraph" w:customStyle="1" w:styleId="24">
    <w:name w:val="正文 New New New New New New New New New New New New New New New"/>
    <w:qFormat/>
    <w:uiPriority w:val="0"/>
    <w:pPr>
      <w:widowControl w:val="0"/>
      <w:jc w:val="both"/>
    </w:pPr>
    <w:rPr>
      <w:rFonts w:ascii="等线" w:hAnsi="等线" w:eastAsia="等线" w:cs="黑体"/>
      <w:kern w:val="2"/>
      <w:sz w:val="21"/>
      <w:szCs w:val="22"/>
      <w:lang w:val="en-US" w:eastAsia="zh-CN" w:bidi="ar-SA"/>
    </w:rPr>
  </w:style>
  <w:style w:type="character" w:customStyle="1" w:styleId="25">
    <w:name w:val="页码1"/>
    <w:basedOn w:val="10"/>
    <w:qFormat/>
    <w:uiPriority w:val="0"/>
  </w:style>
  <w:style w:type="paragraph" w:customStyle="1" w:styleId="26">
    <w:name w:val="正文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7">
    <w:name w:val="正文 New New New New New New New New New New New New New New New New New New New New New New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8">
    <w:name w:val="正文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00BDFC-4F2B-48D0-9B55-029AB82BB28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395</Words>
  <Characters>2255</Characters>
  <Lines>18</Lines>
  <Paragraphs>5</Paragraphs>
  <TotalTime>166</TotalTime>
  <ScaleCrop>false</ScaleCrop>
  <LinksUpToDate>false</LinksUpToDate>
  <CharactersWithSpaces>2645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2022-09-28T06:45:00Z</dcterms:created>
  <dc:creator>yws1</dc:creator>
  <cp:lastModifiedBy>刘燕</cp:lastModifiedBy>
  <cp:lastPrinted>2021-06-05T13:46:00Z</cp:lastPrinted>
  <dcterms:modified xsi:type="dcterms:W3CDTF">2022-10-08T08:20:49Z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