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w w:val="99"/>
          <w:position w:val="1"/>
          <w:sz w:val="44"/>
          <w:szCs w:val="44"/>
        </w:rPr>
      </w:pPr>
      <w:r>
        <w:rPr>
          <w:rFonts w:hint="eastAsia" w:eastAsia="方正小标宋简体" w:cs="方正小标宋简体"/>
          <w:w w:val="99"/>
          <w:position w:val="1"/>
          <w:sz w:val="44"/>
          <w:szCs w:val="44"/>
        </w:rPr>
        <w:t>佛冈县</w:t>
      </w:r>
      <w:r>
        <w:rPr>
          <w:rFonts w:hint="eastAsia" w:eastAsia="方正小标宋简体" w:cs="方正小标宋简体"/>
          <w:w w:val="99"/>
          <w:position w:val="1"/>
          <w:sz w:val="44"/>
          <w:szCs w:val="44"/>
          <w:lang w:val="en-US" w:eastAsia="zh-CN"/>
        </w:rPr>
        <w:t>2022年</w:t>
      </w:r>
      <w:r>
        <w:rPr>
          <w:rFonts w:hint="eastAsia" w:eastAsia="方正小标宋简体" w:cs="方正小标宋简体"/>
          <w:w w:val="99"/>
          <w:position w:val="1"/>
          <w:sz w:val="44"/>
          <w:szCs w:val="44"/>
        </w:rPr>
        <w:t>儿童用品质量监督</w:t>
      </w:r>
      <w:r>
        <w:rPr>
          <w:rFonts w:hint="eastAsia" w:eastAsia="方正小标宋简体" w:cs="方正小标宋简体"/>
          <w:bCs/>
          <w:color w:val="000000"/>
          <w:sz w:val="44"/>
          <w:szCs w:val="44"/>
        </w:rPr>
        <w:t>抽查实施细则</w:t>
      </w:r>
    </w:p>
    <w:p>
      <w:pPr>
        <w:spacing w:line="590" w:lineRule="exact"/>
        <w:ind w:firstLine="880" w:firstLineChars="200"/>
        <w:rPr>
          <w:rFonts w:eastAsia="方正小标宋简体" w:cs="方正小标宋简体"/>
          <w:color w:val="000000"/>
          <w:sz w:val="44"/>
          <w:szCs w:val="44"/>
        </w:rPr>
      </w:pPr>
    </w:p>
    <w:p>
      <w:pPr>
        <w:spacing w:line="590" w:lineRule="exact"/>
        <w:ind w:firstLine="640" w:firstLineChars="200"/>
        <w:rPr>
          <w:rFonts w:ascii="黑体" w:hAnsi="黑体" w:eastAsia="黑体" w:cs="黑体"/>
          <w:szCs w:val="32"/>
        </w:rPr>
      </w:pPr>
      <w:r>
        <w:rPr>
          <w:rFonts w:hint="eastAsia" w:ascii="黑体" w:hAnsi="黑体" w:eastAsia="黑体" w:cs="黑体"/>
          <w:szCs w:val="32"/>
        </w:rPr>
        <w:t>一、抽样方法</w:t>
      </w:r>
    </w:p>
    <w:p>
      <w:pPr>
        <w:widowControl/>
        <w:spacing w:line="600" w:lineRule="exact"/>
        <w:ind w:firstLine="640" w:firstLineChars="200"/>
        <w:rPr>
          <w:kern w:val="0"/>
          <w:szCs w:val="32"/>
        </w:rPr>
      </w:pPr>
      <w:r>
        <w:rPr>
          <w:kern w:val="0"/>
          <w:szCs w:val="32"/>
        </w:rPr>
        <w:t>以随机抽样的方式在</w:t>
      </w:r>
      <w:r>
        <w:rPr>
          <w:rFonts w:hint="eastAsia"/>
          <w:kern w:val="0"/>
          <w:szCs w:val="32"/>
        </w:rPr>
        <w:t>被抽样经营者的待销产品中抽取。</w:t>
      </w:r>
    </w:p>
    <w:p>
      <w:pPr>
        <w:widowControl/>
        <w:spacing w:line="600" w:lineRule="exact"/>
        <w:ind w:firstLine="640" w:firstLineChars="200"/>
        <w:rPr>
          <w:kern w:val="0"/>
          <w:szCs w:val="32"/>
        </w:rPr>
      </w:pPr>
      <w:r>
        <w:rPr>
          <w:rFonts w:hint="eastAsia"/>
          <w:kern w:val="0"/>
          <w:szCs w:val="32"/>
        </w:rPr>
        <w:t>随机数一般可使用随机</w:t>
      </w:r>
      <w:bookmarkStart w:id="0" w:name="_GoBack"/>
      <w:bookmarkEnd w:id="0"/>
      <w:r>
        <w:rPr>
          <w:rFonts w:hint="eastAsia"/>
          <w:kern w:val="0"/>
          <w:szCs w:val="32"/>
        </w:rPr>
        <w:t>数表等方法产生。</w:t>
      </w:r>
    </w:p>
    <w:p>
      <w:pPr>
        <w:widowControl/>
        <w:spacing w:line="600" w:lineRule="exact"/>
        <w:ind w:firstLine="640" w:firstLineChars="200"/>
        <w:rPr>
          <w:kern w:val="0"/>
          <w:szCs w:val="32"/>
        </w:rPr>
      </w:pPr>
      <w:r>
        <w:rPr>
          <w:rFonts w:hint="eastAsia"/>
          <w:kern w:val="0"/>
          <w:szCs w:val="32"/>
        </w:rPr>
        <w:t>抽查数量：每款产品抽取2组样本，第1组用于检验，第2组用于备样。具体抽样数量如下：</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1772"/>
        <w:gridCol w:w="177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4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551"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产品名称</w:t>
            </w:r>
          </w:p>
        </w:tc>
        <w:tc>
          <w:tcPr>
            <w:tcW w:w="1772"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第1组数量</w:t>
            </w:r>
          </w:p>
        </w:tc>
        <w:tc>
          <w:tcPr>
            <w:tcW w:w="1772"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第2组数量</w:t>
            </w:r>
          </w:p>
        </w:tc>
        <w:tc>
          <w:tcPr>
            <w:tcW w:w="1701"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55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玩具</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2个</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1个</w:t>
            </w:r>
          </w:p>
        </w:tc>
        <w:tc>
          <w:tcPr>
            <w:tcW w:w="1701" w:type="dxa"/>
            <w:vAlign w:val="center"/>
          </w:tcPr>
          <w:p>
            <w:pPr>
              <w:adjustRightInd w:val="0"/>
              <w:snapToGrid w:val="0"/>
              <w:spacing w:line="400" w:lineRule="exact"/>
              <w:jc w:val="center"/>
              <w:rPr>
                <w:rFonts w:ascii="仿宋_GB2312" w:hAnsi="仿宋_GB2312" w:cs="仿宋_GB2312"/>
                <w:bCs/>
                <w:sz w:val="24"/>
              </w:rPr>
            </w:pPr>
          </w:p>
        </w:tc>
      </w:tr>
    </w:tbl>
    <w:p>
      <w:pPr>
        <w:widowControl/>
        <w:ind w:firstLine="640" w:firstLineChars="200"/>
        <w:jc w:val="left"/>
        <w:rPr>
          <w:rFonts w:eastAsia="黑体" w:cs="黑体"/>
          <w:color w:val="000000"/>
          <w:szCs w:val="32"/>
        </w:rPr>
      </w:pPr>
      <w:r>
        <w:rPr>
          <w:rFonts w:hint="eastAsia" w:eastAsia="黑体" w:cs="黑体"/>
          <w:color w:val="000000"/>
          <w:szCs w:val="32"/>
        </w:rPr>
        <w:t>二、主要检验项目及检验项目属性划分</w:t>
      </w:r>
    </w:p>
    <w:p>
      <w:pPr>
        <w:adjustRightInd w:val="0"/>
        <w:snapToGrid w:val="0"/>
        <w:spacing w:line="560" w:lineRule="exact"/>
        <w:ind w:firstLine="640"/>
        <w:rPr>
          <w:kern w:val="0"/>
          <w:szCs w:val="32"/>
        </w:rPr>
      </w:pPr>
      <w:r>
        <w:rPr>
          <w:rFonts w:hint="eastAsia"/>
          <w:kern w:val="0"/>
          <w:szCs w:val="32"/>
        </w:rPr>
        <w:t>（</w:t>
      </w:r>
      <w:r>
        <w:rPr>
          <w:kern w:val="0"/>
          <w:szCs w:val="32"/>
        </w:rPr>
        <w:t>1</w:t>
      </w:r>
      <w:r>
        <w:rPr>
          <w:rFonts w:hint="eastAsia"/>
          <w:kern w:val="0"/>
          <w:szCs w:val="32"/>
        </w:rPr>
        <w:t>）玩具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69"/>
        <w:gridCol w:w="2064"/>
        <w:gridCol w:w="771"/>
        <w:gridCol w:w="705"/>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6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机械与物理性能</w:t>
            </w:r>
          </w:p>
        </w:tc>
        <w:tc>
          <w:tcPr>
            <w:tcW w:w="20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GB 6675.2-2014 </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6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易燃性能</w:t>
            </w:r>
          </w:p>
        </w:tc>
        <w:tc>
          <w:tcPr>
            <w:tcW w:w="20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6675.3-2014</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6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特定元素迁移</w:t>
            </w:r>
          </w:p>
        </w:tc>
        <w:tc>
          <w:tcPr>
            <w:tcW w:w="20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GB 6675.4-2014 </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6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增塑剂</w:t>
            </w:r>
          </w:p>
        </w:tc>
        <w:tc>
          <w:tcPr>
            <w:tcW w:w="20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 22048-2015</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spacing w:line="590" w:lineRule="exact"/>
        <w:ind w:firstLine="640" w:firstLineChars="200"/>
        <w:rPr>
          <w:rFonts w:eastAsia="方正小标宋简体" w:cs="方正小标宋简体"/>
          <w:color w:val="000000"/>
          <w:sz w:val="44"/>
          <w:szCs w:val="44"/>
        </w:rPr>
      </w:pPr>
      <w:r>
        <w:rPr>
          <w:rFonts w:hint="eastAsia" w:eastAsia="楷体_GB2312" w:cs="楷体_GB2312"/>
          <w:color w:val="000000"/>
          <w:szCs w:val="32"/>
        </w:rPr>
        <w:t>（一）依据标准</w:t>
      </w:r>
    </w:p>
    <w:p>
      <w:pPr>
        <w:pStyle w:val="6"/>
        <w:widowControl/>
        <w:snapToGrid w:val="0"/>
        <w:spacing w:before="0" w:beforeAutospacing="0" w:after="0" w:afterAutospacing="0" w:line="520" w:lineRule="exact"/>
        <w:ind w:firstLine="640" w:firstLineChars="200"/>
        <w:rPr>
          <w:rFonts w:ascii="仿宋_GB2312" w:eastAsia="仿宋_GB2312"/>
          <w:sz w:val="32"/>
          <w:szCs w:val="32"/>
        </w:rPr>
      </w:pPr>
      <w:r>
        <w:rPr>
          <w:rFonts w:hint="eastAsia" w:ascii="仿宋_GB2312" w:eastAsia="仿宋_GB2312"/>
          <w:sz w:val="32"/>
          <w:szCs w:val="32"/>
        </w:rPr>
        <w:t>GB 6675.1-2014 《玩具安全 第1部分:基本规范》</w:t>
      </w:r>
    </w:p>
    <w:p>
      <w:pPr>
        <w:pStyle w:val="6"/>
        <w:widowControl/>
        <w:snapToGrid w:val="0"/>
        <w:spacing w:before="0" w:beforeAutospacing="0" w:after="0" w:afterAutospacing="0" w:line="520" w:lineRule="exact"/>
        <w:ind w:firstLine="640" w:firstLineChars="200"/>
        <w:rPr>
          <w:rFonts w:ascii="仿宋_GB2312" w:eastAsia="仿宋_GB2312"/>
          <w:sz w:val="32"/>
          <w:szCs w:val="32"/>
        </w:rPr>
      </w:pPr>
      <w:r>
        <w:rPr>
          <w:rFonts w:hint="eastAsia" w:ascii="仿宋_GB2312" w:eastAsia="仿宋_GB2312"/>
          <w:sz w:val="32"/>
          <w:szCs w:val="32"/>
        </w:rPr>
        <w:t>GB 6675.2-2014 《玩具安全 第2部分:机械与物理性能》</w:t>
      </w:r>
    </w:p>
    <w:p>
      <w:pPr>
        <w:pStyle w:val="6"/>
        <w:widowControl/>
        <w:snapToGrid w:val="0"/>
        <w:spacing w:before="0" w:beforeAutospacing="0" w:after="0" w:afterAutospacing="0" w:line="520" w:lineRule="exact"/>
        <w:ind w:firstLine="640" w:firstLineChars="200"/>
        <w:rPr>
          <w:rFonts w:ascii="仿宋_GB2312" w:eastAsia="仿宋_GB2312"/>
          <w:sz w:val="32"/>
          <w:szCs w:val="32"/>
        </w:rPr>
      </w:pPr>
      <w:r>
        <w:rPr>
          <w:rFonts w:hint="eastAsia" w:ascii="仿宋_GB2312" w:eastAsia="仿宋_GB2312"/>
          <w:sz w:val="32"/>
          <w:szCs w:val="32"/>
        </w:rPr>
        <w:t>GB 6675.3-2014 《玩具安全 第3部分:易燃性能》</w:t>
      </w:r>
    </w:p>
    <w:p>
      <w:pPr>
        <w:pStyle w:val="6"/>
        <w:widowControl/>
        <w:snapToGrid w:val="0"/>
        <w:spacing w:before="0" w:beforeAutospacing="0" w:after="0" w:afterAutospacing="0" w:line="520" w:lineRule="exact"/>
        <w:ind w:firstLine="640" w:firstLineChars="200"/>
        <w:rPr>
          <w:rFonts w:ascii="仿宋_GB2312" w:eastAsia="仿宋_GB2312"/>
          <w:sz w:val="32"/>
          <w:szCs w:val="32"/>
        </w:rPr>
      </w:pPr>
      <w:r>
        <w:rPr>
          <w:rFonts w:hint="eastAsia" w:ascii="仿宋_GB2312" w:eastAsia="仿宋_GB2312"/>
          <w:sz w:val="32"/>
          <w:szCs w:val="32"/>
        </w:rPr>
        <w:t>GB 6675.4-2014 《玩具安全 第4部分:特定元素的迁移》</w:t>
      </w:r>
    </w:p>
    <w:p>
      <w:pPr>
        <w:pStyle w:val="6"/>
        <w:widowControl/>
        <w:snapToGrid w:val="0"/>
        <w:spacing w:before="0" w:beforeAutospacing="0" w:after="0" w:afterAutospacing="0" w:line="520" w:lineRule="exact"/>
        <w:ind w:firstLine="640" w:firstLineChars="200"/>
        <w:rPr>
          <w:rFonts w:ascii="仿宋_GB2312" w:eastAsia="仿宋_GB2312"/>
          <w:sz w:val="32"/>
          <w:szCs w:val="32"/>
        </w:rPr>
      </w:pPr>
      <w:r>
        <w:rPr>
          <w:rFonts w:hint="eastAsia" w:ascii="仿宋_GB2312" w:eastAsia="仿宋_GB2312"/>
          <w:sz w:val="32"/>
          <w:szCs w:val="32"/>
        </w:rPr>
        <w:t>GB/T 22048-2015《玩具及儿童用品中特定邻苯二甲酸酯增塑剂的测定》</w:t>
      </w:r>
    </w:p>
    <w:p>
      <w:pPr>
        <w:pStyle w:val="6"/>
        <w:widowControl/>
        <w:snapToGrid w:val="0"/>
        <w:spacing w:before="0" w:beforeAutospacing="0" w:after="0" w:afterAutospacing="0" w:line="520" w:lineRule="exact"/>
        <w:ind w:firstLine="640" w:firstLineChars="200"/>
        <w:rPr>
          <w:rFonts w:ascii="仿宋_GB2312" w:eastAsia="仿宋_GB2312"/>
          <w:sz w:val="32"/>
          <w:szCs w:val="32"/>
        </w:rPr>
      </w:pPr>
      <w:r>
        <w:rPr>
          <w:rFonts w:hint="eastAsia" w:ascii="仿宋_GB2312" w:eastAsia="仿宋_GB2312"/>
          <w:sz w:val="32"/>
          <w:szCs w:val="32"/>
        </w:rPr>
        <w:t>GB/T 28022-2011《玩具适用年龄判定指南》</w:t>
      </w:r>
    </w:p>
    <w:p>
      <w:pPr>
        <w:pStyle w:val="6"/>
        <w:widowControl/>
        <w:snapToGrid w:val="0"/>
        <w:spacing w:before="0" w:beforeAutospacing="0" w:after="0" w:afterAutospacing="0" w:line="52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经检验，检验项目全部合格，判定为抽取的样本所检项目未检出不合格；检验项目中任一项或一项以上不合格，判定为被抽查产品不合格。</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6"/>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E"/>
    <w:rsid w:val="0000577C"/>
    <w:rsid w:val="00012D99"/>
    <w:rsid w:val="00025460"/>
    <w:rsid w:val="00032E8F"/>
    <w:rsid w:val="00044860"/>
    <w:rsid w:val="00064400"/>
    <w:rsid w:val="00066872"/>
    <w:rsid w:val="00067E3B"/>
    <w:rsid w:val="00071293"/>
    <w:rsid w:val="00071DB1"/>
    <w:rsid w:val="00072261"/>
    <w:rsid w:val="000754C4"/>
    <w:rsid w:val="0008211E"/>
    <w:rsid w:val="000862D0"/>
    <w:rsid w:val="000908DF"/>
    <w:rsid w:val="000B19EE"/>
    <w:rsid w:val="000B7A06"/>
    <w:rsid w:val="000D00DC"/>
    <w:rsid w:val="000D5D13"/>
    <w:rsid w:val="000E5072"/>
    <w:rsid w:val="000F1ADB"/>
    <w:rsid w:val="000F2148"/>
    <w:rsid w:val="00107527"/>
    <w:rsid w:val="00111F61"/>
    <w:rsid w:val="00135333"/>
    <w:rsid w:val="00147CA7"/>
    <w:rsid w:val="0016504F"/>
    <w:rsid w:val="00170E49"/>
    <w:rsid w:val="001724AF"/>
    <w:rsid w:val="001759C5"/>
    <w:rsid w:val="00180BC7"/>
    <w:rsid w:val="00185692"/>
    <w:rsid w:val="001936FE"/>
    <w:rsid w:val="001A4CB4"/>
    <w:rsid w:val="001A7686"/>
    <w:rsid w:val="001B4569"/>
    <w:rsid w:val="001C1E9D"/>
    <w:rsid w:val="001E1DB2"/>
    <w:rsid w:val="001E6192"/>
    <w:rsid w:val="001F1F39"/>
    <w:rsid w:val="00202EC3"/>
    <w:rsid w:val="00220EA1"/>
    <w:rsid w:val="00223B8B"/>
    <w:rsid w:val="00223B8C"/>
    <w:rsid w:val="00226EC2"/>
    <w:rsid w:val="00233310"/>
    <w:rsid w:val="00234560"/>
    <w:rsid w:val="00236393"/>
    <w:rsid w:val="00274C13"/>
    <w:rsid w:val="00290763"/>
    <w:rsid w:val="00295C46"/>
    <w:rsid w:val="002B20CE"/>
    <w:rsid w:val="002B31C6"/>
    <w:rsid w:val="002C106D"/>
    <w:rsid w:val="002D2561"/>
    <w:rsid w:val="002E2AEA"/>
    <w:rsid w:val="002E4D42"/>
    <w:rsid w:val="002E78D6"/>
    <w:rsid w:val="002F300F"/>
    <w:rsid w:val="002F3C7A"/>
    <w:rsid w:val="002F4DC2"/>
    <w:rsid w:val="002F6589"/>
    <w:rsid w:val="00300EF2"/>
    <w:rsid w:val="0030124A"/>
    <w:rsid w:val="00312715"/>
    <w:rsid w:val="003163B8"/>
    <w:rsid w:val="003533AC"/>
    <w:rsid w:val="003545DB"/>
    <w:rsid w:val="003555B6"/>
    <w:rsid w:val="00356D3D"/>
    <w:rsid w:val="0036316E"/>
    <w:rsid w:val="00364BAE"/>
    <w:rsid w:val="00372B27"/>
    <w:rsid w:val="0037537B"/>
    <w:rsid w:val="003B0AA4"/>
    <w:rsid w:val="003B2A51"/>
    <w:rsid w:val="003C1D8D"/>
    <w:rsid w:val="003C683E"/>
    <w:rsid w:val="003C6C3A"/>
    <w:rsid w:val="003D3E2C"/>
    <w:rsid w:val="003D3E95"/>
    <w:rsid w:val="003D5839"/>
    <w:rsid w:val="003E379B"/>
    <w:rsid w:val="003E45E0"/>
    <w:rsid w:val="003F0BA8"/>
    <w:rsid w:val="003F26DE"/>
    <w:rsid w:val="003F56BC"/>
    <w:rsid w:val="0040094E"/>
    <w:rsid w:val="004052AF"/>
    <w:rsid w:val="00410634"/>
    <w:rsid w:val="00417709"/>
    <w:rsid w:val="00417A02"/>
    <w:rsid w:val="0042595A"/>
    <w:rsid w:val="00454730"/>
    <w:rsid w:val="004609A3"/>
    <w:rsid w:val="00470A2D"/>
    <w:rsid w:val="004814D7"/>
    <w:rsid w:val="00491A01"/>
    <w:rsid w:val="00497EC5"/>
    <w:rsid w:val="004A603E"/>
    <w:rsid w:val="004D2EEC"/>
    <w:rsid w:val="004E6412"/>
    <w:rsid w:val="004E7582"/>
    <w:rsid w:val="004F1DF0"/>
    <w:rsid w:val="004F1F5C"/>
    <w:rsid w:val="004F232F"/>
    <w:rsid w:val="004F2E7B"/>
    <w:rsid w:val="004F63BE"/>
    <w:rsid w:val="004F7677"/>
    <w:rsid w:val="005111E4"/>
    <w:rsid w:val="00517342"/>
    <w:rsid w:val="005256C6"/>
    <w:rsid w:val="00525719"/>
    <w:rsid w:val="0053154B"/>
    <w:rsid w:val="00534035"/>
    <w:rsid w:val="00534172"/>
    <w:rsid w:val="0055647A"/>
    <w:rsid w:val="00562275"/>
    <w:rsid w:val="005643BC"/>
    <w:rsid w:val="00565191"/>
    <w:rsid w:val="005730A6"/>
    <w:rsid w:val="00592248"/>
    <w:rsid w:val="00593ED9"/>
    <w:rsid w:val="00594938"/>
    <w:rsid w:val="005A118B"/>
    <w:rsid w:val="005A234F"/>
    <w:rsid w:val="005B7A36"/>
    <w:rsid w:val="005C2145"/>
    <w:rsid w:val="005C3C66"/>
    <w:rsid w:val="005E76DB"/>
    <w:rsid w:val="005F125E"/>
    <w:rsid w:val="00635586"/>
    <w:rsid w:val="00693940"/>
    <w:rsid w:val="00697C63"/>
    <w:rsid w:val="006A2AEE"/>
    <w:rsid w:val="006A2E05"/>
    <w:rsid w:val="006A5695"/>
    <w:rsid w:val="006B2844"/>
    <w:rsid w:val="006B2E32"/>
    <w:rsid w:val="006B34D1"/>
    <w:rsid w:val="006D5048"/>
    <w:rsid w:val="006D715A"/>
    <w:rsid w:val="006E157B"/>
    <w:rsid w:val="00700F83"/>
    <w:rsid w:val="007060A7"/>
    <w:rsid w:val="007104CF"/>
    <w:rsid w:val="007216BA"/>
    <w:rsid w:val="00730510"/>
    <w:rsid w:val="00730E29"/>
    <w:rsid w:val="00734DEF"/>
    <w:rsid w:val="00756D89"/>
    <w:rsid w:val="007572BC"/>
    <w:rsid w:val="00780132"/>
    <w:rsid w:val="0078122D"/>
    <w:rsid w:val="00794700"/>
    <w:rsid w:val="007953D3"/>
    <w:rsid w:val="007A329E"/>
    <w:rsid w:val="007B6EB6"/>
    <w:rsid w:val="007C2110"/>
    <w:rsid w:val="007E2CBA"/>
    <w:rsid w:val="007E752E"/>
    <w:rsid w:val="007F3853"/>
    <w:rsid w:val="008102AB"/>
    <w:rsid w:val="00813701"/>
    <w:rsid w:val="00825AA9"/>
    <w:rsid w:val="00847A4D"/>
    <w:rsid w:val="0085493C"/>
    <w:rsid w:val="00855800"/>
    <w:rsid w:val="00867EFD"/>
    <w:rsid w:val="00870846"/>
    <w:rsid w:val="00883572"/>
    <w:rsid w:val="008942EC"/>
    <w:rsid w:val="008F2DCC"/>
    <w:rsid w:val="008F3152"/>
    <w:rsid w:val="008F3D3D"/>
    <w:rsid w:val="008F6327"/>
    <w:rsid w:val="008F6750"/>
    <w:rsid w:val="00916F06"/>
    <w:rsid w:val="00917CD0"/>
    <w:rsid w:val="00924627"/>
    <w:rsid w:val="009825FF"/>
    <w:rsid w:val="00983197"/>
    <w:rsid w:val="0098610C"/>
    <w:rsid w:val="009949E0"/>
    <w:rsid w:val="009A3678"/>
    <w:rsid w:val="009A69EB"/>
    <w:rsid w:val="009D7FB5"/>
    <w:rsid w:val="009D7FD6"/>
    <w:rsid w:val="009F69D5"/>
    <w:rsid w:val="00A07996"/>
    <w:rsid w:val="00A15704"/>
    <w:rsid w:val="00A217D8"/>
    <w:rsid w:val="00A2299E"/>
    <w:rsid w:val="00A2459F"/>
    <w:rsid w:val="00A32AFB"/>
    <w:rsid w:val="00A361C4"/>
    <w:rsid w:val="00A4341C"/>
    <w:rsid w:val="00A6231F"/>
    <w:rsid w:val="00A64FBC"/>
    <w:rsid w:val="00A704F2"/>
    <w:rsid w:val="00A7174E"/>
    <w:rsid w:val="00A72515"/>
    <w:rsid w:val="00A81BF9"/>
    <w:rsid w:val="00AA69E8"/>
    <w:rsid w:val="00AA7123"/>
    <w:rsid w:val="00AB0D60"/>
    <w:rsid w:val="00AB5362"/>
    <w:rsid w:val="00AC114A"/>
    <w:rsid w:val="00AC4941"/>
    <w:rsid w:val="00B25BCB"/>
    <w:rsid w:val="00B25FA1"/>
    <w:rsid w:val="00B2794D"/>
    <w:rsid w:val="00B405A8"/>
    <w:rsid w:val="00B41FB4"/>
    <w:rsid w:val="00B43622"/>
    <w:rsid w:val="00B50051"/>
    <w:rsid w:val="00B60609"/>
    <w:rsid w:val="00B723AA"/>
    <w:rsid w:val="00B9223A"/>
    <w:rsid w:val="00B92DD8"/>
    <w:rsid w:val="00BA725C"/>
    <w:rsid w:val="00BC0A2A"/>
    <w:rsid w:val="00BC3670"/>
    <w:rsid w:val="00BC5792"/>
    <w:rsid w:val="00BD6A6F"/>
    <w:rsid w:val="00BF63FC"/>
    <w:rsid w:val="00BF6453"/>
    <w:rsid w:val="00C073C2"/>
    <w:rsid w:val="00C14D16"/>
    <w:rsid w:val="00C258EA"/>
    <w:rsid w:val="00C35F5E"/>
    <w:rsid w:val="00C35FDC"/>
    <w:rsid w:val="00C36403"/>
    <w:rsid w:val="00C374EE"/>
    <w:rsid w:val="00C4347F"/>
    <w:rsid w:val="00C5211F"/>
    <w:rsid w:val="00C57767"/>
    <w:rsid w:val="00C74936"/>
    <w:rsid w:val="00C860D0"/>
    <w:rsid w:val="00C97764"/>
    <w:rsid w:val="00CB3A5E"/>
    <w:rsid w:val="00CB51B5"/>
    <w:rsid w:val="00CD2224"/>
    <w:rsid w:val="00CE4C2C"/>
    <w:rsid w:val="00CE73BD"/>
    <w:rsid w:val="00CF2C14"/>
    <w:rsid w:val="00CF405D"/>
    <w:rsid w:val="00D0079A"/>
    <w:rsid w:val="00D01527"/>
    <w:rsid w:val="00D10CF6"/>
    <w:rsid w:val="00D10D3F"/>
    <w:rsid w:val="00D130CE"/>
    <w:rsid w:val="00D134A7"/>
    <w:rsid w:val="00D147F9"/>
    <w:rsid w:val="00D152A9"/>
    <w:rsid w:val="00D50977"/>
    <w:rsid w:val="00D6005C"/>
    <w:rsid w:val="00D6569D"/>
    <w:rsid w:val="00D6737E"/>
    <w:rsid w:val="00D713F1"/>
    <w:rsid w:val="00D7261D"/>
    <w:rsid w:val="00D733D2"/>
    <w:rsid w:val="00D76B1B"/>
    <w:rsid w:val="00D76D15"/>
    <w:rsid w:val="00D85E93"/>
    <w:rsid w:val="00D9515C"/>
    <w:rsid w:val="00D95CC3"/>
    <w:rsid w:val="00DA2A4C"/>
    <w:rsid w:val="00DA34B9"/>
    <w:rsid w:val="00DB1379"/>
    <w:rsid w:val="00DC0946"/>
    <w:rsid w:val="00DC2A79"/>
    <w:rsid w:val="00DC630D"/>
    <w:rsid w:val="00DE688B"/>
    <w:rsid w:val="00DF15C4"/>
    <w:rsid w:val="00DF62F3"/>
    <w:rsid w:val="00DF7C6E"/>
    <w:rsid w:val="00E01515"/>
    <w:rsid w:val="00E15D38"/>
    <w:rsid w:val="00E4129A"/>
    <w:rsid w:val="00E45518"/>
    <w:rsid w:val="00E45B63"/>
    <w:rsid w:val="00E565B2"/>
    <w:rsid w:val="00E6771F"/>
    <w:rsid w:val="00E70EF7"/>
    <w:rsid w:val="00E75873"/>
    <w:rsid w:val="00E864C0"/>
    <w:rsid w:val="00E97E7C"/>
    <w:rsid w:val="00EA7241"/>
    <w:rsid w:val="00EC19D6"/>
    <w:rsid w:val="00ED28F0"/>
    <w:rsid w:val="00EE73A5"/>
    <w:rsid w:val="00EF19CF"/>
    <w:rsid w:val="00F03617"/>
    <w:rsid w:val="00F32B6D"/>
    <w:rsid w:val="00F374AC"/>
    <w:rsid w:val="00F43F45"/>
    <w:rsid w:val="00F47264"/>
    <w:rsid w:val="00F5276B"/>
    <w:rsid w:val="00F54195"/>
    <w:rsid w:val="00F634B8"/>
    <w:rsid w:val="00F7286E"/>
    <w:rsid w:val="00F81614"/>
    <w:rsid w:val="00F9270A"/>
    <w:rsid w:val="00FA2E75"/>
    <w:rsid w:val="00FB311C"/>
    <w:rsid w:val="00FB58BB"/>
    <w:rsid w:val="00FC447A"/>
    <w:rsid w:val="00FD2074"/>
    <w:rsid w:val="00FE3C54"/>
    <w:rsid w:val="00FE5C3B"/>
    <w:rsid w:val="00FE73AC"/>
    <w:rsid w:val="00FF01D1"/>
    <w:rsid w:val="0E9606F4"/>
    <w:rsid w:val="0F2C2D20"/>
    <w:rsid w:val="1CD97ECA"/>
    <w:rsid w:val="235D16ED"/>
    <w:rsid w:val="358C48BC"/>
    <w:rsid w:val="58755F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unhideWhenUsed/>
    <w:uiPriority w:val="99"/>
    <w:pPr>
      <w:jc w:val="left"/>
    </w:pPr>
  </w:style>
  <w:style w:type="paragraph" w:styleId="3">
    <w:name w:val="Balloon Text"/>
    <w:basedOn w:val="1"/>
    <w:link w:val="21"/>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kern w:val="0"/>
      <w:sz w:val="24"/>
    </w:rPr>
  </w:style>
  <w:style w:type="paragraph" w:styleId="7">
    <w:name w:val="annotation subject"/>
    <w:basedOn w:val="2"/>
    <w:next w:val="2"/>
    <w:link w:val="23"/>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脚 字符"/>
    <w:basedOn w:val="10"/>
    <w:link w:val="4"/>
    <w:qFormat/>
    <w:uiPriority w:val="0"/>
    <w:rPr>
      <w:rFonts w:ascii="Times New Roman" w:hAnsi="Times New Roman" w:eastAsia="仿宋_GB2312" w:cs="Times New Roman"/>
      <w:sz w:val="18"/>
      <w:szCs w:val="24"/>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6">
    <w:name w:val="一级条标题"/>
    <w:next w:val="15"/>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paragraph" w:customStyle="1" w:styleId="17">
    <w:name w:val="二级条标题"/>
    <w:basedOn w:val="16"/>
    <w:next w:val="15"/>
    <w:qFormat/>
    <w:uiPriority w:val="0"/>
    <w:pPr>
      <w:spacing w:before="50" w:after="50"/>
      <w:outlineLvl w:val="3"/>
    </w:pPr>
  </w:style>
  <w:style w:type="paragraph" w:customStyle="1" w:styleId="18">
    <w:name w:val="列出段落2"/>
    <w:basedOn w:val="1"/>
    <w:unhideWhenUsed/>
    <w:qFormat/>
    <w:uiPriority w:val="99"/>
    <w:pPr>
      <w:ind w:firstLine="420" w:firstLineChars="200"/>
    </w:pPr>
    <w:rPr>
      <w:sz w:val="30"/>
    </w:rPr>
  </w:style>
  <w:style w:type="paragraph" w:customStyle="1" w:styleId="19">
    <w:name w:val="Table Paragraph"/>
    <w:basedOn w:val="1"/>
    <w:qFormat/>
    <w:uiPriority w:val="99"/>
    <w:pPr>
      <w:jc w:val="left"/>
    </w:pPr>
    <w:rPr>
      <w:rFonts w:ascii="Calibri" w:hAnsi="Calibri"/>
      <w:kern w:val="0"/>
      <w:sz w:val="22"/>
      <w:szCs w:val="22"/>
      <w:lang w:eastAsia="en-US"/>
    </w:rPr>
  </w:style>
  <w:style w:type="character" w:customStyle="1" w:styleId="20">
    <w:name w:val="页眉 字符"/>
    <w:basedOn w:val="10"/>
    <w:link w:val="5"/>
    <w:qFormat/>
    <w:uiPriority w:val="0"/>
    <w:rPr>
      <w:rFonts w:ascii="Times New Roman" w:hAnsi="Times New Roman" w:eastAsia="仿宋_GB2312" w:cs="Times New Roman"/>
      <w:sz w:val="18"/>
      <w:szCs w:val="18"/>
    </w:rPr>
  </w:style>
  <w:style w:type="character" w:customStyle="1" w:styleId="21">
    <w:name w:val="批注框文本 字符"/>
    <w:basedOn w:val="10"/>
    <w:link w:val="3"/>
    <w:qFormat/>
    <w:uiPriority w:val="0"/>
    <w:rPr>
      <w:rFonts w:ascii="Times New Roman" w:hAnsi="Times New Roman" w:eastAsia="仿宋_GB2312" w:cs="Times New Roman"/>
      <w:sz w:val="18"/>
      <w:szCs w:val="18"/>
    </w:rPr>
  </w:style>
  <w:style w:type="character" w:customStyle="1" w:styleId="22">
    <w:name w:val="批注文字 字符"/>
    <w:basedOn w:val="10"/>
    <w:link w:val="2"/>
    <w:semiHidden/>
    <w:qFormat/>
    <w:uiPriority w:val="99"/>
    <w:rPr>
      <w:rFonts w:ascii="Times New Roman" w:hAnsi="Times New Roman" w:eastAsia="仿宋_GB2312" w:cs="Times New Roman"/>
      <w:sz w:val="32"/>
      <w:szCs w:val="24"/>
    </w:rPr>
  </w:style>
  <w:style w:type="character" w:customStyle="1" w:styleId="23">
    <w:name w:val="批注主题 字符"/>
    <w:basedOn w:val="22"/>
    <w:link w:val="7"/>
    <w:semiHidden/>
    <w:qFormat/>
    <w:uiPriority w:val="99"/>
    <w:rPr>
      <w:rFonts w:ascii="Times New Roman" w:hAnsi="Times New Roman" w:eastAsia="仿宋_GB2312" w:cs="Times New Roman"/>
      <w:b/>
      <w:bCs/>
      <w:sz w:val="32"/>
      <w:szCs w:val="24"/>
    </w:rPr>
  </w:style>
  <w:style w:type="paragraph" w:customStyle="1" w:styleId="24">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character" w:customStyle="1" w:styleId="25">
    <w:name w:val="页码1"/>
    <w:basedOn w:val="10"/>
    <w:qFormat/>
    <w:uiPriority w:val="0"/>
  </w:style>
  <w:style w:type="paragraph" w:customStyle="1" w:styleId="26">
    <w:name w:val="正文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
    <w:name w:val="正文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正文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E29D9-B491-4043-8F34-FF24731E12E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165</Words>
  <Characters>945</Characters>
  <Lines>7</Lines>
  <Paragraphs>2</Paragraphs>
  <TotalTime>150</TotalTime>
  <ScaleCrop>false</ScaleCrop>
  <LinksUpToDate>false</LinksUpToDate>
  <CharactersWithSpaces>1108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2022-09-28T06:45:00Z</dcterms:created>
  <dc:creator>yws1</dc:creator>
  <cp:lastModifiedBy>刘燕</cp:lastModifiedBy>
  <cp:lastPrinted>2021-06-05T13:46:00Z</cp:lastPrinted>
  <dcterms:modified xsi:type="dcterms:W3CDTF">2022-10-08T08:21:07Z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