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w w:val="99"/>
          <w:position w:val="1"/>
          <w:sz w:val="44"/>
          <w:szCs w:val="44"/>
        </w:rPr>
      </w:pPr>
      <w:r>
        <w:rPr>
          <w:rFonts w:hint="eastAsia" w:eastAsia="方正小标宋简体" w:cs="方正小标宋简体"/>
          <w:w w:val="99"/>
          <w:position w:val="1"/>
          <w:sz w:val="44"/>
          <w:szCs w:val="44"/>
        </w:rPr>
        <w:t>佛冈县</w:t>
      </w:r>
      <w:r>
        <w:rPr>
          <w:rFonts w:hint="eastAsia" w:eastAsia="方正小标宋简体" w:cs="方正小标宋简体"/>
          <w:w w:val="99"/>
          <w:position w:val="1"/>
          <w:sz w:val="44"/>
          <w:szCs w:val="44"/>
          <w:lang w:val="en-US" w:eastAsia="zh-CN"/>
        </w:rPr>
        <w:t>2022年</w:t>
      </w:r>
      <w:bookmarkStart w:id="0" w:name="_GoBack"/>
      <w:bookmarkEnd w:id="0"/>
      <w:r>
        <w:rPr>
          <w:rFonts w:hint="eastAsia" w:eastAsia="方正小标宋简体" w:cs="方正小标宋简体"/>
          <w:w w:val="99"/>
          <w:position w:val="1"/>
          <w:sz w:val="44"/>
          <w:szCs w:val="44"/>
        </w:rPr>
        <w:t>电动自行车质量监督</w:t>
      </w:r>
      <w:r>
        <w:rPr>
          <w:rFonts w:hint="eastAsia" w:eastAsia="方正小标宋简体" w:cs="方正小标宋简体"/>
          <w:bCs/>
          <w:color w:val="000000"/>
          <w:sz w:val="44"/>
          <w:szCs w:val="44"/>
        </w:rPr>
        <w:t>抽查实施细则</w:t>
      </w:r>
    </w:p>
    <w:p>
      <w:pPr>
        <w:spacing w:line="590" w:lineRule="exact"/>
        <w:ind w:firstLine="880" w:firstLineChars="200"/>
        <w:rPr>
          <w:rFonts w:eastAsia="方正小标宋简体" w:cs="方正小标宋简体"/>
          <w:color w:val="000000"/>
          <w:sz w:val="44"/>
          <w:szCs w:val="44"/>
        </w:rPr>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600" w:lineRule="exact"/>
        <w:ind w:firstLine="640" w:firstLineChars="200"/>
        <w:rPr>
          <w:kern w:val="0"/>
          <w:szCs w:val="32"/>
        </w:rPr>
      </w:pPr>
      <w:r>
        <w:rPr>
          <w:kern w:val="0"/>
          <w:szCs w:val="32"/>
        </w:rPr>
        <w:t>以随机抽样的方式在</w:t>
      </w:r>
      <w:r>
        <w:rPr>
          <w:rFonts w:hint="eastAsia"/>
          <w:kern w:val="0"/>
          <w:szCs w:val="32"/>
        </w:rPr>
        <w:t>被抽样经营者的待销产品中抽取。</w:t>
      </w:r>
    </w:p>
    <w:p>
      <w:pPr>
        <w:widowControl/>
        <w:spacing w:line="600" w:lineRule="exact"/>
        <w:ind w:firstLine="640" w:firstLineChars="200"/>
        <w:rPr>
          <w:kern w:val="0"/>
          <w:szCs w:val="32"/>
        </w:rPr>
      </w:pPr>
      <w:r>
        <w:rPr>
          <w:rFonts w:hint="eastAsia"/>
          <w:kern w:val="0"/>
          <w:szCs w:val="32"/>
        </w:rPr>
        <w:t>随机数一般可使用随机数表等方法产生。</w:t>
      </w:r>
    </w:p>
    <w:p>
      <w:pPr>
        <w:widowControl/>
        <w:spacing w:line="600" w:lineRule="exact"/>
        <w:ind w:firstLine="640" w:firstLineChars="200"/>
        <w:rPr>
          <w:kern w:val="0"/>
          <w:szCs w:val="32"/>
        </w:rPr>
      </w:pPr>
      <w:r>
        <w:rPr>
          <w:rFonts w:hint="eastAsia"/>
          <w:kern w:val="0"/>
          <w:szCs w:val="32"/>
        </w:rPr>
        <w:t>抽查数量：每款产品抽取2组样本，第1组用于检验，第2组用于备样。具体抽样数量如下：</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1772"/>
        <w:gridCol w:w="177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4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551"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产品名称</w:t>
            </w:r>
          </w:p>
        </w:tc>
        <w:tc>
          <w:tcPr>
            <w:tcW w:w="1772"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1772"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第2组数量</w:t>
            </w:r>
          </w:p>
        </w:tc>
        <w:tc>
          <w:tcPr>
            <w:tcW w:w="1701"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551"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电动自行车</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1台</w:t>
            </w:r>
          </w:p>
        </w:tc>
        <w:tc>
          <w:tcPr>
            <w:tcW w:w="1772"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1台</w:t>
            </w:r>
          </w:p>
        </w:tc>
        <w:tc>
          <w:tcPr>
            <w:tcW w:w="1701" w:type="dxa"/>
            <w:vAlign w:val="center"/>
          </w:tcPr>
          <w:p>
            <w:pPr>
              <w:adjustRightInd w:val="0"/>
              <w:snapToGrid w:val="0"/>
              <w:spacing w:line="400" w:lineRule="exact"/>
              <w:jc w:val="center"/>
              <w:rPr>
                <w:rFonts w:ascii="仿宋_GB2312" w:hAnsi="仿宋_GB2312" w:cs="仿宋_GB2312"/>
                <w:bCs/>
                <w:sz w:val="24"/>
              </w:rPr>
            </w:pPr>
          </w:p>
        </w:tc>
      </w:tr>
    </w:tbl>
    <w:p>
      <w:pPr>
        <w:widowControl/>
        <w:ind w:firstLine="640" w:firstLineChars="200"/>
        <w:jc w:val="left"/>
        <w:rPr>
          <w:rFonts w:eastAsia="黑体" w:cs="黑体"/>
          <w:color w:val="000000"/>
          <w:szCs w:val="32"/>
        </w:rPr>
      </w:pPr>
      <w:r>
        <w:rPr>
          <w:rFonts w:hint="eastAsia" w:eastAsia="黑体" w:cs="黑体"/>
          <w:color w:val="000000"/>
          <w:szCs w:val="32"/>
        </w:rPr>
        <w:t>二、主要检验项目及检验项目属性划分</w:t>
      </w:r>
    </w:p>
    <w:p>
      <w:pPr>
        <w:adjustRightInd w:val="0"/>
        <w:snapToGrid w:val="0"/>
        <w:spacing w:line="560" w:lineRule="exact"/>
        <w:ind w:firstLine="640"/>
        <w:rPr>
          <w:kern w:val="0"/>
          <w:szCs w:val="32"/>
        </w:rPr>
      </w:pPr>
      <w:r>
        <w:rPr>
          <w:rFonts w:hint="eastAsia"/>
          <w:kern w:val="0"/>
          <w:szCs w:val="32"/>
        </w:rPr>
        <w:t>（</w:t>
      </w:r>
      <w:r>
        <w:rPr>
          <w:kern w:val="0"/>
          <w:szCs w:val="32"/>
        </w:rPr>
        <w:t>1</w:t>
      </w:r>
      <w:r>
        <w:rPr>
          <w:rFonts w:hint="eastAsia"/>
          <w:kern w:val="0"/>
          <w:szCs w:val="32"/>
        </w:rPr>
        <w:t>）电动自行车</w:t>
      </w:r>
    </w:p>
    <w:tbl>
      <w:tblPr>
        <w:tblStyle w:val="8"/>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1786"/>
        <w:gridCol w:w="766"/>
        <w:gridCol w:w="710"/>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1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2268"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车速限值</w:t>
            </w:r>
          </w:p>
        </w:tc>
        <w:tc>
          <w:tcPr>
            <w:tcW w:w="178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17761-2018</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2268"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制动性能（干态）</w:t>
            </w:r>
          </w:p>
        </w:tc>
        <w:tc>
          <w:tcPr>
            <w:tcW w:w="178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17761-2018</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2268"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整车质量</w:t>
            </w:r>
          </w:p>
        </w:tc>
        <w:tc>
          <w:tcPr>
            <w:tcW w:w="178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17761-2018</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2268"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结构</w:t>
            </w:r>
          </w:p>
        </w:tc>
        <w:tc>
          <w:tcPr>
            <w:tcW w:w="178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17761-2018</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2268"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车速提示音</w:t>
            </w:r>
          </w:p>
        </w:tc>
        <w:tc>
          <w:tcPr>
            <w:tcW w:w="178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17761-2018</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2268"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淋水涉水性能</w:t>
            </w:r>
          </w:p>
        </w:tc>
        <w:tc>
          <w:tcPr>
            <w:tcW w:w="178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17761-2018</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2268"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电气装置</w:t>
            </w:r>
          </w:p>
        </w:tc>
        <w:tc>
          <w:tcPr>
            <w:tcW w:w="178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17761-2018</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4"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8</w:t>
            </w:r>
          </w:p>
        </w:tc>
        <w:tc>
          <w:tcPr>
            <w:tcW w:w="2268"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充电器与蓄电池</w:t>
            </w:r>
          </w:p>
        </w:tc>
        <w:tc>
          <w:tcPr>
            <w:tcW w:w="178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17761-2018</w:t>
            </w:r>
          </w:p>
        </w:tc>
        <w:tc>
          <w:tcPr>
            <w:tcW w:w="766" w:type="dxa"/>
            <w:vAlign w:val="center"/>
          </w:tcPr>
          <w:p>
            <w:pPr>
              <w:jc w:val="center"/>
            </w:pPr>
            <w:r>
              <w:rPr>
                <w:rFonts w:ascii="仿宋_GB2312" w:hAnsi="仿宋_GB2312" w:cs="仿宋_GB2312"/>
                <w:bCs/>
                <w:sz w:val="24"/>
              </w:rPr>
              <w:t>●</w:t>
            </w:r>
          </w:p>
        </w:tc>
        <w:tc>
          <w:tcPr>
            <w:tcW w:w="710"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718" w:type="dxa"/>
            <w:gridSpan w:val="8"/>
            <w:vAlign w:val="center"/>
          </w:tcPr>
          <w:p>
            <w:pPr>
              <w:pStyle w:val="24"/>
              <w:rPr>
                <w:rFonts w:ascii="宋体" w:hAnsi="宋体" w:eastAsia="宋体" w:cs="宋体"/>
                <w:szCs w:val="21"/>
              </w:rPr>
            </w:pPr>
            <w:r>
              <w:rPr>
                <w:rFonts w:ascii="宋体" w:hAnsi="宋体" w:eastAsia="宋体" w:cs="宋体"/>
                <w:szCs w:val="21"/>
              </w:rPr>
              <w:t>注：电动自行车样品应包含其合格证、说明书、充电器、畜电池。</w:t>
            </w:r>
          </w:p>
        </w:tc>
      </w:tr>
    </w:tbl>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spacing w:line="590" w:lineRule="exact"/>
        <w:ind w:firstLine="640" w:firstLineChars="200"/>
        <w:rPr>
          <w:rFonts w:eastAsia="方正小标宋简体" w:cs="方正小标宋简体"/>
          <w:color w:val="000000"/>
          <w:sz w:val="44"/>
          <w:szCs w:val="44"/>
        </w:rPr>
      </w:pPr>
      <w:r>
        <w:rPr>
          <w:rFonts w:hint="eastAsia" w:eastAsia="楷体_GB2312" w:cs="楷体_GB2312"/>
          <w:color w:val="000000"/>
          <w:szCs w:val="32"/>
        </w:rPr>
        <w:t>（一）依据标准</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GB 17761-2018《电动自行车安全技术规范》</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6"/>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E"/>
    <w:rsid w:val="0000577C"/>
    <w:rsid w:val="00012D99"/>
    <w:rsid w:val="00025460"/>
    <w:rsid w:val="00032E8F"/>
    <w:rsid w:val="00044860"/>
    <w:rsid w:val="00064400"/>
    <w:rsid w:val="00066872"/>
    <w:rsid w:val="00067E3B"/>
    <w:rsid w:val="00071293"/>
    <w:rsid w:val="00071DB1"/>
    <w:rsid w:val="00072261"/>
    <w:rsid w:val="000754C4"/>
    <w:rsid w:val="0008211E"/>
    <w:rsid w:val="000908DF"/>
    <w:rsid w:val="000B19EE"/>
    <w:rsid w:val="000B7A06"/>
    <w:rsid w:val="000D00DC"/>
    <w:rsid w:val="000D5D13"/>
    <w:rsid w:val="000E5072"/>
    <w:rsid w:val="000F1ADB"/>
    <w:rsid w:val="000F2148"/>
    <w:rsid w:val="00107527"/>
    <w:rsid w:val="00111F61"/>
    <w:rsid w:val="00135333"/>
    <w:rsid w:val="00147CA7"/>
    <w:rsid w:val="0016504F"/>
    <w:rsid w:val="00170E49"/>
    <w:rsid w:val="001724AF"/>
    <w:rsid w:val="001759C5"/>
    <w:rsid w:val="00180BC7"/>
    <w:rsid w:val="00185692"/>
    <w:rsid w:val="001936FE"/>
    <w:rsid w:val="001A4CB4"/>
    <w:rsid w:val="001A7686"/>
    <w:rsid w:val="001B4569"/>
    <w:rsid w:val="001C1E9D"/>
    <w:rsid w:val="001E1DB2"/>
    <w:rsid w:val="001E6192"/>
    <w:rsid w:val="001F1F39"/>
    <w:rsid w:val="00202EC3"/>
    <w:rsid w:val="00220EA1"/>
    <w:rsid w:val="00223B8B"/>
    <w:rsid w:val="00223B8C"/>
    <w:rsid w:val="00226EC2"/>
    <w:rsid w:val="00233310"/>
    <w:rsid w:val="00234560"/>
    <w:rsid w:val="00236393"/>
    <w:rsid w:val="00274C13"/>
    <w:rsid w:val="00290763"/>
    <w:rsid w:val="00295C46"/>
    <w:rsid w:val="002B20CE"/>
    <w:rsid w:val="002B31C6"/>
    <w:rsid w:val="002C106D"/>
    <w:rsid w:val="002D2561"/>
    <w:rsid w:val="002E2AEA"/>
    <w:rsid w:val="002E4D42"/>
    <w:rsid w:val="002E78D6"/>
    <w:rsid w:val="002F300F"/>
    <w:rsid w:val="002F3C7A"/>
    <w:rsid w:val="002F4DC2"/>
    <w:rsid w:val="002F6589"/>
    <w:rsid w:val="00300EF2"/>
    <w:rsid w:val="0030124A"/>
    <w:rsid w:val="00312715"/>
    <w:rsid w:val="003163B8"/>
    <w:rsid w:val="003533AC"/>
    <w:rsid w:val="003545DB"/>
    <w:rsid w:val="003555B6"/>
    <w:rsid w:val="00356D3D"/>
    <w:rsid w:val="0036316E"/>
    <w:rsid w:val="00364BAE"/>
    <w:rsid w:val="00372B27"/>
    <w:rsid w:val="0037537B"/>
    <w:rsid w:val="003B0AA4"/>
    <w:rsid w:val="003B2A51"/>
    <w:rsid w:val="003C1D8D"/>
    <w:rsid w:val="003C683E"/>
    <w:rsid w:val="003C6C3A"/>
    <w:rsid w:val="003D3E2C"/>
    <w:rsid w:val="003D3E95"/>
    <w:rsid w:val="003D5839"/>
    <w:rsid w:val="003E379B"/>
    <w:rsid w:val="003E45E0"/>
    <w:rsid w:val="003F0BA8"/>
    <w:rsid w:val="003F26DE"/>
    <w:rsid w:val="003F56BC"/>
    <w:rsid w:val="0040094E"/>
    <w:rsid w:val="004052AF"/>
    <w:rsid w:val="00410634"/>
    <w:rsid w:val="00417709"/>
    <w:rsid w:val="00417A02"/>
    <w:rsid w:val="0042595A"/>
    <w:rsid w:val="00454730"/>
    <w:rsid w:val="004609A3"/>
    <w:rsid w:val="00470A2D"/>
    <w:rsid w:val="004814D7"/>
    <w:rsid w:val="00491A01"/>
    <w:rsid w:val="00497EC5"/>
    <w:rsid w:val="004A603E"/>
    <w:rsid w:val="004E6412"/>
    <w:rsid w:val="004E7582"/>
    <w:rsid w:val="004F1DF0"/>
    <w:rsid w:val="004F1F5C"/>
    <w:rsid w:val="004F232F"/>
    <w:rsid w:val="004F2E7B"/>
    <w:rsid w:val="004F63BE"/>
    <w:rsid w:val="004F7677"/>
    <w:rsid w:val="005111E4"/>
    <w:rsid w:val="00517342"/>
    <w:rsid w:val="005256C6"/>
    <w:rsid w:val="00525719"/>
    <w:rsid w:val="0053154B"/>
    <w:rsid w:val="00534035"/>
    <w:rsid w:val="00534172"/>
    <w:rsid w:val="0055647A"/>
    <w:rsid w:val="00562275"/>
    <w:rsid w:val="005643BC"/>
    <w:rsid w:val="00565191"/>
    <w:rsid w:val="005730A6"/>
    <w:rsid w:val="00592248"/>
    <w:rsid w:val="00593ED9"/>
    <w:rsid w:val="00594938"/>
    <w:rsid w:val="005A118B"/>
    <w:rsid w:val="005A234F"/>
    <w:rsid w:val="005B7A36"/>
    <w:rsid w:val="005C2145"/>
    <w:rsid w:val="005C3C66"/>
    <w:rsid w:val="005E76DB"/>
    <w:rsid w:val="005F125E"/>
    <w:rsid w:val="00635586"/>
    <w:rsid w:val="00693940"/>
    <w:rsid w:val="00697C63"/>
    <w:rsid w:val="006A2AEE"/>
    <w:rsid w:val="006A2E05"/>
    <w:rsid w:val="006A5695"/>
    <w:rsid w:val="006B2844"/>
    <w:rsid w:val="006B2E32"/>
    <w:rsid w:val="006B34D1"/>
    <w:rsid w:val="006D5048"/>
    <w:rsid w:val="006D715A"/>
    <w:rsid w:val="006E157B"/>
    <w:rsid w:val="00700F83"/>
    <w:rsid w:val="007060A7"/>
    <w:rsid w:val="007104CF"/>
    <w:rsid w:val="007216BA"/>
    <w:rsid w:val="00730510"/>
    <w:rsid w:val="00730E29"/>
    <w:rsid w:val="00734DEF"/>
    <w:rsid w:val="00756D89"/>
    <w:rsid w:val="007572BC"/>
    <w:rsid w:val="00780132"/>
    <w:rsid w:val="0078122D"/>
    <w:rsid w:val="00794700"/>
    <w:rsid w:val="007953D3"/>
    <w:rsid w:val="007A329E"/>
    <w:rsid w:val="007B6EB6"/>
    <w:rsid w:val="007C2110"/>
    <w:rsid w:val="007D7174"/>
    <w:rsid w:val="007E2CBA"/>
    <w:rsid w:val="007E752E"/>
    <w:rsid w:val="007F3853"/>
    <w:rsid w:val="008102AB"/>
    <w:rsid w:val="00813701"/>
    <w:rsid w:val="00825AA9"/>
    <w:rsid w:val="00847A4D"/>
    <w:rsid w:val="0085493C"/>
    <w:rsid w:val="00855800"/>
    <w:rsid w:val="00867EFD"/>
    <w:rsid w:val="00870846"/>
    <w:rsid w:val="00883572"/>
    <w:rsid w:val="008942EC"/>
    <w:rsid w:val="008F2DCC"/>
    <w:rsid w:val="008F3152"/>
    <w:rsid w:val="008F3D3D"/>
    <w:rsid w:val="008F6327"/>
    <w:rsid w:val="00916F06"/>
    <w:rsid w:val="00917CD0"/>
    <w:rsid w:val="00924627"/>
    <w:rsid w:val="009825FF"/>
    <w:rsid w:val="00983197"/>
    <w:rsid w:val="0098610C"/>
    <w:rsid w:val="009949E0"/>
    <w:rsid w:val="009A3678"/>
    <w:rsid w:val="009A69EB"/>
    <w:rsid w:val="009D7FB5"/>
    <w:rsid w:val="009D7FD6"/>
    <w:rsid w:val="009F69D5"/>
    <w:rsid w:val="00A07996"/>
    <w:rsid w:val="00A15704"/>
    <w:rsid w:val="00A217D8"/>
    <w:rsid w:val="00A2299E"/>
    <w:rsid w:val="00A2459F"/>
    <w:rsid w:val="00A32AFB"/>
    <w:rsid w:val="00A361C4"/>
    <w:rsid w:val="00A4341C"/>
    <w:rsid w:val="00A6231F"/>
    <w:rsid w:val="00A704F2"/>
    <w:rsid w:val="00A7174E"/>
    <w:rsid w:val="00A72515"/>
    <w:rsid w:val="00A81BF9"/>
    <w:rsid w:val="00AA69E8"/>
    <w:rsid w:val="00AA7123"/>
    <w:rsid w:val="00AB0D60"/>
    <w:rsid w:val="00AB5362"/>
    <w:rsid w:val="00AC114A"/>
    <w:rsid w:val="00AC4941"/>
    <w:rsid w:val="00B24FAD"/>
    <w:rsid w:val="00B25BCB"/>
    <w:rsid w:val="00B25FA1"/>
    <w:rsid w:val="00B2794D"/>
    <w:rsid w:val="00B405A8"/>
    <w:rsid w:val="00B41FB4"/>
    <w:rsid w:val="00B43622"/>
    <w:rsid w:val="00B50051"/>
    <w:rsid w:val="00B60609"/>
    <w:rsid w:val="00B723AA"/>
    <w:rsid w:val="00B9223A"/>
    <w:rsid w:val="00B92DD8"/>
    <w:rsid w:val="00BA725C"/>
    <w:rsid w:val="00BC0A2A"/>
    <w:rsid w:val="00BC3670"/>
    <w:rsid w:val="00BC5792"/>
    <w:rsid w:val="00BD6A6F"/>
    <w:rsid w:val="00BF63FC"/>
    <w:rsid w:val="00BF6453"/>
    <w:rsid w:val="00C073C2"/>
    <w:rsid w:val="00C14D16"/>
    <w:rsid w:val="00C258EA"/>
    <w:rsid w:val="00C35F5E"/>
    <w:rsid w:val="00C36403"/>
    <w:rsid w:val="00C374EE"/>
    <w:rsid w:val="00C4347F"/>
    <w:rsid w:val="00C5211F"/>
    <w:rsid w:val="00C74936"/>
    <w:rsid w:val="00C860D0"/>
    <w:rsid w:val="00C97764"/>
    <w:rsid w:val="00CB3A5E"/>
    <w:rsid w:val="00CB51B5"/>
    <w:rsid w:val="00CD2224"/>
    <w:rsid w:val="00CE4C2C"/>
    <w:rsid w:val="00CE73BD"/>
    <w:rsid w:val="00CF2C14"/>
    <w:rsid w:val="00CF405D"/>
    <w:rsid w:val="00D0079A"/>
    <w:rsid w:val="00D01527"/>
    <w:rsid w:val="00D10CF6"/>
    <w:rsid w:val="00D10D3F"/>
    <w:rsid w:val="00D130CE"/>
    <w:rsid w:val="00D134A7"/>
    <w:rsid w:val="00D147F9"/>
    <w:rsid w:val="00D152A9"/>
    <w:rsid w:val="00D50977"/>
    <w:rsid w:val="00D6005C"/>
    <w:rsid w:val="00D6569D"/>
    <w:rsid w:val="00D6737E"/>
    <w:rsid w:val="00D713F1"/>
    <w:rsid w:val="00D7261D"/>
    <w:rsid w:val="00D733D2"/>
    <w:rsid w:val="00D76B1B"/>
    <w:rsid w:val="00D76D15"/>
    <w:rsid w:val="00D85E93"/>
    <w:rsid w:val="00D9515C"/>
    <w:rsid w:val="00DA2A4C"/>
    <w:rsid w:val="00DA34B9"/>
    <w:rsid w:val="00DB1379"/>
    <w:rsid w:val="00DC0946"/>
    <w:rsid w:val="00DC2A79"/>
    <w:rsid w:val="00DC630D"/>
    <w:rsid w:val="00DE3464"/>
    <w:rsid w:val="00DE688B"/>
    <w:rsid w:val="00DF15C4"/>
    <w:rsid w:val="00DF62F3"/>
    <w:rsid w:val="00DF7C6E"/>
    <w:rsid w:val="00E01515"/>
    <w:rsid w:val="00E15D38"/>
    <w:rsid w:val="00E4129A"/>
    <w:rsid w:val="00E45518"/>
    <w:rsid w:val="00E45B63"/>
    <w:rsid w:val="00E565B2"/>
    <w:rsid w:val="00E6771F"/>
    <w:rsid w:val="00E70EF7"/>
    <w:rsid w:val="00E75873"/>
    <w:rsid w:val="00E864C0"/>
    <w:rsid w:val="00E97E7C"/>
    <w:rsid w:val="00EA7241"/>
    <w:rsid w:val="00EC19D6"/>
    <w:rsid w:val="00ED28F0"/>
    <w:rsid w:val="00ED31EA"/>
    <w:rsid w:val="00EE73A5"/>
    <w:rsid w:val="00EF19CF"/>
    <w:rsid w:val="00F03617"/>
    <w:rsid w:val="00F32B6D"/>
    <w:rsid w:val="00F374AC"/>
    <w:rsid w:val="00F43F45"/>
    <w:rsid w:val="00F47264"/>
    <w:rsid w:val="00F5276B"/>
    <w:rsid w:val="00F54195"/>
    <w:rsid w:val="00F634B8"/>
    <w:rsid w:val="00F7286E"/>
    <w:rsid w:val="00F81614"/>
    <w:rsid w:val="00F9270A"/>
    <w:rsid w:val="00FA2E75"/>
    <w:rsid w:val="00FB311C"/>
    <w:rsid w:val="00FB58BB"/>
    <w:rsid w:val="00FC447A"/>
    <w:rsid w:val="00FD2074"/>
    <w:rsid w:val="00FE3C54"/>
    <w:rsid w:val="00FE5C3B"/>
    <w:rsid w:val="00FF01D1"/>
    <w:rsid w:val="0E9606F4"/>
    <w:rsid w:val="0F2C2D20"/>
    <w:rsid w:val="1CD97ECA"/>
    <w:rsid w:val="235D16ED"/>
    <w:rsid w:val="58755F28"/>
    <w:rsid w:val="6EDE64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unhideWhenUsed/>
    <w:uiPriority w:val="99"/>
    <w:pPr>
      <w:jc w:val="left"/>
    </w:pPr>
  </w:style>
  <w:style w:type="paragraph" w:styleId="3">
    <w:name w:val="Balloon Text"/>
    <w:basedOn w:val="1"/>
    <w:link w:val="21"/>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rFonts w:ascii="Calibri" w:hAnsi="Calibri" w:eastAsia="宋体"/>
      <w:kern w:val="0"/>
      <w:sz w:val="24"/>
    </w:rPr>
  </w:style>
  <w:style w:type="paragraph" w:styleId="7">
    <w:name w:val="annotation subject"/>
    <w:basedOn w:val="2"/>
    <w:next w:val="2"/>
    <w:link w:val="23"/>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脚 字符"/>
    <w:basedOn w:val="10"/>
    <w:link w:val="4"/>
    <w:qFormat/>
    <w:uiPriority w:val="0"/>
    <w:rPr>
      <w:rFonts w:ascii="Times New Roman" w:hAnsi="Times New Roman" w:eastAsia="仿宋_GB2312" w:cs="Times New Roman"/>
      <w:sz w:val="18"/>
      <w:szCs w:val="24"/>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6">
    <w:name w:val="一级条标题"/>
    <w:next w:val="15"/>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7">
    <w:name w:val="二级条标题"/>
    <w:basedOn w:val="16"/>
    <w:next w:val="15"/>
    <w:qFormat/>
    <w:uiPriority w:val="0"/>
    <w:pPr>
      <w:spacing w:before="50" w:after="50"/>
      <w:outlineLvl w:val="3"/>
    </w:pPr>
  </w:style>
  <w:style w:type="paragraph" w:customStyle="1" w:styleId="18">
    <w:name w:val="列出段落2"/>
    <w:basedOn w:val="1"/>
    <w:unhideWhenUsed/>
    <w:qFormat/>
    <w:uiPriority w:val="99"/>
    <w:pPr>
      <w:ind w:firstLine="420" w:firstLineChars="200"/>
    </w:pPr>
    <w:rPr>
      <w:sz w:val="30"/>
    </w:rPr>
  </w:style>
  <w:style w:type="paragraph" w:customStyle="1" w:styleId="19">
    <w:name w:val="Table Paragraph"/>
    <w:basedOn w:val="1"/>
    <w:qFormat/>
    <w:uiPriority w:val="99"/>
    <w:pPr>
      <w:jc w:val="left"/>
    </w:pPr>
    <w:rPr>
      <w:rFonts w:ascii="Calibri" w:hAnsi="Calibri"/>
      <w:kern w:val="0"/>
      <w:sz w:val="22"/>
      <w:szCs w:val="22"/>
      <w:lang w:eastAsia="en-US"/>
    </w:rPr>
  </w:style>
  <w:style w:type="character" w:customStyle="1" w:styleId="20">
    <w:name w:val="页眉 字符"/>
    <w:basedOn w:val="10"/>
    <w:link w:val="5"/>
    <w:qFormat/>
    <w:uiPriority w:val="0"/>
    <w:rPr>
      <w:rFonts w:ascii="Times New Roman" w:hAnsi="Times New Roman" w:eastAsia="仿宋_GB2312" w:cs="Times New Roman"/>
      <w:sz w:val="18"/>
      <w:szCs w:val="18"/>
    </w:rPr>
  </w:style>
  <w:style w:type="character" w:customStyle="1" w:styleId="21">
    <w:name w:val="批注框文本 字符"/>
    <w:basedOn w:val="10"/>
    <w:link w:val="3"/>
    <w:qFormat/>
    <w:uiPriority w:val="0"/>
    <w:rPr>
      <w:rFonts w:ascii="Times New Roman" w:hAnsi="Times New Roman" w:eastAsia="仿宋_GB2312" w:cs="Times New Roman"/>
      <w:sz w:val="18"/>
      <w:szCs w:val="18"/>
    </w:rPr>
  </w:style>
  <w:style w:type="character" w:customStyle="1" w:styleId="22">
    <w:name w:val="批注文字 字符"/>
    <w:basedOn w:val="10"/>
    <w:link w:val="2"/>
    <w:semiHidden/>
    <w:qFormat/>
    <w:uiPriority w:val="99"/>
    <w:rPr>
      <w:rFonts w:ascii="Times New Roman" w:hAnsi="Times New Roman" w:eastAsia="仿宋_GB2312" w:cs="Times New Roman"/>
      <w:sz w:val="32"/>
      <w:szCs w:val="24"/>
    </w:rPr>
  </w:style>
  <w:style w:type="character" w:customStyle="1" w:styleId="23">
    <w:name w:val="批注主题 字符"/>
    <w:basedOn w:val="22"/>
    <w:link w:val="7"/>
    <w:semiHidden/>
    <w:qFormat/>
    <w:uiPriority w:val="99"/>
    <w:rPr>
      <w:rFonts w:ascii="Times New Roman" w:hAnsi="Times New Roman" w:eastAsia="仿宋_GB2312" w:cs="Times New Roman"/>
      <w:b/>
      <w:bCs/>
      <w:sz w:val="32"/>
      <w:szCs w:val="24"/>
    </w:rPr>
  </w:style>
  <w:style w:type="paragraph" w:customStyle="1" w:styleId="24">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character" w:customStyle="1" w:styleId="25">
    <w:name w:val="页码1"/>
    <w:basedOn w:val="10"/>
    <w:qFormat/>
    <w:uiPriority w:val="0"/>
  </w:style>
  <w:style w:type="paragraph" w:customStyle="1" w:styleId="26">
    <w:name w:val="正文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
    <w:name w:val="正文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正文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DAE4E-0EF0-41EA-93B0-EC90B1BBE6D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162</Words>
  <Characters>924</Characters>
  <Lines>7</Lines>
  <Paragraphs>2</Paragraphs>
  <TotalTime>145</TotalTime>
  <ScaleCrop>false</ScaleCrop>
  <LinksUpToDate>false</LinksUpToDate>
  <CharactersWithSpaces>1084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2022-09-28T06:45:00Z</dcterms:created>
  <dc:creator>yws1</dc:creator>
  <cp:lastModifiedBy>刘燕</cp:lastModifiedBy>
  <cp:lastPrinted>2021-06-05T13:46:00Z</cp:lastPrinted>
  <dcterms:modified xsi:type="dcterms:W3CDTF">2022-10-08T08:21:27Z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