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s="方正小标宋简体"/>
          <w:w w:val="99"/>
          <w:position w:val="1"/>
          <w:sz w:val="44"/>
          <w:szCs w:val="44"/>
        </w:rPr>
      </w:pPr>
      <w:r>
        <w:rPr>
          <w:rFonts w:hint="eastAsia" w:eastAsia="方正小标宋简体" w:cs="方正小标宋简体"/>
          <w:w w:val="99"/>
          <w:position w:val="1"/>
          <w:sz w:val="44"/>
          <w:szCs w:val="44"/>
        </w:rPr>
        <w:t>佛冈县</w:t>
      </w:r>
      <w:r>
        <w:rPr>
          <w:rFonts w:hint="eastAsia" w:eastAsia="方正小标宋简体" w:cs="方正小标宋简体"/>
          <w:w w:val="99"/>
          <w:position w:val="1"/>
          <w:sz w:val="44"/>
          <w:szCs w:val="44"/>
          <w:lang w:val="en-US" w:eastAsia="zh-CN"/>
        </w:rPr>
        <w:t>2022年</w:t>
      </w:r>
      <w:bookmarkStart w:id="0" w:name="_GoBack"/>
      <w:bookmarkEnd w:id="0"/>
      <w:r>
        <w:rPr>
          <w:rFonts w:hint="eastAsia" w:eastAsia="方正小标宋简体" w:cs="方正小标宋简体"/>
          <w:w w:val="99"/>
          <w:position w:val="1"/>
          <w:sz w:val="44"/>
          <w:szCs w:val="44"/>
        </w:rPr>
        <w:t>车辆及相关产品质量监督</w:t>
      </w:r>
      <w:r>
        <w:rPr>
          <w:rFonts w:hint="eastAsia" w:eastAsia="方正小标宋简体" w:cs="方正小标宋简体"/>
          <w:bCs/>
          <w:color w:val="000000"/>
          <w:sz w:val="44"/>
          <w:szCs w:val="44"/>
        </w:rPr>
        <w:t>抽查</w:t>
      </w:r>
    </w:p>
    <w:p>
      <w:pPr>
        <w:spacing w:line="600" w:lineRule="exact"/>
        <w:jc w:val="center"/>
        <w:rPr>
          <w:rFonts w:eastAsia="方正小标宋简体" w:cs="方正小标宋简体"/>
          <w:w w:val="99"/>
          <w:position w:val="1"/>
          <w:sz w:val="44"/>
          <w:szCs w:val="44"/>
        </w:rPr>
      </w:pPr>
      <w:r>
        <w:rPr>
          <w:rFonts w:hint="eastAsia" w:eastAsia="方正小标宋简体" w:cs="方正小标宋简体"/>
          <w:bCs/>
          <w:color w:val="000000"/>
          <w:sz w:val="44"/>
          <w:szCs w:val="44"/>
        </w:rPr>
        <w:t>实施细则</w:t>
      </w:r>
    </w:p>
    <w:p>
      <w:pPr>
        <w:spacing w:line="590" w:lineRule="exact"/>
        <w:ind w:firstLine="880" w:firstLineChars="200"/>
        <w:rPr>
          <w:rFonts w:eastAsia="方正小标宋简体" w:cs="方正小标宋简体"/>
          <w:color w:val="000000"/>
          <w:sz w:val="44"/>
          <w:szCs w:val="44"/>
        </w:rPr>
      </w:pPr>
    </w:p>
    <w:p>
      <w:pPr>
        <w:spacing w:line="590" w:lineRule="exact"/>
        <w:ind w:firstLine="640" w:firstLineChars="200"/>
        <w:rPr>
          <w:rFonts w:ascii="黑体" w:hAnsi="黑体" w:eastAsia="黑体" w:cs="黑体"/>
          <w:szCs w:val="32"/>
        </w:rPr>
      </w:pPr>
      <w:r>
        <w:rPr>
          <w:rFonts w:hint="eastAsia" w:ascii="黑体" w:hAnsi="黑体" w:eastAsia="黑体" w:cs="黑体"/>
          <w:szCs w:val="32"/>
        </w:rPr>
        <w:t>一、抽样方法</w:t>
      </w:r>
    </w:p>
    <w:p>
      <w:pPr>
        <w:widowControl/>
        <w:spacing w:line="600" w:lineRule="exact"/>
        <w:ind w:firstLine="640" w:firstLineChars="200"/>
        <w:rPr>
          <w:kern w:val="0"/>
          <w:szCs w:val="32"/>
        </w:rPr>
      </w:pPr>
      <w:r>
        <w:rPr>
          <w:kern w:val="0"/>
          <w:szCs w:val="32"/>
        </w:rPr>
        <w:t>以随机抽样的方式在</w:t>
      </w:r>
      <w:r>
        <w:rPr>
          <w:rFonts w:hint="eastAsia"/>
          <w:kern w:val="0"/>
          <w:szCs w:val="32"/>
        </w:rPr>
        <w:t>被抽样经营者的待销产品中抽取。</w:t>
      </w:r>
    </w:p>
    <w:p>
      <w:pPr>
        <w:widowControl/>
        <w:spacing w:line="600" w:lineRule="exact"/>
        <w:ind w:firstLine="640" w:firstLineChars="200"/>
        <w:rPr>
          <w:kern w:val="0"/>
          <w:szCs w:val="32"/>
        </w:rPr>
      </w:pPr>
      <w:r>
        <w:rPr>
          <w:rFonts w:hint="eastAsia"/>
          <w:kern w:val="0"/>
          <w:szCs w:val="32"/>
        </w:rPr>
        <w:t>随机数一般可使用随机数表等方法产生。</w:t>
      </w:r>
    </w:p>
    <w:p>
      <w:pPr>
        <w:widowControl/>
        <w:spacing w:line="600" w:lineRule="exact"/>
        <w:ind w:firstLine="640" w:firstLineChars="200"/>
        <w:rPr>
          <w:kern w:val="0"/>
          <w:szCs w:val="32"/>
        </w:rPr>
      </w:pPr>
      <w:r>
        <w:rPr>
          <w:rFonts w:hint="eastAsia"/>
          <w:kern w:val="0"/>
          <w:szCs w:val="32"/>
        </w:rPr>
        <w:t>抽查数量：每款产品抽取2组样本，第1组用于检验，第2组用于备样。具体抽样数量如下：</w:t>
      </w: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410"/>
        <w:gridCol w:w="1630"/>
        <w:gridCol w:w="163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846"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2410"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产品名称</w:t>
            </w:r>
          </w:p>
        </w:tc>
        <w:tc>
          <w:tcPr>
            <w:tcW w:w="1630"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第1组数量</w:t>
            </w:r>
          </w:p>
        </w:tc>
        <w:tc>
          <w:tcPr>
            <w:tcW w:w="1630"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第2组数量</w:t>
            </w:r>
          </w:p>
        </w:tc>
        <w:tc>
          <w:tcPr>
            <w:tcW w:w="2126"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2410"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摩托车乘员头盔</w:t>
            </w:r>
          </w:p>
        </w:tc>
        <w:tc>
          <w:tcPr>
            <w:tcW w:w="1630"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1个</w:t>
            </w:r>
          </w:p>
        </w:tc>
        <w:tc>
          <w:tcPr>
            <w:tcW w:w="1630"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1个</w:t>
            </w:r>
          </w:p>
        </w:tc>
        <w:tc>
          <w:tcPr>
            <w:tcW w:w="2126" w:type="dxa"/>
          </w:tcPr>
          <w:p>
            <w:pPr>
              <w:pStyle w:val="24"/>
              <w:jc w:val="center"/>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2410"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电动自行车充电器</w:t>
            </w:r>
          </w:p>
        </w:tc>
        <w:tc>
          <w:tcPr>
            <w:tcW w:w="1630"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2个</w:t>
            </w:r>
          </w:p>
        </w:tc>
        <w:tc>
          <w:tcPr>
            <w:tcW w:w="1630"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1个</w:t>
            </w:r>
          </w:p>
        </w:tc>
        <w:tc>
          <w:tcPr>
            <w:tcW w:w="2126" w:type="dxa"/>
          </w:tcPr>
          <w:p>
            <w:pPr>
              <w:pStyle w:val="24"/>
              <w:jc w:val="center"/>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2410"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电动车动力电池</w:t>
            </w:r>
          </w:p>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（电动自行车锂离子电池）</w:t>
            </w:r>
          </w:p>
        </w:tc>
        <w:tc>
          <w:tcPr>
            <w:tcW w:w="1630"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2个</w:t>
            </w:r>
          </w:p>
        </w:tc>
        <w:tc>
          <w:tcPr>
            <w:tcW w:w="1630"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1个</w:t>
            </w:r>
          </w:p>
        </w:tc>
        <w:tc>
          <w:tcPr>
            <w:tcW w:w="2126" w:type="dxa"/>
            <w:vAlign w:val="center"/>
          </w:tcPr>
          <w:p>
            <w:pPr>
              <w:pStyle w:val="24"/>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需与受检单位确认电池“充电终止电压”和“放电终止电压”参数</w:t>
            </w:r>
          </w:p>
        </w:tc>
      </w:tr>
    </w:tbl>
    <w:p>
      <w:pPr>
        <w:widowControl/>
        <w:ind w:firstLine="640" w:firstLineChars="200"/>
        <w:jc w:val="left"/>
        <w:rPr>
          <w:rFonts w:eastAsia="黑体" w:cs="黑体"/>
          <w:color w:val="000000"/>
          <w:szCs w:val="32"/>
        </w:rPr>
      </w:pPr>
      <w:r>
        <w:rPr>
          <w:rFonts w:hint="eastAsia" w:eastAsia="黑体" w:cs="黑体"/>
          <w:color w:val="000000"/>
          <w:szCs w:val="32"/>
        </w:rPr>
        <w:t>二、主要检验项目及检验项目属性划分</w:t>
      </w:r>
    </w:p>
    <w:p>
      <w:pPr>
        <w:adjustRightInd w:val="0"/>
        <w:snapToGrid w:val="0"/>
        <w:spacing w:line="560" w:lineRule="exact"/>
        <w:ind w:firstLine="640"/>
        <w:rPr>
          <w:kern w:val="0"/>
          <w:szCs w:val="32"/>
        </w:rPr>
      </w:pPr>
      <w:r>
        <w:rPr>
          <w:rFonts w:hint="eastAsia"/>
          <w:kern w:val="0"/>
          <w:szCs w:val="32"/>
        </w:rPr>
        <w:t>（</w:t>
      </w:r>
      <w:r>
        <w:rPr>
          <w:kern w:val="0"/>
          <w:szCs w:val="32"/>
        </w:rPr>
        <w:t>1</w:t>
      </w:r>
      <w:r>
        <w:rPr>
          <w:rFonts w:hint="eastAsia"/>
          <w:kern w:val="0"/>
          <w:szCs w:val="32"/>
        </w:rPr>
        <w:t>）摩托车乘员头盔</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807"/>
        <w:gridCol w:w="1926"/>
        <w:gridCol w:w="771"/>
        <w:gridCol w:w="705"/>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1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1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结构-佩戴装置</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811-2010</w:t>
            </w:r>
          </w:p>
        </w:tc>
        <w:tc>
          <w:tcPr>
            <w:tcW w:w="771" w:type="dxa"/>
            <w:vAlign w:val="center"/>
          </w:tcPr>
          <w:p>
            <w:pPr>
              <w:jc w:val="cente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头盔视野</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811-2010</w:t>
            </w:r>
          </w:p>
        </w:tc>
        <w:tc>
          <w:tcPr>
            <w:tcW w:w="771" w:type="dxa"/>
            <w:vAlign w:val="center"/>
          </w:tcPr>
          <w:p>
            <w:pPr>
              <w:jc w:val="cente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头盔护目镜-冲击强度</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811-2010</w:t>
            </w:r>
          </w:p>
        </w:tc>
        <w:tc>
          <w:tcPr>
            <w:tcW w:w="771" w:type="dxa"/>
            <w:vAlign w:val="center"/>
          </w:tcPr>
          <w:p>
            <w:pPr>
              <w:jc w:val="cente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头盔护目镜-透过率</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811-2010</w:t>
            </w:r>
          </w:p>
        </w:tc>
        <w:tc>
          <w:tcPr>
            <w:tcW w:w="771" w:type="dxa"/>
            <w:vAlign w:val="center"/>
          </w:tcPr>
          <w:p>
            <w:pPr>
              <w:jc w:val="cente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固定装置稳定性</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811-2010</w:t>
            </w:r>
          </w:p>
        </w:tc>
        <w:tc>
          <w:tcPr>
            <w:tcW w:w="771" w:type="dxa"/>
            <w:vAlign w:val="center"/>
          </w:tcPr>
          <w:p>
            <w:pPr>
              <w:jc w:val="cente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头盔佩戴装置强度性能</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811-2010</w:t>
            </w:r>
          </w:p>
        </w:tc>
        <w:tc>
          <w:tcPr>
            <w:tcW w:w="771" w:type="dxa"/>
            <w:vAlign w:val="center"/>
          </w:tcPr>
          <w:p>
            <w:pPr>
              <w:jc w:val="cente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7</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头盔吸收碰撞能量性能（低温）</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811-2010</w:t>
            </w:r>
          </w:p>
        </w:tc>
        <w:tc>
          <w:tcPr>
            <w:tcW w:w="771" w:type="dxa"/>
            <w:vAlign w:val="center"/>
          </w:tcPr>
          <w:p>
            <w:pPr>
              <w:jc w:val="cente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8</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头盔耐穿透性能（低温）</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811-2010</w:t>
            </w:r>
          </w:p>
        </w:tc>
        <w:tc>
          <w:tcPr>
            <w:tcW w:w="771" w:type="dxa"/>
            <w:vAlign w:val="center"/>
          </w:tcPr>
          <w:p>
            <w:pPr>
              <w:jc w:val="center"/>
            </w:pPr>
            <w:r>
              <w:rPr>
                <w:rFonts w:ascii="仿宋_GB2312" w:hAnsi="仿宋_GB2312" w:cs="仿宋_GB2312"/>
                <w:bCs/>
                <w:sz w:val="24"/>
              </w:rPr>
              <w:t>●</w:t>
            </w:r>
          </w:p>
        </w:tc>
        <w:tc>
          <w:tcPr>
            <w:tcW w:w="705"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34" w:type="dxa"/>
            <w:gridSpan w:val="8"/>
            <w:vAlign w:val="center"/>
          </w:tcPr>
          <w:p>
            <w:pPr>
              <w:adjustRightInd w:val="0"/>
              <w:snapToGrid w:val="0"/>
              <w:spacing w:line="400" w:lineRule="exact"/>
              <w:rPr>
                <w:rFonts w:ascii="仿宋_GB2312" w:hAnsi="仿宋_GB2312" w:cs="仿宋_GB2312"/>
                <w:bCs/>
                <w:sz w:val="24"/>
              </w:rPr>
            </w:pPr>
            <w:r>
              <w:rPr>
                <w:rFonts w:ascii="仿宋_GB2312" w:hAnsi="仿宋_GB2312" w:cs="仿宋_GB2312"/>
                <w:bCs/>
                <w:sz w:val="24"/>
              </w:rPr>
              <w:t>注</w:t>
            </w:r>
            <w:r>
              <w:rPr>
                <w:rFonts w:hint="eastAsia" w:ascii="仿宋_GB2312" w:hAnsi="仿宋_GB2312" w:cs="仿宋_GB2312"/>
                <w:bCs/>
                <w:sz w:val="24"/>
              </w:rPr>
              <w:t>：</w:t>
            </w:r>
          </w:p>
          <w:p>
            <w:pPr>
              <w:adjustRightInd w:val="0"/>
              <w:snapToGrid w:val="0"/>
              <w:spacing w:line="400" w:lineRule="exact"/>
              <w:rPr>
                <w:rFonts w:ascii="宋体" w:hAnsi="宋体" w:eastAsia="宋体" w:cs="仿宋_GB2312"/>
                <w:szCs w:val="21"/>
              </w:rPr>
            </w:pPr>
            <w:r>
              <w:rPr>
                <w:rFonts w:ascii="仿宋_GB2312" w:hAnsi="仿宋_GB2312" w:cs="仿宋_GB2312"/>
                <w:bCs/>
                <w:sz w:val="24"/>
              </w:rPr>
              <w:t>1</w:t>
            </w:r>
            <w:r>
              <w:rPr>
                <w:rFonts w:hint="eastAsia" w:ascii="仿宋_GB2312" w:hAnsi="仿宋_GB2312" w:cs="仿宋_GB2312"/>
                <w:bCs/>
                <w:sz w:val="24"/>
              </w:rPr>
              <w:t>.</w:t>
            </w:r>
            <w:r>
              <w:rPr>
                <w:rFonts w:ascii="仿宋_GB2312" w:hAnsi="仿宋_GB2312" w:cs="仿宋_GB2312"/>
                <w:bCs/>
                <w:sz w:val="24"/>
              </w:rPr>
              <w:t>按检验项目顺序进行检测。</w:t>
            </w:r>
            <w:r>
              <w:rPr>
                <w:rFonts w:ascii="仿宋_GB2312" w:hAnsi="仿宋_GB2312" w:cs="仿宋_GB2312"/>
                <w:bCs/>
                <w:sz w:val="24"/>
              </w:rPr>
              <w:br w:type="textWrapping"/>
            </w:r>
            <w:r>
              <w:rPr>
                <w:rFonts w:ascii="仿宋_GB2312" w:hAnsi="仿宋_GB2312" w:cs="仿宋_GB2312"/>
                <w:bCs/>
                <w:sz w:val="24"/>
              </w:rPr>
              <w:t>2</w:t>
            </w:r>
            <w:r>
              <w:rPr>
                <w:rFonts w:hint="eastAsia" w:ascii="仿宋_GB2312" w:hAnsi="仿宋_GB2312" w:cs="仿宋_GB2312"/>
                <w:bCs/>
                <w:sz w:val="24"/>
              </w:rPr>
              <w:t>.</w:t>
            </w:r>
            <w:r>
              <w:rPr>
                <w:rFonts w:ascii="仿宋_GB2312" w:hAnsi="仿宋_GB2312" w:cs="仿宋_GB2312"/>
                <w:bCs/>
                <w:sz w:val="24"/>
              </w:rPr>
              <w:t>样品在实施头盔吸收碰撞能量性能（低温）、头盔耐穿透性能（低温）项目时应符合GB</w:t>
            </w:r>
            <w:r>
              <w:rPr>
                <w:rFonts w:ascii="Calibri" w:hAnsi="Calibri" w:cs="Calibri"/>
                <w:bCs/>
                <w:sz w:val="24"/>
              </w:rPr>
              <w:t> </w:t>
            </w:r>
            <w:r>
              <w:rPr>
                <w:rFonts w:ascii="仿宋_GB2312" w:hAnsi="仿宋_GB2312" w:cs="仿宋_GB2312"/>
                <w:bCs/>
                <w:sz w:val="24"/>
              </w:rPr>
              <w:t>811-2010</w:t>
            </w:r>
            <w:r>
              <w:rPr>
                <w:rFonts w:ascii="Calibri" w:hAnsi="Calibri" w:cs="Calibri"/>
                <w:bCs/>
                <w:sz w:val="24"/>
              </w:rPr>
              <w:t> </w:t>
            </w:r>
            <w:r>
              <w:rPr>
                <w:rFonts w:ascii="仿宋_GB2312" w:hAnsi="仿宋_GB2312" w:cs="仿宋_GB2312"/>
                <w:bCs/>
                <w:sz w:val="24"/>
              </w:rPr>
              <w:t>4.1.2</w:t>
            </w:r>
            <w:r>
              <w:rPr>
                <w:rFonts w:ascii="Calibri" w:hAnsi="Calibri" w:cs="Calibri"/>
                <w:bCs/>
                <w:sz w:val="24"/>
              </w:rPr>
              <w:t> </w:t>
            </w:r>
            <w:r>
              <w:rPr>
                <w:rFonts w:ascii="仿宋_GB2312" w:hAnsi="仿宋_GB2312" w:cs="仿宋_GB2312"/>
                <w:bCs/>
                <w:sz w:val="24"/>
              </w:rPr>
              <w:t>c)的要求。</w:t>
            </w:r>
            <w:r>
              <w:rPr>
                <w:rFonts w:ascii="仿宋_GB2312" w:hAnsi="仿宋_GB2312" w:cs="仿宋_GB2312"/>
                <w:bCs/>
                <w:sz w:val="24"/>
              </w:rPr>
              <w:br w:type="textWrapping"/>
            </w:r>
            <w:r>
              <w:rPr>
                <w:rFonts w:ascii="仿宋_GB2312" w:hAnsi="仿宋_GB2312" w:cs="仿宋_GB2312"/>
                <w:bCs/>
                <w:sz w:val="24"/>
              </w:rPr>
              <w:t>3</w:t>
            </w:r>
            <w:r>
              <w:rPr>
                <w:rFonts w:hint="eastAsia" w:ascii="仿宋_GB2312" w:hAnsi="仿宋_GB2312" w:cs="仿宋_GB2312"/>
                <w:bCs/>
                <w:sz w:val="24"/>
              </w:rPr>
              <w:t>.</w:t>
            </w:r>
            <w:r>
              <w:rPr>
                <w:rFonts w:ascii="仿宋_GB2312" w:hAnsi="仿宋_GB2312" w:cs="仿宋_GB2312"/>
                <w:bCs/>
                <w:sz w:val="24"/>
              </w:rPr>
              <w:t>对于配有护目镜的头盔，进行头盔护目镜项目的检验，反之则不进行该项检验。</w:t>
            </w:r>
            <w:r>
              <w:rPr>
                <w:rFonts w:ascii="仿宋_GB2312" w:hAnsi="仿宋_GB2312" w:cs="仿宋_GB2312"/>
                <w:bCs/>
                <w:sz w:val="24"/>
              </w:rPr>
              <w:br w:type="textWrapping"/>
            </w:r>
            <w:r>
              <w:rPr>
                <w:rFonts w:ascii="仿宋_GB2312" w:hAnsi="仿宋_GB2312" w:cs="仿宋_GB2312"/>
                <w:bCs/>
                <w:sz w:val="24"/>
              </w:rPr>
              <w:t>4</w:t>
            </w:r>
            <w:r>
              <w:rPr>
                <w:rFonts w:hint="eastAsia" w:ascii="仿宋_GB2312" w:hAnsi="仿宋_GB2312" w:cs="仿宋_GB2312"/>
                <w:bCs/>
                <w:sz w:val="24"/>
              </w:rPr>
              <w:t>.</w:t>
            </w:r>
            <w:r>
              <w:rPr>
                <w:rFonts w:ascii="仿宋_GB2312" w:hAnsi="仿宋_GB2312" w:cs="仿宋_GB2312"/>
                <w:bCs/>
                <w:sz w:val="24"/>
              </w:rPr>
              <w:t>头盔耐穿透性能（低温）项目应在头盔吸收碰撞能量性能（低温）项目检测完毕后立即进行。头盔耐穿透性能（低温）试验中，头盔壳体材料为工程塑料（ABS）的，穿刺点为中心、半径≤3cm的细小裂缝，不属于裂口。</w:t>
            </w:r>
            <w:r>
              <w:rPr>
                <w:rFonts w:ascii="仿宋_GB2312" w:hAnsi="仿宋_GB2312" w:cs="仿宋_GB2312"/>
                <w:bCs/>
                <w:sz w:val="24"/>
              </w:rPr>
              <w:br w:type="textWrapping"/>
            </w:r>
            <w:r>
              <w:rPr>
                <w:rFonts w:ascii="仿宋_GB2312" w:hAnsi="仿宋_GB2312" w:cs="仿宋_GB2312"/>
                <w:bCs/>
                <w:sz w:val="24"/>
              </w:rPr>
              <w:t>5</w:t>
            </w:r>
            <w:r>
              <w:rPr>
                <w:rFonts w:hint="eastAsia" w:ascii="仿宋_GB2312" w:hAnsi="仿宋_GB2312" w:cs="仿宋_GB2312"/>
                <w:bCs/>
                <w:sz w:val="24"/>
              </w:rPr>
              <w:t>.</w:t>
            </w:r>
            <w:r>
              <w:rPr>
                <w:rFonts w:ascii="仿宋_GB2312" w:hAnsi="仿宋_GB2312" w:cs="仿宋_GB2312"/>
                <w:bCs/>
                <w:sz w:val="24"/>
              </w:rPr>
              <w:t>头盔吸收碰撞能量性能（低温）和头盔耐穿透性能（低温）试验中，头盔壳体材料为多层复合材料的，裂口未能贯穿整个壳体、直达缓冲层的，不属于裂口。</w:t>
            </w:r>
            <w:r>
              <w:rPr>
                <w:rFonts w:ascii="仿宋_GB2312" w:hAnsi="仿宋_GB2312" w:cs="仿宋_GB2312"/>
                <w:bCs/>
                <w:sz w:val="24"/>
              </w:rPr>
              <w:br w:type="textWrapping"/>
            </w:r>
            <w:r>
              <w:rPr>
                <w:rFonts w:ascii="仿宋_GB2312" w:hAnsi="仿宋_GB2312" w:cs="仿宋_GB2312"/>
                <w:bCs/>
                <w:sz w:val="24"/>
              </w:rPr>
              <w:t>6.若某一检验项目出现不合格后，所有检验样品均已失效而未能进行后续项目的检验，应判定产品该检验项目不合格，并在检验报告中备注未进行检验的后续项目情况。产品若进行复检，应将后续项目作为关联项目一起复检。</w:t>
            </w:r>
            <w:r>
              <w:rPr>
                <w:rFonts w:ascii="仿宋_GB2312" w:hAnsi="仿宋_GB2312" w:cs="仿宋_GB2312"/>
                <w:bCs/>
                <w:sz w:val="24"/>
              </w:rPr>
              <w:br w:type="textWrapping"/>
            </w:r>
            <w:r>
              <w:rPr>
                <w:rFonts w:ascii="仿宋_GB2312" w:hAnsi="仿宋_GB2312" w:cs="仿宋_GB2312"/>
                <w:bCs/>
                <w:sz w:val="24"/>
              </w:rPr>
              <w:t>7</w:t>
            </w:r>
            <w:r>
              <w:rPr>
                <w:rFonts w:hint="eastAsia" w:ascii="仿宋_GB2312" w:hAnsi="仿宋_GB2312" w:cs="仿宋_GB2312"/>
                <w:bCs/>
                <w:sz w:val="24"/>
              </w:rPr>
              <w:t>.</w:t>
            </w:r>
            <w:r>
              <w:rPr>
                <w:rFonts w:ascii="仿宋_GB2312" w:hAnsi="仿宋_GB2312" w:cs="仿宋_GB2312"/>
                <w:bCs/>
                <w:sz w:val="24"/>
              </w:rPr>
              <w:t>头盔耐穿透性能（低温）项目出现不合格需要进行复检时，应进行头盔吸收碰撞能量性能（低温）、头盔耐穿透性能（低温）两项试验。</w:t>
            </w:r>
          </w:p>
        </w:tc>
      </w:tr>
    </w:tbl>
    <w:p>
      <w:pPr>
        <w:adjustRightInd w:val="0"/>
        <w:snapToGrid w:val="0"/>
        <w:spacing w:line="560" w:lineRule="exact"/>
        <w:ind w:firstLine="640"/>
        <w:rPr>
          <w:kern w:val="0"/>
          <w:szCs w:val="32"/>
        </w:rPr>
      </w:pPr>
      <w:r>
        <w:rPr>
          <w:rFonts w:hint="eastAsia"/>
          <w:kern w:val="0"/>
          <w:szCs w:val="32"/>
        </w:rPr>
        <w:t>（2）电动自行车充电器</w:t>
      </w:r>
    </w:p>
    <w:tbl>
      <w:tblPr>
        <w:tblStyle w:val="8"/>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64"/>
        <w:gridCol w:w="2069"/>
        <w:gridCol w:w="766"/>
        <w:gridCol w:w="710"/>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16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66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对触及带电部件的防护</w:t>
            </w:r>
          </w:p>
        </w:tc>
        <w:tc>
          <w:tcPr>
            <w:tcW w:w="2069"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 xml:space="preserve">GB4706.1-2005、GB4706.18-2014 </w:t>
            </w:r>
          </w:p>
        </w:tc>
        <w:tc>
          <w:tcPr>
            <w:tcW w:w="766"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66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输入功率和电流</w:t>
            </w:r>
          </w:p>
        </w:tc>
        <w:tc>
          <w:tcPr>
            <w:tcW w:w="2069"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GB4706.1-2005、GB4706.18-2014</w:t>
            </w:r>
          </w:p>
        </w:tc>
        <w:tc>
          <w:tcPr>
            <w:tcW w:w="766"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166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发热</w:t>
            </w:r>
          </w:p>
        </w:tc>
        <w:tc>
          <w:tcPr>
            <w:tcW w:w="2069"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GB4706.1-2005、GB4706.18-2014</w:t>
            </w:r>
          </w:p>
        </w:tc>
        <w:tc>
          <w:tcPr>
            <w:tcW w:w="766"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166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工作温度下的泄漏电流和电气强度</w:t>
            </w:r>
          </w:p>
        </w:tc>
        <w:tc>
          <w:tcPr>
            <w:tcW w:w="2069"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GB4706.1-2005、GB4706.18-2014</w:t>
            </w:r>
          </w:p>
        </w:tc>
        <w:tc>
          <w:tcPr>
            <w:tcW w:w="766"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166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结构</w:t>
            </w:r>
          </w:p>
        </w:tc>
        <w:tc>
          <w:tcPr>
            <w:tcW w:w="2069"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GB4706.1-2005、GB4706.18-2014</w:t>
            </w:r>
          </w:p>
        </w:tc>
        <w:tc>
          <w:tcPr>
            <w:tcW w:w="766"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w:t>
            </w:r>
          </w:p>
        </w:tc>
        <w:tc>
          <w:tcPr>
            <w:tcW w:w="166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电气间隙、爬电距离和固体绝缘</w:t>
            </w:r>
          </w:p>
        </w:tc>
        <w:tc>
          <w:tcPr>
            <w:tcW w:w="2069"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GB4706.1-2005、GB4706.18-2014</w:t>
            </w:r>
          </w:p>
        </w:tc>
        <w:tc>
          <w:tcPr>
            <w:tcW w:w="766"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10" w:type="dxa"/>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34" w:type="dxa"/>
            <w:gridSpan w:val="8"/>
            <w:vAlign w:val="center"/>
          </w:tcPr>
          <w:p>
            <w:pPr>
              <w:adjustRightInd w:val="0"/>
              <w:snapToGrid w:val="0"/>
              <w:spacing w:line="400" w:lineRule="exact"/>
              <w:rPr>
                <w:rFonts w:ascii="宋体" w:hAnsi="宋体" w:eastAsia="宋体" w:cs="仿宋_GB2312"/>
                <w:szCs w:val="21"/>
              </w:rPr>
            </w:pPr>
            <w:r>
              <w:rPr>
                <w:rFonts w:hint="eastAsia" w:ascii="仿宋_GB2312" w:hAnsi="仿宋_GB2312" w:cs="仿宋_GB2312"/>
                <w:bCs/>
                <w:sz w:val="24"/>
              </w:rPr>
              <w:t>注：若电源输出为安全特低电压或产品明示符合GB4706.18-2014标准，依据GB 4706.18-2014标准检测；否则，只依据GB 4706.1-2005标准检测。</w:t>
            </w:r>
          </w:p>
        </w:tc>
      </w:tr>
    </w:tbl>
    <w:p>
      <w:pPr>
        <w:adjustRightInd w:val="0"/>
        <w:snapToGrid w:val="0"/>
        <w:spacing w:line="560" w:lineRule="exact"/>
        <w:ind w:firstLine="640"/>
        <w:rPr>
          <w:kern w:val="0"/>
          <w:szCs w:val="32"/>
        </w:rPr>
      </w:pPr>
      <w:r>
        <w:rPr>
          <w:rFonts w:hint="eastAsia"/>
          <w:kern w:val="0"/>
          <w:szCs w:val="32"/>
        </w:rPr>
        <w:t>（</w:t>
      </w:r>
      <w:r>
        <w:rPr>
          <w:kern w:val="0"/>
          <w:szCs w:val="32"/>
        </w:rPr>
        <w:t>3</w:t>
      </w:r>
      <w:r>
        <w:rPr>
          <w:rFonts w:hint="eastAsia"/>
          <w:kern w:val="0"/>
          <w:szCs w:val="32"/>
        </w:rPr>
        <w:t>）电动车动力电池（电动自行车锂离子电池）</w:t>
      </w:r>
    </w:p>
    <w:tbl>
      <w:tblPr>
        <w:tblStyle w:val="8"/>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64"/>
        <w:gridCol w:w="2069"/>
        <w:gridCol w:w="766"/>
        <w:gridCol w:w="710"/>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16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66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I2（A）放电</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 xml:space="preserve">GB/T 36972-2018 </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jc w:val="center"/>
            </w:pPr>
            <w:r>
              <w:rPr>
                <w:rFonts w:ascii="仿宋_GB2312" w:hAnsi="仿宋_GB2312" w:cs="仿宋_GB2312"/>
                <w:bCs/>
                <w:sz w:val="24"/>
              </w:rPr>
              <w:t>●</w:t>
            </w: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66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过充电</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 xml:space="preserve">GB/T 36972-2018 </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jc w:val="center"/>
            </w:pPr>
            <w:r>
              <w:rPr>
                <w:rFonts w:ascii="仿宋_GB2312" w:hAnsi="仿宋_GB2312" w:cs="仿宋_GB2312"/>
                <w:bCs/>
                <w:sz w:val="24"/>
              </w:rPr>
              <w:t>●</w:t>
            </w: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166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外部短路</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 xml:space="preserve">GB/T 36972-2018 </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jc w:val="center"/>
            </w:pPr>
            <w:r>
              <w:rPr>
                <w:rFonts w:ascii="仿宋_GB2312" w:hAnsi="仿宋_GB2312" w:cs="仿宋_GB2312"/>
                <w:bCs/>
                <w:sz w:val="24"/>
              </w:rPr>
              <w:t>●</w:t>
            </w: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bl>
    <w:p>
      <w:pPr>
        <w:adjustRightInd w:val="0"/>
        <w:snapToGrid w:val="0"/>
        <w:spacing w:line="600" w:lineRule="exact"/>
        <w:ind w:firstLine="640" w:firstLineChars="200"/>
        <w:rPr>
          <w:rFonts w:eastAsia="黑体" w:cs="黑体"/>
          <w:color w:val="000000"/>
          <w:szCs w:val="32"/>
        </w:rPr>
      </w:pPr>
      <w:r>
        <w:rPr>
          <w:rFonts w:hint="eastAsia" w:eastAsia="黑体" w:cs="黑体"/>
          <w:color w:val="000000"/>
          <w:szCs w:val="32"/>
        </w:rPr>
        <w:t>三、判定规则</w:t>
      </w:r>
    </w:p>
    <w:p>
      <w:pPr>
        <w:spacing w:line="590" w:lineRule="exact"/>
        <w:ind w:firstLine="640" w:firstLineChars="200"/>
        <w:rPr>
          <w:rFonts w:eastAsia="方正小标宋简体" w:cs="方正小标宋简体"/>
          <w:color w:val="000000"/>
          <w:sz w:val="44"/>
          <w:szCs w:val="44"/>
        </w:rPr>
      </w:pPr>
      <w:r>
        <w:rPr>
          <w:rFonts w:hint="eastAsia" w:eastAsia="楷体_GB2312" w:cs="楷体_GB2312"/>
          <w:color w:val="000000"/>
          <w:szCs w:val="32"/>
        </w:rPr>
        <w:t>（一）依据标准</w:t>
      </w:r>
    </w:p>
    <w:p>
      <w:pPr>
        <w:widowControl/>
        <w:adjustRightInd w:val="0"/>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GB 811-2010</w:t>
      </w:r>
      <w:r>
        <w:rPr>
          <w:rFonts w:ascii="仿宋_GB2312" w:hAnsi="仿宋_GB2312" w:cs="仿宋_GB2312"/>
          <w:szCs w:val="32"/>
        </w:rPr>
        <w:t xml:space="preserve"> </w:t>
      </w:r>
      <w:r>
        <w:rPr>
          <w:rFonts w:hint="eastAsia" w:ascii="仿宋_GB2312" w:hAnsi="仿宋_GB2312" w:cs="仿宋_GB2312"/>
          <w:szCs w:val="32"/>
        </w:rPr>
        <w:t>《摩托车乘员头盔》</w:t>
      </w:r>
    </w:p>
    <w:p>
      <w:pPr>
        <w:widowControl/>
        <w:adjustRightInd w:val="0"/>
        <w:snapToGrid w:val="0"/>
        <w:spacing w:line="520" w:lineRule="exact"/>
        <w:ind w:firstLine="640" w:firstLineChars="200"/>
        <w:rPr>
          <w:rFonts w:ascii="仿宋_GB2312" w:hAnsi="仿宋_GB2312" w:cs="仿宋_GB2312"/>
          <w:szCs w:val="32"/>
        </w:rPr>
      </w:pPr>
      <w:r>
        <w:rPr>
          <w:rFonts w:ascii="仿宋_GB2312" w:hAnsi="仿宋_GB2312" w:cs="仿宋_GB2312"/>
          <w:szCs w:val="32"/>
        </w:rPr>
        <w:t>GB</w:t>
      </w:r>
      <w:r>
        <w:rPr>
          <w:rFonts w:hint="eastAsia" w:ascii="仿宋_GB2312" w:hAnsi="仿宋_GB2312" w:cs="仿宋_GB2312"/>
          <w:szCs w:val="32"/>
        </w:rPr>
        <w:t xml:space="preserve"> </w:t>
      </w:r>
      <w:r>
        <w:rPr>
          <w:rFonts w:ascii="仿宋_GB2312" w:hAnsi="仿宋_GB2312" w:cs="仿宋_GB2312"/>
          <w:szCs w:val="32"/>
        </w:rPr>
        <w:t xml:space="preserve">4706.1-2005 </w:t>
      </w:r>
      <w:r>
        <w:rPr>
          <w:rFonts w:hint="eastAsia" w:ascii="仿宋_GB2312" w:hAnsi="仿宋_GB2312" w:cs="仿宋_GB2312"/>
          <w:szCs w:val="32"/>
        </w:rPr>
        <w:t>《家用和类似用途电器的安全 第1部分：通用要求》</w:t>
      </w:r>
    </w:p>
    <w:p>
      <w:pPr>
        <w:widowControl/>
        <w:adjustRightInd w:val="0"/>
        <w:snapToGrid w:val="0"/>
        <w:spacing w:line="520" w:lineRule="exact"/>
        <w:ind w:firstLine="640" w:firstLineChars="200"/>
        <w:rPr>
          <w:rFonts w:ascii="仿宋_GB2312" w:hAnsi="仿宋_GB2312" w:cs="仿宋_GB2312"/>
          <w:szCs w:val="32"/>
        </w:rPr>
      </w:pPr>
      <w:r>
        <w:rPr>
          <w:rFonts w:ascii="仿宋_GB2312" w:hAnsi="仿宋_GB2312" w:cs="仿宋_GB2312"/>
          <w:szCs w:val="32"/>
        </w:rPr>
        <w:t>GB</w:t>
      </w:r>
      <w:r>
        <w:rPr>
          <w:rFonts w:hint="eastAsia" w:ascii="仿宋_GB2312" w:hAnsi="仿宋_GB2312" w:cs="仿宋_GB2312"/>
          <w:szCs w:val="32"/>
        </w:rPr>
        <w:t xml:space="preserve"> </w:t>
      </w:r>
      <w:r>
        <w:rPr>
          <w:rFonts w:ascii="仿宋_GB2312" w:hAnsi="仿宋_GB2312" w:cs="仿宋_GB2312"/>
          <w:szCs w:val="32"/>
        </w:rPr>
        <w:t xml:space="preserve">4706.18-2014 </w:t>
      </w:r>
      <w:r>
        <w:rPr>
          <w:rFonts w:hint="eastAsia" w:ascii="仿宋_GB2312" w:hAnsi="仿宋_GB2312" w:cs="仿宋_GB2312"/>
          <w:szCs w:val="32"/>
        </w:rPr>
        <w:t>《家用和类似用途电器的安全 电池充电器的特殊要求》</w:t>
      </w:r>
    </w:p>
    <w:p>
      <w:pPr>
        <w:widowControl/>
        <w:adjustRightInd w:val="0"/>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GB/T 36972-2018《电动自行车锂离子电池》</w:t>
      </w:r>
    </w:p>
    <w:p>
      <w:pPr>
        <w:pStyle w:val="6"/>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现行有效的企业标准、团体标准、地方标准及产品明示质量要求</w:t>
      </w:r>
    </w:p>
    <w:p>
      <w:pPr>
        <w:adjustRightInd w:val="0"/>
        <w:snapToGrid w:val="0"/>
        <w:spacing w:line="600" w:lineRule="exact"/>
        <w:ind w:firstLine="640" w:firstLineChars="200"/>
        <w:rPr>
          <w:rFonts w:eastAsia="楷体_GB2312" w:cs="楷体_GB2312"/>
          <w:color w:val="000000"/>
          <w:szCs w:val="32"/>
        </w:rPr>
      </w:pPr>
      <w:r>
        <w:rPr>
          <w:rFonts w:hint="eastAsia" w:eastAsia="楷体_GB2312" w:cs="楷体_GB2312"/>
          <w:color w:val="000000"/>
          <w:szCs w:val="32"/>
        </w:rPr>
        <w:t>（二）判定原则</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经检验，检验项目全部合格，判定为抽取的样本所检项目未检出不合格；检验项目中任一项或一项以上不合格，判定为被抽查产品不合格。</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当被检样品明示的质量要求优于监督抽查实施细则中依据的标准要求时，应按被检样品明示的质量要求判定；</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当被检样品明示的质量要求劣于或不包含监督抽查实施细则中依据的强制性标准要求时，应按照强制性标准要求判定；</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当被检样品明示的质量要求不包含监督抽查实施细则中依据的推荐性标准要求时，该指标不参与判定，但应在检验报告中作出说明；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当被检样品未能提供有效的企业标准时，按相关国家或行业标准进行判定；</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按照产品质量相关法律法规的规定判定。</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检验中发现因样品失效或者其他原因致使检验无法进行的，检验人员应如实记录，并提供相关证明材料，报送组织监督抽查的市场监管部门。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148" w:firstLine="0"/>
      </w:pPr>
      <w:rPr>
        <w:rFonts w:hint="default" w:ascii="Times New Roman" w:hAnsi="Times New Roman"/>
        <w:b/>
        <w:i w:val="0"/>
        <w:sz w:val="21"/>
      </w:rPr>
    </w:lvl>
    <w:lvl w:ilvl="1" w:tentative="0">
      <w:start w:val="1"/>
      <w:numFmt w:val="decimal"/>
      <w:suff w:val="nothing"/>
      <w:lvlText w:val="%1%2　"/>
      <w:lvlJc w:val="left"/>
      <w:pPr>
        <w:ind w:left="1708" w:firstLine="0"/>
      </w:pPr>
      <w:rPr>
        <w:rFonts w:hint="eastAsia" w:ascii="黑体" w:hAnsi="Times New Roman" w:eastAsia="黑体"/>
        <w:b w:val="0"/>
        <w:i w:val="0"/>
        <w:sz w:val="21"/>
      </w:rPr>
    </w:lvl>
    <w:lvl w:ilvl="2" w:tentative="0">
      <w:start w:val="1"/>
      <w:numFmt w:val="decimal"/>
      <w:pStyle w:val="16"/>
      <w:suff w:val="nothing"/>
      <w:lvlText w:val="%1%2.%3　"/>
      <w:lvlJc w:val="left"/>
      <w:pPr>
        <w:ind w:left="716" w:firstLine="0"/>
      </w:pPr>
      <w:rPr>
        <w:rFonts w:hint="eastAsia" w:ascii="黑体" w:hAnsi="Times New Roman" w:eastAsia="黑体" w:cs="Times New Roman"/>
        <w:b w:val="0"/>
      </w:rPr>
    </w:lvl>
    <w:lvl w:ilvl="3" w:tentative="0">
      <w:start w:val="1"/>
      <w:numFmt w:val="decimal"/>
      <w:isLgl/>
      <w:suff w:val="nothing"/>
      <w:lvlText w:val="%2%1.%3.%4　"/>
      <w:lvlJc w:val="left"/>
      <w:pPr>
        <w:ind w:left="2269" w:firstLine="0"/>
      </w:pPr>
      <w:rPr>
        <w:rFonts w:hint="eastAsia" w:ascii="黑体" w:hAnsi="Times New Roman" w:eastAsia="黑体"/>
        <w:b w:val="0"/>
        <w:i w:val="0"/>
        <w:sz w:val="21"/>
      </w:rPr>
    </w:lvl>
    <w:lvl w:ilvl="4" w:tentative="0">
      <w:start w:val="1"/>
      <w:numFmt w:val="decimal"/>
      <w:suff w:val="nothing"/>
      <w:lvlText w:val="%1%2.%3.%4.%5　"/>
      <w:lvlJc w:val="left"/>
      <w:pPr>
        <w:ind w:left="1141" w:firstLine="0"/>
      </w:pPr>
      <w:rPr>
        <w:rFonts w:hint="eastAsia" w:ascii="黑体" w:hAnsi="Times New Roman" w:eastAsia="黑体"/>
        <w:b w:val="0"/>
        <w:i w:val="0"/>
        <w:sz w:val="21"/>
      </w:rPr>
    </w:lvl>
    <w:lvl w:ilvl="5" w:tentative="0">
      <w:start w:val="1"/>
      <w:numFmt w:val="decimal"/>
      <w:suff w:val="nothing"/>
      <w:lvlText w:val="%1%2.%3.%4.%5.%6　"/>
      <w:lvlJc w:val="left"/>
      <w:pPr>
        <w:ind w:left="148" w:firstLine="0"/>
      </w:pPr>
      <w:rPr>
        <w:rFonts w:hint="eastAsia" w:ascii="黑体" w:hAnsi="Times New Roman" w:eastAsia="黑体"/>
        <w:b w:val="0"/>
        <w:i w:val="0"/>
        <w:sz w:val="21"/>
      </w:rPr>
    </w:lvl>
    <w:lvl w:ilvl="6" w:tentative="0">
      <w:start w:val="1"/>
      <w:numFmt w:val="decimal"/>
      <w:suff w:val="nothing"/>
      <w:lvlText w:val="%1%2.%3.%4.%5.%6.%7　"/>
      <w:lvlJc w:val="left"/>
      <w:pPr>
        <w:ind w:left="148" w:firstLine="0"/>
      </w:pPr>
      <w:rPr>
        <w:rFonts w:hint="eastAsia" w:ascii="黑体" w:hAnsi="Times New Roman" w:eastAsia="黑体"/>
        <w:b w:val="0"/>
        <w:i w:val="0"/>
        <w:sz w:val="21"/>
      </w:rPr>
    </w:lvl>
    <w:lvl w:ilvl="7" w:tentative="0">
      <w:start w:val="1"/>
      <w:numFmt w:val="decimal"/>
      <w:lvlText w:val="%1.%2.%3.%4.%5.%6.%7.%8"/>
      <w:lvlJc w:val="left"/>
      <w:pPr>
        <w:tabs>
          <w:tab w:val="left" w:pos="4499"/>
        </w:tabs>
        <w:ind w:left="4117" w:hanging="1418"/>
      </w:pPr>
      <w:rPr>
        <w:rFonts w:hint="eastAsia"/>
      </w:rPr>
    </w:lvl>
    <w:lvl w:ilvl="8" w:tentative="0">
      <w:start w:val="1"/>
      <w:numFmt w:val="decimal"/>
      <w:lvlText w:val="%1.%2.%3.%4.%5.%6.%7.%8.%9"/>
      <w:lvlJc w:val="left"/>
      <w:pPr>
        <w:tabs>
          <w:tab w:val="left" w:pos="4925"/>
        </w:tabs>
        <w:ind w:left="4825"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CE"/>
    <w:rsid w:val="0000577C"/>
    <w:rsid w:val="00012D99"/>
    <w:rsid w:val="00025460"/>
    <w:rsid w:val="00032E8F"/>
    <w:rsid w:val="00044860"/>
    <w:rsid w:val="00064400"/>
    <w:rsid w:val="00066872"/>
    <w:rsid w:val="00067E3B"/>
    <w:rsid w:val="00071293"/>
    <w:rsid w:val="00071DB1"/>
    <w:rsid w:val="00072261"/>
    <w:rsid w:val="000754C4"/>
    <w:rsid w:val="0008211E"/>
    <w:rsid w:val="000908DF"/>
    <w:rsid w:val="000A1EB3"/>
    <w:rsid w:val="000B19EE"/>
    <w:rsid w:val="000B7A06"/>
    <w:rsid w:val="000D00DC"/>
    <w:rsid w:val="000D5D13"/>
    <w:rsid w:val="000E5072"/>
    <w:rsid w:val="000F1ADB"/>
    <w:rsid w:val="000F2148"/>
    <w:rsid w:val="00107527"/>
    <w:rsid w:val="00111F61"/>
    <w:rsid w:val="00135333"/>
    <w:rsid w:val="0016504F"/>
    <w:rsid w:val="00170E49"/>
    <w:rsid w:val="001724AF"/>
    <w:rsid w:val="001759C5"/>
    <w:rsid w:val="00180BC7"/>
    <w:rsid w:val="00185692"/>
    <w:rsid w:val="001936FE"/>
    <w:rsid w:val="001A4CB4"/>
    <w:rsid w:val="001A7686"/>
    <w:rsid w:val="001B4569"/>
    <w:rsid w:val="001C1E9D"/>
    <w:rsid w:val="001E1DB2"/>
    <w:rsid w:val="001E6192"/>
    <w:rsid w:val="001F1F39"/>
    <w:rsid w:val="00202EC3"/>
    <w:rsid w:val="00220EA1"/>
    <w:rsid w:val="00223B8B"/>
    <w:rsid w:val="00223B8C"/>
    <w:rsid w:val="00226EC2"/>
    <w:rsid w:val="00232502"/>
    <w:rsid w:val="00233310"/>
    <w:rsid w:val="00234560"/>
    <w:rsid w:val="00236393"/>
    <w:rsid w:val="00274C13"/>
    <w:rsid w:val="00290763"/>
    <w:rsid w:val="00295C46"/>
    <w:rsid w:val="002B20CE"/>
    <w:rsid w:val="002B31C6"/>
    <w:rsid w:val="002C106D"/>
    <w:rsid w:val="002D2561"/>
    <w:rsid w:val="002E2AEA"/>
    <w:rsid w:val="002E78D6"/>
    <w:rsid w:val="002F300F"/>
    <w:rsid w:val="002F3C7A"/>
    <w:rsid w:val="002F4DC2"/>
    <w:rsid w:val="002F6589"/>
    <w:rsid w:val="00300EF2"/>
    <w:rsid w:val="00312715"/>
    <w:rsid w:val="003163B8"/>
    <w:rsid w:val="003533AC"/>
    <w:rsid w:val="003555B6"/>
    <w:rsid w:val="00356D3D"/>
    <w:rsid w:val="0036316E"/>
    <w:rsid w:val="00364BAE"/>
    <w:rsid w:val="00372B27"/>
    <w:rsid w:val="0037537B"/>
    <w:rsid w:val="003B0AA4"/>
    <w:rsid w:val="003B2A51"/>
    <w:rsid w:val="003C1D8D"/>
    <w:rsid w:val="003C683E"/>
    <w:rsid w:val="003C6C3A"/>
    <w:rsid w:val="003D3E2C"/>
    <w:rsid w:val="003D3E95"/>
    <w:rsid w:val="003D5839"/>
    <w:rsid w:val="003E379B"/>
    <w:rsid w:val="003E45E0"/>
    <w:rsid w:val="003F0BA8"/>
    <w:rsid w:val="003F26DE"/>
    <w:rsid w:val="003F56BC"/>
    <w:rsid w:val="0040094E"/>
    <w:rsid w:val="004052AF"/>
    <w:rsid w:val="00410634"/>
    <w:rsid w:val="00417709"/>
    <w:rsid w:val="00417A02"/>
    <w:rsid w:val="0042595A"/>
    <w:rsid w:val="00454730"/>
    <w:rsid w:val="004609A3"/>
    <w:rsid w:val="00470A2D"/>
    <w:rsid w:val="004814D7"/>
    <w:rsid w:val="00491A01"/>
    <w:rsid w:val="00497EC5"/>
    <w:rsid w:val="004A603E"/>
    <w:rsid w:val="004E6412"/>
    <w:rsid w:val="004E7582"/>
    <w:rsid w:val="004F1DF0"/>
    <w:rsid w:val="004F1F5C"/>
    <w:rsid w:val="004F232F"/>
    <w:rsid w:val="004F2E7B"/>
    <w:rsid w:val="004F63BE"/>
    <w:rsid w:val="004F7677"/>
    <w:rsid w:val="005111E4"/>
    <w:rsid w:val="00517342"/>
    <w:rsid w:val="005256C6"/>
    <w:rsid w:val="00525719"/>
    <w:rsid w:val="0053154B"/>
    <w:rsid w:val="00534035"/>
    <w:rsid w:val="00534172"/>
    <w:rsid w:val="0055647A"/>
    <w:rsid w:val="00562275"/>
    <w:rsid w:val="005643BC"/>
    <w:rsid w:val="00565191"/>
    <w:rsid w:val="005730A6"/>
    <w:rsid w:val="00592248"/>
    <w:rsid w:val="005A118B"/>
    <w:rsid w:val="005A234F"/>
    <w:rsid w:val="005B7A36"/>
    <w:rsid w:val="005C2145"/>
    <w:rsid w:val="005E76DB"/>
    <w:rsid w:val="005F125E"/>
    <w:rsid w:val="00635586"/>
    <w:rsid w:val="00693940"/>
    <w:rsid w:val="00697C63"/>
    <w:rsid w:val="006A2AEE"/>
    <w:rsid w:val="006A2E05"/>
    <w:rsid w:val="006A5695"/>
    <w:rsid w:val="006B2844"/>
    <w:rsid w:val="006B2E32"/>
    <w:rsid w:val="006B34D1"/>
    <w:rsid w:val="006D5048"/>
    <w:rsid w:val="006D715A"/>
    <w:rsid w:val="006E157B"/>
    <w:rsid w:val="00700F83"/>
    <w:rsid w:val="007060A7"/>
    <w:rsid w:val="007104CF"/>
    <w:rsid w:val="007216BA"/>
    <w:rsid w:val="00730510"/>
    <w:rsid w:val="00730E29"/>
    <w:rsid w:val="00734DEF"/>
    <w:rsid w:val="00756D89"/>
    <w:rsid w:val="007572BC"/>
    <w:rsid w:val="00780132"/>
    <w:rsid w:val="0078122D"/>
    <w:rsid w:val="00794700"/>
    <w:rsid w:val="007953D3"/>
    <w:rsid w:val="007A329E"/>
    <w:rsid w:val="007B6EB6"/>
    <w:rsid w:val="007C2110"/>
    <w:rsid w:val="007E2CBA"/>
    <w:rsid w:val="007E752E"/>
    <w:rsid w:val="007F3853"/>
    <w:rsid w:val="008102AB"/>
    <w:rsid w:val="00813701"/>
    <w:rsid w:val="00825AA9"/>
    <w:rsid w:val="0085493C"/>
    <w:rsid w:val="00855800"/>
    <w:rsid w:val="00867EFD"/>
    <w:rsid w:val="00870846"/>
    <w:rsid w:val="00883572"/>
    <w:rsid w:val="008942EC"/>
    <w:rsid w:val="008F2DCC"/>
    <w:rsid w:val="008F3152"/>
    <w:rsid w:val="008F3D3D"/>
    <w:rsid w:val="008F6327"/>
    <w:rsid w:val="00916F06"/>
    <w:rsid w:val="00917CD0"/>
    <w:rsid w:val="00924627"/>
    <w:rsid w:val="009825FF"/>
    <w:rsid w:val="00983197"/>
    <w:rsid w:val="0098610C"/>
    <w:rsid w:val="009949E0"/>
    <w:rsid w:val="009A3678"/>
    <w:rsid w:val="009A69EB"/>
    <w:rsid w:val="009D7FB5"/>
    <w:rsid w:val="009D7FD6"/>
    <w:rsid w:val="009F69D5"/>
    <w:rsid w:val="00A07996"/>
    <w:rsid w:val="00A15704"/>
    <w:rsid w:val="00A217D8"/>
    <w:rsid w:val="00A2299E"/>
    <w:rsid w:val="00A2459F"/>
    <w:rsid w:val="00A32AFB"/>
    <w:rsid w:val="00A361C4"/>
    <w:rsid w:val="00A4341C"/>
    <w:rsid w:val="00A6231F"/>
    <w:rsid w:val="00A704F2"/>
    <w:rsid w:val="00A7174E"/>
    <w:rsid w:val="00A72515"/>
    <w:rsid w:val="00A81BF9"/>
    <w:rsid w:val="00AA69E8"/>
    <w:rsid w:val="00AA7123"/>
    <w:rsid w:val="00AB0D60"/>
    <w:rsid w:val="00AB5362"/>
    <w:rsid w:val="00AC114A"/>
    <w:rsid w:val="00AC4941"/>
    <w:rsid w:val="00B25BCB"/>
    <w:rsid w:val="00B25FA1"/>
    <w:rsid w:val="00B405A8"/>
    <w:rsid w:val="00B41FB4"/>
    <w:rsid w:val="00B50051"/>
    <w:rsid w:val="00B60609"/>
    <w:rsid w:val="00B723AA"/>
    <w:rsid w:val="00B9223A"/>
    <w:rsid w:val="00B92DD8"/>
    <w:rsid w:val="00BA725C"/>
    <w:rsid w:val="00BC0A2A"/>
    <w:rsid w:val="00BC3670"/>
    <w:rsid w:val="00BC5792"/>
    <w:rsid w:val="00BD6A6F"/>
    <w:rsid w:val="00BF63FC"/>
    <w:rsid w:val="00BF6453"/>
    <w:rsid w:val="00C14D16"/>
    <w:rsid w:val="00C258EA"/>
    <w:rsid w:val="00C35F5E"/>
    <w:rsid w:val="00C36403"/>
    <w:rsid w:val="00C374EE"/>
    <w:rsid w:val="00C4347F"/>
    <w:rsid w:val="00C5211F"/>
    <w:rsid w:val="00C74936"/>
    <w:rsid w:val="00C860D0"/>
    <w:rsid w:val="00C97764"/>
    <w:rsid w:val="00CB3A5E"/>
    <w:rsid w:val="00CB51B5"/>
    <w:rsid w:val="00CD2224"/>
    <w:rsid w:val="00CE4C2C"/>
    <w:rsid w:val="00CE73BD"/>
    <w:rsid w:val="00CF2C14"/>
    <w:rsid w:val="00CF405D"/>
    <w:rsid w:val="00D0079A"/>
    <w:rsid w:val="00D01527"/>
    <w:rsid w:val="00D10CF6"/>
    <w:rsid w:val="00D10D3F"/>
    <w:rsid w:val="00D130CE"/>
    <w:rsid w:val="00D134A7"/>
    <w:rsid w:val="00D147F9"/>
    <w:rsid w:val="00D152A9"/>
    <w:rsid w:val="00D50977"/>
    <w:rsid w:val="00D6005C"/>
    <w:rsid w:val="00D6569D"/>
    <w:rsid w:val="00D6737E"/>
    <w:rsid w:val="00D713F1"/>
    <w:rsid w:val="00D7261D"/>
    <w:rsid w:val="00D733D2"/>
    <w:rsid w:val="00D76B1B"/>
    <w:rsid w:val="00D76D15"/>
    <w:rsid w:val="00D85E93"/>
    <w:rsid w:val="00D9515C"/>
    <w:rsid w:val="00DA2A4C"/>
    <w:rsid w:val="00DA34B9"/>
    <w:rsid w:val="00DB1379"/>
    <w:rsid w:val="00DC0946"/>
    <w:rsid w:val="00DC2A79"/>
    <w:rsid w:val="00DC630D"/>
    <w:rsid w:val="00DF15C4"/>
    <w:rsid w:val="00DF62F3"/>
    <w:rsid w:val="00DF7C6E"/>
    <w:rsid w:val="00E01515"/>
    <w:rsid w:val="00E15D38"/>
    <w:rsid w:val="00E4129A"/>
    <w:rsid w:val="00E45518"/>
    <w:rsid w:val="00E45B63"/>
    <w:rsid w:val="00E565B2"/>
    <w:rsid w:val="00E6771F"/>
    <w:rsid w:val="00E70EF7"/>
    <w:rsid w:val="00E75873"/>
    <w:rsid w:val="00E864C0"/>
    <w:rsid w:val="00E97E7C"/>
    <w:rsid w:val="00EA7241"/>
    <w:rsid w:val="00EC19D6"/>
    <w:rsid w:val="00ED28F0"/>
    <w:rsid w:val="00EE73A5"/>
    <w:rsid w:val="00EF19CF"/>
    <w:rsid w:val="00F03617"/>
    <w:rsid w:val="00F32B6D"/>
    <w:rsid w:val="00F374AC"/>
    <w:rsid w:val="00F43F45"/>
    <w:rsid w:val="00F47264"/>
    <w:rsid w:val="00F5276B"/>
    <w:rsid w:val="00F634B8"/>
    <w:rsid w:val="00F7286E"/>
    <w:rsid w:val="00F81614"/>
    <w:rsid w:val="00F9270A"/>
    <w:rsid w:val="00FA2E75"/>
    <w:rsid w:val="00FB311C"/>
    <w:rsid w:val="00FB58BB"/>
    <w:rsid w:val="00FC447A"/>
    <w:rsid w:val="00FD2074"/>
    <w:rsid w:val="00FE3C54"/>
    <w:rsid w:val="00FE5C3B"/>
    <w:rsid w:val="00FF01D1"/>
    <w:rsid w:val="0E9606F4"/>
    <w:rsid w:val="0F2C2D20"/>
    <w:rsid w:val="1CD97ECA"/>
    <w:rsid w:val="235D16ED"/>
    <w:rsid w:val="58755F28"/>
    <w:rsid w:val="721546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unhideWhenUsed/>
    <w:uiPriority w:val="99"/>
    <w:pPr>
      <w:jc w:val="left"/>
    </w:pPr>
  </w:style>
  <w:style w:type="paragraph" w:styleId="3">
    <w:name w:val="Balloon Text"/>
    <w:basedOn w:val="1"/>
    <w:link w:val="21"/>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jc w:val="left"/>
    </w:pPr>
    <w:rPr>
      <w:rFonts w:ascii="Calibri" w:hAnsi="Calibri" w:eastAsia="宋体"/>
      <w:kern w:val="0"/>
      <w:sz w:val="24"/>
    </w:rPr>
  </w:style>
  <w:style w:type="paragraph" w:styleId="7">
    <w:name w:val="annotation subject"/>
    <w:basedOn w:val="2"/>
    <w:next w:val="2"/>
    <w:link w:val="23"/>
    <w:unhideWhenUsed/>
    <w:qFormat/>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unhideWhenUsed/>
    <w:qFormat/>
    <w:uiPriority w:val="99"/>
    <w:rPr>
      <w:color w:val="0000FF"/>
      <w:u w:val="single"/>
    </w:rPr>
  </w:style>
  <w:style w:type="character" w:styleId="13">
    <w:name w:val="annotation reference"/>
    <w:basedOn w:val="10"/>
    <w:unhideWhenUsed/>
    <w:qFormat/>
    <w:uiPriority w:val="99"/>
    <w:rPr>
      <w:sz w:val="21"/>
      <w:szCs w:val="21"/>
    </w:rPr>
  </w:style>
  <w:style w:type="character" w:customStyle="1" w:styleId="14">
    <w:name w:val="页脚 字符"/>
    <w:basedOn w:val="10"/>
    <w:link w:val="4"/>
    <w:qFormat/>
    <w:uiPriority w:val="0"/>
    <w:rPr>
      <w:rFonts w:ascii="Times New Roman" w:hAnsi="Times New Roman" w:eastAsia="仿宋_GB2312" w:cs="Times New Roman"/>
      <w:sz w:val="18"/>
      <w:szCs w:val="24"/>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6">
    <w:name w:val="一级条标题"/>
    <w:next w:val="15"/>
    <w:qFormat/>
    <w:uiPriority w:val="0"/>
    <w:pPr>
      <w:numPr>
        <w:ilvl w:val="2"/>
        <w:numId w:val="1"/>
      </w:numPr>
      <w:spacing w:beforeLines="50" w:afterLines="50"/>
      <w:outlineLvl w:val="2"/>
    </w:pPr>
    <w:rPr>
      <w:rFonts w:ascii="黑体" w:hAnsi="Calibri" w:eastAsia="黑体" w:cs="Times New Roman"/>
      <w:sz w:val="21"/>
      <w:szCs w:val="21"/>
      <w:lang w:val="en-US" w:eastAsia="zh-CN" w:bidi="ar-SA"/>
    </w:rPr>
  </w:style>
  <w:style w:type="paragraph" w:customStyle="1" w:styleId="17">
    <w:name w:val="二级条标题"/>
    <w:basedOn w:val="16"/>
    <w:next w:val="15"/>
    <w:qFormat/>
    <w:uiPriority w:val="0"/>
    <w:pPr>
      <w:spacing w:before="50" w:after="50"/>
      <w:outlineLvl w:val="3"/>
    </w:pPr>
  </w:style>
  <w:style w:type="paragraph" w:customStyle="1" w:styleId="18">
    <w:name w:val="列出段落2"/>
    <w:basedOn w:val="1"/>
    <w:unhideWhenUsed/>
    <w:qFormat/>
    <w:uiPriority w:val="99"/>
    <w:pPr>
      <w:ind w:firstLine="420" w:firstLineChars="200"/>
    </w:pPr>
    <w:rPr>
      <w:sz w:val="30"/>
    </w:rPr>
  </w:style>
  <w:style w:type="paragraph" w:customStyle="1" w:styleId="19">
    <w:name w:val="Table Paragraph"/>
    <w:basedOn w:val="1"/>
    <w:qFormat/>
    <w:uiPriority w:val="0"/>
    <w:pPr>
      <w:jc w:val="left"/>
    </w:pPr>
    <w:rPr>
      <w:rFonts w:ascii="Calibri" w:hAnsi="Calibri"/>
      <w:kern w:val="0"/>
      <w:sz w:val="22"/>
      <w:szCs w:val="22"/>
      <w:lang w:eastAsia="en-US"/>
    </w:rPr>
  </w:style>
  <w:style w:type="character" w:customStyle="1" w:styleId="20">
    <w:name w:val="页眉 字符"/>
    <w:basedOn w:val="10"/>
    <w:link w:val="5"/>
    <w:qFormat/>
    <w:uiPriority w:val="0"/>
    <w:rPr>
      <w:rFonts w:ascii="Times New Roman" w:hAnsi="Times New Roman" w:eastAsia="仿宋_GB2312" w:cs="Times New Roman"/>
      <w:sz w:val="18"/>
      <w:szCs w:val="18"/>
    </w:rPr>
  </w:style>
  <w:style w:type="character" w:customStyle="1" w:styleId="21">
    <w:name w:val="批注框文本 字符"/>
    <w:basedOn w:val="10"/>
    <w:link w:val="3"/>
    <w:qFormat/>
    <w:uiPriority w:val="0"/>
    <w:rPr>
      <w:rFonts w:ascii="Times New Roman" w:hAnsi="Times New Roman" w:eastAsia="仿宋_GB2312" w:cs="Times New Roman"/>
      <w:sz w:val="18"/>
      <w:szCs w:val="18"/>
    </w:rPr>
  </w:style>
  <w:style w:type="character" w:customStyle="1" w:styleId="22">
    <w:name w:val="批注文字 字符"/>
    <w:basedOn w:val="10"/>
    <w:link w:val="2"/>
    <w:semiHidden/>
    <w:qFormat/>
    <w:uiPriority w:val="99"/>
    <w:rPr>
      <w:rFonts w:ascii="Times New Roman" w:hAnsi="Times New Roman" w:eastAsia="仿宋_GB2312" w:cs="Times New Roman"/>
      <w:sz w:val="32"/>
      <w:szCs w:val="24"/>
    </w:rPr>
  </w:style>
  <w:style w:type="character" w:customStyle="1" w:styleId="23">
    <w:name w:val="批注主题 字符"/>
    <w:basedOn w:val="22"/>
    <w:link w:val="7"/>
    <w:semiHidden/>
    <w:qFormat/>
    <w:uiPriority w:val="99"/>
    <w:rPr>
      <w:rFonts w:ascii="Times New Roman" w:hAnsi="Times New Roman" w:eastAsia="仿宋_GB2312" w:cs="Times New Roman"/>
      <w:b/>
      <w:bCs/>
      <w:sz w:val="32"/>
      <w:szCs w:val="24"/>
    </w:rPr>
  </w:style>
  <w:style w:type="paragraph" w:customStyle="1" w:styleId="24">
    <w:name w:val="正文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 w:type="character" w:customStyle="1" w:styleId="25">
    <w:name w:val="页码1"/>
    <w:basedOn w:val="10"/>
    <w:qFormat/>
    <w:uiPriority w:val="0"/>
  </w:style>
  <w:style w:type="paragraph" w:customStyle="1" w:styleId="26">
    <w:name w:val="正文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EE57A4-6501-4CCC-B9DB-3A16E73BE30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344</Words>
  <Characters>1962</Characters>
  <Lines>16</Lines>
  <Paragraphs>4</Paragraphs>
  <TotalTime>105</TotalTime>
  <ScaleCrop>false</ScaleCrop>
  <LinksUpToDate>false</LinksUpToDate>
  <CharactersWithSpaces>2302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2022-09-28T06:45:00Z</dcterms:created>
  <dc:creator>yws1</dc:creator>
  <cp:lastModifiedBy>刘燕</cp:lastModifiedBy>
  <cp:lastPrinted>2021-06-05T13:46:00Z</cp:lastPrinted>
  <dcterms:modified xsi:type="dcterms:W3CDTF">2022-10-08T08:23:35Z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