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r>
        <w:rPr>
          <w:rFonts w:hint="eastAsia" w:eastAsia="方正小标宋简体" w:cs="方正小标宋简体"/>
          <w:w w:val="99"/>
          <w:position w:val="1"/>
          <w:sz w:val="44"/>
          <w:szCs w:val="44"/>
        </w:rPr>
        <w:t>消防器材质量监督</w:t>
      </w:r>
      <w:r>
        <w:rPr>
          <w:rFonts w:hint="eastAsia" w:eastAsia="方正小标宋简体" w:cs="方正小标宋简体"/>
          <w:bCs/>
          <w:color w:val="000000"/>
          <w:sz w:val="44"/>
          <w:szCs w:val="44"/>
        </w:rPr>
        <w:t>抽查</w:t>
      </w:r>
      <w:bookmarkStart w:id="0" w:name="_GoBack"/>
      <w:bookmarkEnd w:id="0"/>
      <w:r>
        <w:rPr>
          <w:rFonts w:hint="eastAsia" w:eastAsia="方正小标宋简体" w:cs="方正小标宋简体"/>
          <w:bCs/>
          <w:color w:val="000000"/>
          <w:sz w:val="44"/>
          <w:szCs w:val="44"/>
        </w:rPr>
        <w:t>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04"/>
        <w:gridCol w:w="1985"/>
        <w:gridCol w:w="192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704"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985"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92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1185"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洒水喷头</w:t>
            </w:r>
          </w:p>
        </w:tc>
        <w:tc>
          <w:tcPr>
            <w:tcW w:w="198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5个</w:t>
            </w:r>
          </w:p>
        </w:tc>
        <w:tc>
          <w:tcPr>
            <w:tcW w:w="19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5个</w:t>
            </w:r>
          </w:p>
        </w:tc>
        <w:tc>
          <w:tcPr>
            <w:tcW w:w="1185" w:type="dxa"/>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消防水带</w:t>
            </w:r>
          </w:p>
        </w:tc>
        <w:tc>
          <w:tcPr>
            <w:tcW w:w="198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1个</w:t>
            </w:r>
          </w:p>
        </w:tc>
        <w:tc>
          <w:tcPr>
            <w:tcW w:w="19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1个</w:t>
            </w:r>
          </w:p>
        </w:tc>
        <w:tc>
          <w:tcPr>
            <w:tcW w:w="1185" w:type="dxa"/>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消防应急灯具</w:t>
            </w:r>
          </w:p>
        </w:tc>
        <w:tc>
          <w:tcPr>
            <w:tcW w:w="198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2个</w:t>
            </w:r>
          </w:p>
        </w:tc>
        <w:tc>
          <w:tcPr>
            <w:tcW w:w="19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2个</w:t>
            </w:r>
          </w:p>
        </w:tc>
        <w:tc>
          <w:tcPr>
            <w:tcW w:w="1185" w:type="dxa"/>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2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手提式灭火器</w:t>
            </w:r>
          </w:p>
        </w:tc>
        <w:tc>
          <w:tcPr>
            <w:tcW w:w="1985"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6个</w:t>
            </w:r>
          </w:p>
        </w:tc>
        <w:tc>
          <w:tcPr>
            <w:tcW w:w="192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6个</w:t>
            </w:r>
          </w:p>
        </w:tc>
        <w:tc>
          <w:tcPr>
            <w:tcW w:w="1185" w:type="dxa"/>
          </w:tcPr>
          <w:p>
            <w:pPr>
              <w:adjustRightInd w:val="0"/>
              <w:snapToGrid w:val="0"/>
              <w:spacing w:line="400" w:lineRule="exact"/>
              <w:jc w:val="center"/>
              <w:rPr>
                <w:rFonts w:ascii="仿宋_GB2312" w:hAnsi="仿宋_GB2312" w:cs="仿宋_GB2312"/>
                <w:bCs/>
                <w:sz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（1）洒水喷头</w:t>
      </w:r>
    </w:p>
    <w:tbl>
      <w:tblPr>
        <w:tblStyle w:val="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07"/>
        <w:gridCol w:w="1700"/>
        <w:gridCol w:w="850"/>
        <w:gridCol w:w="852"/>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水压密封</w:t>
            </w:r>
          </w:p>
        </w:tc>
        <w:tc>
          <w:tcPr>
            <w:tcW w:w="1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5135.1-2019</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耐水压强度性能</w:t>
            </w:r>
          </w:p>
        </w:tc>
        <w:tc>
          <w:tcPr>
            <w:tcW w:w="1700"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5135.1-2019</w:t>
            </w:r>
          </w:p>
        </w:tc>
        <w:tc>
          <w:tcPr>
            <w:tcW w:w="85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852"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2</w:t>
      </w:r>
      <w:r>
        <w:rPr>
          <w:rFonts w:hint="eastAsia"/>
          <w:kern w:val="0"/>
          <w:szCs w:val="32"/>
        </w:rPr>
        <w:t>）消防水带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97"/>
        <w:gridCol w:w="1847"/>
        <w:gridCol w:w="850"/>
        <w:gridCol w:w="705"/>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69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试验压力</w:t>
            </w:r>
          </w:p>
        </w:tc>
        <w:tc>
          <w:tcPr>
            <w:tcW w:w="184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6246-2011</w:t>
            </w:r>
          </w:p>
        </w:tc>
        <w:tc>
          <w:tcPr>
            <w:tcW w:w="85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69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最小爆破压力</w:t>
            </w:r>
          </w:p>
        </w:tc>
        <w:tc>
          <w:tcPr>
            <w:tcW w:w="184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6246-2011</w:t>
            </w:r>
          </w:p>
        </w:tc>
        <w:tc>
          <w:tcPr>
            <w:tcW w:w="85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69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附着强度</w:t>
            </w:r>
          </w:p>
        </w:tc>
        <w:tc>
          <w:tcPr>
            <w:tcW w:w="184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6246-2011</w:t>
            </w:r>
          </w:p>
        </w:tc>
        <w:tc>
          <w:tcPr>
            <w:tcW w:w="85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firstLineChars="200"/>
        <w:rPr>
          <w:kern w:val="0"/>
          <w:szCs w:val="32"/>
        </w:rPr>
      </w:pPr>
      <w:r>
        <w:rPr>
          <w:rFonts w:hint="eastAsia"/>
          <w:kern w:val="0"/>
          <w:szCs w:val="32"/>
        </w:rPr>
        <w:t>（</w:t>
      </w:r>
      <w:r>
        <w:rPr>
          <w:kern w:val="0"/>
          <w:szCs w:val="32"/>
        </w:rPr>
        <w:t>3</w:t>
      </w:r>
      <w:r>
        <w:rPr>
          <w:rFonts w:hint="eastAsia"/>
          <w:kern w:val="0"/>
          <w:szCs w:val="32"/>
        </w:rPr>
        <w:t>）消防应急灯具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3"/>
        <w:gridCol w:w="904"/>
        <w:gridCol w:w="1847"/>
        <w:gridCol w:w="850"/>
        <w:gridCol w:w="705"/>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6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697" w:type="dxa"/>
            <w:gridSpan w:val="2"/>
            <w:tcBorders>
              <w:top w:val="single" w:color="auto" w:sz="4" w:space="0"/>
              <w:left w:val="single" w:color="auto" w:sz="4" w:space="0"/>
              <w:bottom w:val="single" w:color="auto" w:sz="4" w:space="0"/>
              <w:right w:val="single" w:color="auto" w:sz="4" w:space="0"/>
            </w:tcBorders>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标志</w:t>
            </w: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17945-2010</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697" w:type="dxa"/>
            <w:gridSpan w:val="2"/>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外观检查</w:t>
            </w:r>
          </w:p>
        </w:tc>
        <w:tc>
          <w:tcPr>
            <w:tcW w:w="1847"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17945-2010</w:t>
            </w:r>
          </w:p>
        </w:tc>
        <w:tc>
          <w:tcPr>
            <w:tcW w:w="85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697" w:type="dxa"/>
            <w:gridSpan w:val="2"/>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基本功能试验</w:t>
            </w:r>
          </w:p>
        </w:tc>
        <w:tc>
          <w:tcPr>
            <w:tcW w:w="1847"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17945-2010</w:t>
            </w:r>
          </w:p>
        </w:tc>
        <w:tc>
          <w:tcPr>
            <w:tcW w:w="85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697" w:type="dxa"/>
            <w:gridSpan w:val="2"/>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主要部件性能检查</w:t>
            </w:r>
          </w:p>
        </w:tc>
        <w:tc>
          <w:tcPr>
            <w:tcW w:w="1847"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17945-2010</w:t>
            </w:r>
          </w:p>
        </w:tc>
        <w:tc>
          <w:tcPr>
            <w:tcW w:w="85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4" w:type="dxa"/>
            <w:vMerge w:val="restart"/>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793" w:type="dxa"/>
            <w:vMerge w:val="restart"/>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充、放电试验</w:t>
            </w:r>
          </w:p>
        </w:tc>
        <w:tc>
          <w:tcPr>
            <w:tcW w:w="904" w:type="dxa"/>
            <w:vAlign w:val="center"/>
          </w:tcPr>
          <w:p>
            <w:pPr>
              <w:pStyle w:val="24"/>
              <w:widowControl/>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充电时间</w:t>
            </w:r>
          </w:p>
        </w:tc>
        <w:tc>
          <w:tcPr>
            <w:tcW w:w="1847" w:type="dxa"/>
            <w:vMerge w:val="restart"/>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GB 17945-2010</w:t>
            </w:r>
          </w:p>
        </w:tc>
        <w:tc>
          <w:tcPr>
            <w:tcW w:w="850" w:type="dxa"/>
            <w:vMerge w:val="restart"/>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05" w:type="dxa"/>
            <w:vMerge w:val="restart"/>
            <w:vAlign w:val="center"/>
          </w:tcPr>
          <w:p>
            <w:pPr>
              <w:adjustRightInd w:val="0"/>
              <w:snapToGrid w:val="0"/>
              <w:spacing w:line="400" w:lineRule="exact"/>
              <w:ind w:left="-80" w:leftChars="-25" w:right="-106" w:rightChars="-33"/>
              <w:jc w:val="center"/>
              <w:rPr>
                <w:rFonts w:ascii="仿宋_GB2312" w:hAnsi="仿宋_GB2312" w:cs="仿宋_GB2312"/>
                <w:bCs/>
                <w:sz w:val="24"/>
              </w:rPr>
            </w:pPr>
          </w:p>
        </w:tc>
        <w:tc>
          <w:tcPr>
            <w:tcW w:w="900" w:type="dxa"/>
            <w:vMerge w:val="restart"/>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Merge w:val="restart"/>
            <w:vAlign w:val="center"/>
          </w:tcPr>
          <w:p>
            <w:pPr>
              <w:adjustRightInd w:val="0"/>
              <w:snapToGrid w:val="0"/>
              <w:spacing w:line="400" w:lineRule="exact"/>
              <w:jc w:val="center"/>
              <w:rPr>
                <w:rFonts w:ascii="仿宋_GB2312" w:hAnsi="仿宋_GB2312" w:cs="仿宋_GB2312"/>
                <w:bCs/>
                <w:sz w:val="24"/>
              </w:rPr>
            </w:pPr>
          </w:p>
        </w:tc>
        <w:tc>
          <w:tcPr>
            <w:tcW w:w="792" w:type="dxa"/>
            <w:vMerge w:val="restart"/>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04" w:type="dxa"/>
            <w:vMerge w:val="continue"/>
            <w:vAlign w:val="center"/>
          </w:tcPr>
          <w:p>
            <w:pPr>
              <w:adjustRightInd w:val="0"/>
              <w:snapToGrid w:val="0"/>
              <w:spacing w:line="400" w:lineRule="exact"/>
              <w:jc w:val="center"/>
              <w:rPr>
                <w:rFonts w:ascii="仿宋_GB2312" w:hAnsi="仿宋_GB2312" w:cs="仿宋_GB2312"/>
                <w:bCs/>
                <w:sz w:val="24"/>
              </w:rPr>
            </w:pPr>
          </w:p>
        </w:tc>
        <w:tc>
          <w:tcPr>
            <w:tcW w:w="793" w:type="dxa"/>
            <w:vMerge w:val="continue"/>
            <w:vAlign w:val="center"/>
          </w:tcPr>
          <w:p>
            <w:pPr>
              <w:adjustRightInd w:val="0"/>
              <w:snapToGrid w:val="0"/>
              <w:spacing w:line="400" w:lineRule="exact"/>
              <w:jc w:val="center"/>
              <w:rPr>
                <w:rFonts w:ascii="仿宋_GB2312" w:hAnsi="仿宋_GB2312" w:cs="仿宋_GB2312"/>
                <w:bCs/>
                <w:sz w:val="24"/>
              </w:rPr>
            </w:pPr>
          </w:p>
        </w:tc>
        <w:tc>
          <w:tcPr>
            <w:tcW w:w="904" w:type="dxa"/>
            <w:vAlign w:val="center"/>
          </w:tcPr>
          <w:p>
            <w:pPr>
              <w:pStyle w:val="24"/>
              <w:widowControl/>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最大连续过充电电流</w:t>
            </w:r>
          </w:p>
        </w:tc>
        <w:tc>
          <w:tcPr>
            <w:tcW w:w="1847" w:type="dxa"/>
            <w:vMerge w:val="continue"/>
            <w:vAlign w:val="center"/>
          </w:tcPr>
          <w:p>
            <w:pPr>
              <w:adjustRightInd w:val="0"/>
              <w:snapToGrid w:val="0"/>
              <w:spacing w:line="400" w:lineRule="exact"/>
              <w:jc w:val="center"/>
              <w:rPr>
                <w:rFonts w:ascii="仿宋_GB2312" w:hAnsi="仿宋_GB2312" w:cs="仿宋_GB2312"/>
                <w:bCs/>
                <w:sz w:val="24"/>
              </w:rPr>
            </w:pPr>
          </w:p>
        </w:tc>
        <w:tc>
          <w:tcPr>
            <w:tcW w:w="850" w:type="dxa"/>
            <w:vMerge w:val="continue"/>
            <w:vAlign w:val="center"/>
          </w:tcPr>
          <w:p>
            <w:pPr>
              <w:adjustRightInd w:val="0"/>
              <w:snapToGrid w:val="0"/>
              <w:spacing w:line="400" w:lineRule="exact"/>
              <w:jc w:val="center"/>
              <w:rPr>
                <w:rFonts w:ascii="仿宋_GB2312" w:hAnsi="仿宋_GB2312" w:cs="仿宋_GB2312"/>
                <w:bCs/>
                <w:sz w:val="24"/>
              </w:rPr>
            </w:pPr>
          </w:p>
        </w:tc>
        <w:tc>
          <w:tcPr>
            <w:tcW w:w="705" w:type="dxa"/>
            <w:vMerge w:val="continue"/>
            <w:vAlign w:val="center"/>
          </w:tcPr>
          <w:p>
            <w:pPr>
              <w:adjustRightInd w:val="0"/>
              <w:snapToGrid w:val="0"/>
              <w:spacing w:line="400" w:lineRule="exact"/>
              <w:jc w:val="center"/>
              <w:rPr>
                <w:rFonts w:ascii="仿宋_GB2312" w:hAnsi="仿宋_GB2312" w:cs="仿宋_GB2312"/>
                <w:bCs/>
                <w:sz w:val="24"/>
              </w:rPr>
            </w:pPr>
          </w:p>
        </w:tc>
        <w:tc>
          <w:tcPr>
            <w:tcW w:w="900" w:type="dxa"/>
            <w:vMerge w:val="continue"/>
            <w:vAlign w:val="center"/>
          </w:tcPr>
          <w:p>
            <w:pPr>
              <w:adjustRightInd w:val="0"/>
              <w:snapToGrid w:val="0"/>
              <w:spacing w:line="400" w:lineRule="exact"/>
              <w:jc w:val="center"/>
              <w:rPr>
                <w:rFonts w:ascii="仿宋_GB2312" w:hAnsi="仿宋_GB2312" w:cs="仿宋_GB2312"/>
                <w:bCs/>
                <w:sz w:val="24"/>
              </w:rPr>
            </w:pPr>
          </w:p>
        </w:tc>
        <w:tc>
          <w:tcPr>
            <w:tcW w:w="792" w:type="dxa"/>
            <w:vMerge w:val="continue"/>
            <w:vAlign w:val="center"/>
          </w:tcPr>
          <w:p>
            <w:pPr>
              <w:adjustRightInd w:val="0"/>
              <w:snapToGrid w:val="0"/>
              <w:spacing w:line="400" w:lineRule="exact"/>
              <w:jc w:val="center"/>
              <w:rPr>
                <w:rFonts w:ascii="仿宋_GB2312" w:hAnsi="仿宋_GB2312" w:cs="仿宋_GB2312"/>
                <w:bCs/>
                <w:sz w:val="24"/>
              </w:rPr>
            </w:pPr>
          </w:p>
        </w:tc>
        <w:tc>
          <w:tcPr>
            <w:tcW w:w="792" w:type="dxa"/>
            <w:vMerge w:val="continue"/>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04" w:type="dxa"/>
            <w:vMerge w:val="continue"/>
            <w:vAlign w:val="center"/>
          </w:tcPr>
          <w:p>
            <w:pPr>
              <w:adjustRightInd w:val="0"/>
              <w:snapToGrid w:val="0"/>
              <w:spacing w:line="400" w:lineRule="exact"/>
              <w:jc w:val="center"/>
              <w:rPr>
                <w:rFonts w:ascii="仿宋_GB2312" w:hAnsi="仿宋_GB2312" w:cs="仿宋_GB2312"/>
                <w:bCs/>
                <w:sz w:val="24"/>
              </w:rPr>
            </w:pPr>
          </w:p>
        </w:tc>
        <w:tc>
          <w:tcPr>
            <w:tcW w:w="793" w:type="dxa"/>
            <w:vMerge w:val="continue"/>
            <w:vAlign w:val="center"/>
          </w:tcPr>
          <w:p>
            <w:pPr>
              <w:adjustRightInd w:val="0"/>
              <w:snapToGrid w:val="0"/>
              <w:spacing w:line="400" w:lineRule="exact"/>
              <w:jc w:val="center"/>
              <w:rPr>
                <w:rFonts w:ascii="仿宋_GB2312" w:hAnsi="仿宋_GB2312" w:cs="仿宋_GB2312"/>
                <w:bCs/>
                <w:sz w:val="24"/>
              </w:rPr>
            </w:pPr>
          </w:p>
        </w:tc>
        <w:tc>
          <w:tcPr>
            <w:tcW w:w="904" w:type="dxa"/>
            <w:vAlign w:val="center"/>
          </w:tcPr>
          <w:p>
            <w:pPr>
              <w:pStyle w:val="24"/>
              <w:widowControl/>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放电终止电压</w:t>
            </w:r>
          </w:p>
        </w:tc>
        <w:tc>
          <w:tcPr>
            <w:tcW w:w="1847" w:type="dxa"/>
            <w:vMerge w:val="continue"/>
            <w:vAlign w:val="center"/>
          </w:tcPr>
          <w:p>
            <w:pPr>
              <w:adjustRightInd w:val="0"/>
              <w:snapToGrid w:val="0"/>
              <w:spacing w:line="400" w:lineRule="exact"/>
              <w:jc w:val="center"/>
              <w:rPr>
                <w:rFonts w:ascii="仿宋_GB2312" w:hAnsi="仿宋_GB2312" w:cs="仿宋_GB2312"/>
                <w:bCs/>
                <w:sz w:val="24"/>
              </w:rPr>
            </w:pPr>
          </w:p>
        </w:tc>
        <w:tc>
          <w:tcPr>
            <w:tcW w:w="850" w:type="dxa"/>
            <w:vMerge w:val="continue"/>
            <w:vAlign w:val="center"/>
          </w:tcPr>
          <w:p>
            <w:pPr>
              <w:adjustRightInd w:val="0"/>
              <w:snapToGrid w:val="0"/>
              <w:spacing w:line="400" w:lineRule="exact"/>
              <w:jc w:val="center"/>
              <w:rPr>
                <w:rFonts w:ascii="仿宋_GB2312" w:hAnsi="仿宋_GB2312" w:cs="仿宋_GB2312"/>
                <w:bCs/>
                <w:sz w:val="24"/>
              </w:rPr>
            </w:pPr>
          </w:p>
        </w:tc>
        <w:tc>
          <w:tcPr>
            <w:tcW w:w="705" w:type="dxa"/>
            <w:vMerge w:val="continue"/>
            <w:vAlign w:val="center"/>
          </w:tcPr>
          <w:p>
            <w:pPr>
              <w:adjustRightInd w:val="0"/>
              <w:snapToGrid w:val="0"/>
              <w:spacing w:line="400" w:lineRule="exact"/>
              <w:jc w:val="center"/>
              <w:rPr>
                <w:rFonts w:ascii="仿宋_GB2312" w:hAnsi="仿宋_GB2312" w:cs="仿宋_GB2312"/>
                <w:bCs/>
                <w:sz w:val="24"/>
              </w:rPr>
            </w:pPr>
          </w:p>
        </w:tc>
        <w:tc>
          <w:tcPr>
            <w:tcW w:w="900" w:type="dxa"/>
            <w:vMerge w:val="continue"/>
            <w:vAlign w:val="center"/>
          </w:tcPr>
          <w:p>
            <w:pPr>
              <w:adjustRightInd w:val="0"/>
              <w:snapToGrid w:val="0"/>
              <w:spacing w:line="400" w:lineRule="exact"/>
              <w:jc w:val="center"/>
              <w:rPr>
                <w:rFonts w:ascii="仿宋_GB2312" w:hAnsi="仿宋_GB2312" w:cs="仿宋_GB2312"/>
                <w:bCs/>
                <w:sz w:val="24"/>
              </w:rPr>
            </w:pPr>
          </w:p>
        </w:tc>
        <w:tc>
          <w:tcPr>
            <w:tcW w:w="792" w:type="dxa"/>
            <w:vMerge w:val="continue"/>
            <w:vAlign w:val="center"/>
          </w:tcPr>
          <w:p>
            <w:pPr>
              <w:adjustRightInd w:val="0"/>
              <w:snapToGrid w:val="0"/>
              <w:spacing w:line="400" w:lineRule="exact"/>
              <w:jc w:val="center"/>
              <w:rPr>
                <w:rFonts w:ascii="仿宋_GB2312" w:hAnsi="仿宋_GB2312" w:cs="仿宋_GB2312"/>
                <w:bCs/>
                <w:sz w:val="24"/>
              </w:rPr>
            </w:pPr>
          </w:p>
        </w:tc>
        <w:tc>
          <w:tcPr>
            <w:tcW w:w="792" w:type="dxa"/>
            <w:vMerge w:val="continue"/>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697" w:type="dxa"/>
            <w:gridSpan w:val="2"/>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重复转换试验</w:t>
            </w:r>
          </w:p>
        </w:tc>
        <w:tc>
          <w:tcPr>
            <w:tcW w:w="1847"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17945-2010</w:t>
            </w:r>
          </w:p>
        </w:tc>
        <w:tc>
          <w:tcPr>
            <w:tcW w:w="85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697" w:type="dxa"/>
            <w:gridSpan w:val="2"/>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电压波动试验</w:t>
            </w:r>
          </w:p>
        </w:tc>
        <w:tc>
          <w:tcPr>
            <w:tcW w:w="1847"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17945-2010</w:t>
            </w:r>
          </w:p>
        </w:tc>
        <w:tc>
          <w:tcPr>
            <w:tcW w:w="85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697" w:type="dxa"/>
            <w:gridSpan w:val="2"/>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转换电压试验</w:t>
            </w:r>
          </w:p>
        </w:tc>
        <w:tc>
          <w:tcPr>
            <w:tcW w:w="1847"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17945-2010</w:t>
            </w:r>
          </w:p>
        </w:tc>
        <w:tc>
          <w:tcPr>
            <w:tcW w:w="85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697" w:type="dxa"/>
            <w:gridSpan w:val="2"/>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绝缘电阻试验</w:t>
            </w:r>
          </w:p>
        </w:tc>
        <w:tc>
          <w:tcPr>
            <w:tcW w:w="1847"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17945-2010</w:t>
            </w:r>
          </w:p>
        </w:tc>
        <w:tc>
          <w:tcPr>
            <w:tcW w:w="85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10</w:t>
            </w:r>
          </w:p>
        </w:tc>
        <w:tc>
          <w:tcPr>
            <w:tcW w:w="1697" w:type="dxa"/>
            <w:gridSpan w:val="2"/>
            <w:vAlign w:val="center"/>
          </w:tcPr>
          <w:p>
            <w:pPr>
              <w:pStyle w:val="24"/>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耐压试验</w:t>
            </w:r>
          </w:p>
        </w:tc>
        <w:tc>
          <w:tcPr>
            <w:tcW w:w="1847"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 17945-2010</w:t>
            </w:r>
          </w:p>
        </w:tc>
        <w:tc>
          <w:tcPr>
            <w:tcW w:w="85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ind w:left="-80" w:leftChars="-25" w:right="-106"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4</w:t>
      </w:r>
      <w:r>
        <w:rPr>
          <w:rFonts w:hint="eastAsia"/>
          <w:kern w:val="0"/>
          <w:szCs w:val="32"/>
        </w:rPr>
        <w:t>）手提式灭火器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07"/>
        <w:gridCol w:w="1926"/>
        <w:gridCol w:w="771"/>
        <w:gridCol w:w="705"/>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灭火剂充装总量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4351.1-2005</w:t>
            </w:r>
          </w:p>
        </w:tc>
        <w:tc>
          <w:tcPr>
            <w:tcW w:w="77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20℃喷射性能试验</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4351.1-2005</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干粉灭火器振撞后的喷射试验</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4351.1-2005</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灭B类火性能</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4351.1-2005</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筒(瓶)体水压试验</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4351.1-2005</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筒体(瓶体)爆破试验</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4351.1-2005</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widowControl/>
        <w:adjustRightInd w:val="0"/>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GB 5135.1-2019《自动喷水灭火系统 第1部分：洒水喷头》</w:t>
      </w:r>
    </w:p>
    <w:p>
      <w:pPr>
        <w:widowControl/>
        <w:adjustRightInd w:val="0"/>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GB 6246-2011《消防水带》</w:t>
      </w:r>
    </w:p>
    <w:p>
      <w:pPr>
        <w:widowControl/>
        <w:adjustRightInd w:val="0"/>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GB 4351.1-2005《手提式灭火器 第1部分：性能和结构要求》</w:t>
      </w:r>
    </w:p>
    <w:p>
      <w:pPr>
        <w:widowControl/>
        <w:adjustRightInd w:val="0"/>
        <w:snapToGrid w:val="0"/>
        <w:spacing w:line="520" w:lineRule="exact"/>
        <w:ind w:firstLine="640" w:firstLineChars="200"/>
        <w:rPr>
          <w:rFonts w:ascii="仿宋_GB2312" w:hAnsi="仿宋_GB2312" w:cs="仿宋_GB2312"/>
          <w:szCs w:val="32"/>
        </w:rPr>
      </w:pPr>
      <w:r>
        <w:rPr>
          <w:rFonts w:ascii="仿宋_GB2312" w:hAnsi="仿宋_GB2312" w:cs="仿宋_GB2312"/>
          <w:color w:val="000000"/>
          <w:szCs w:val="32"/>
        </w:rPr>
        <w:t>GB 17945-2010</w:t>
      </w:r>
      <w:r>
        <w:rPr>
          <w:rFonts w:hint="eastAsia" w:ascii="仿宋_GB2312" w:hAnsi="仿宋_GB2312" w:cs="仿宋_GB2312"/>
          <w:color w:val="000000"/>
          <w:szCs w:val="32"/>
        </w:rPr>
        <w:t>《消防应急照明和疏散指示系统》</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908DF"/>
    <w:rsid w:val="000B19EE"/>
    <w:rsid w:val="000B7A06"/>
    <w:rsid w:val="000D00DC"/>
    <w:rsid w:val="000D5D13"/>
    <w:rsid w:val="000E5072"/>
    <w:rsid w:val="000F1ADB"/>
    <w:rsid w:val="000F2148"/>
    <w:rsid w:val="00107527"/>
    <w:rsid w:val="00135333"/>
    <w:rsid w:val="0016504F"/>
    <w:rsid w:val="00170E49"/>
    <w:rsid w:val="001724AF"/>
    <w:rsid w:val="001759C5"/>
    <w:rsid w:val="00180BC7"/>
    <w:rsid w:val="00185692"/>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78D6"/>
    <w:rsid w:val="002F300F"/>
    <w:rsid w:val="002F3C7A"/>
    <w:rsid w:val="002F4DC2"/>
    <w:rsid w:val="002F6589"/>
    <w:rsid w:val="00300EF2"/>
    <w:rsid w:val="00312715"/>
    <w:rsid w:val="003163B8"/>
    <w:rsid w:val="003533AC"/>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1C75"/>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048B5"/>
    <w:rsid w:val="005111E4"/>
    <w:rsid w:val="00517342"/>
    <w:rsid w:val="005256C6"/>
    <w:rsid w:val="00525719"/>
    <w:rsid w:val="0053154B"/>
    <w:rsid w:val="00534035"/>
    <w:rsid w:val="00534172"/>
    <w:rsid w:val="0055647A"/>
    <w:rsid w:val="00562275"/>
    <w:rsid w:val="005643BC"/>
    <w:rsid w:val="00565191"/>
    <w:rsid w:val="005730A6"/>
    <w:rsid w:val="00592248"/>
    <w:rsid w:val="005A118B"/>
    <w:rsid w:val="005A234F"/>
    <w:rsid w:val="005B7A36"/>
    <w:rsid w:val="005C2145"/>
    <w:rsid w:val="005E76DB"/>
    <w:rsid w:val="005F125E"/>
    <w:rsid w:val="00635586"/>
    <w:rsid w:val="00691767"/>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F3853"/>
    <w:rsid w:val="008102AB"/>
    <w:rsid w:val="00813701"/>
    <w:rsid w:val="00825AA9"/>
    <w:rsid w:val="0085493C"/>
    <w:rsid w:val="00867EFD"/>
    <w:rsid w:val="00870846"/>
    <w:rsid w:val="00883572"/>
    <w:rsid w:val="008942EC"/>
    <w:rsid w:val="008B4D01"/>
    <w:rsid w:val="008F2DCC"/>
    <w:rsid w:val="008F3152"/>
    <w:rsid w:val="008F3D3D"/>
    <w:rsid w:val="008F6327"/>
    <w:rsid w:val="00916F06"/>
    <w:rsid w:val="00917CD0"/>
    <w:rsid w:val="00924627"/>
    <w:rsid w:val="009825FF"/>
    <w:rsid w:val="00983197"/>
    <w:rsid w:val="0098610C"/>
    <w:rsid w:val="009949E0"/>
    <w:rsid w:val="009A3678"/>
    <w:rsid w:val="009A69EB"/>
    <w:rsid w:val="009C7551"/>
    <w:rsid w:val="009D7FB5"/>
    <w:rsid w:val="009D7FD6"/>
    <w:rsid w:val="009F69D5"/>
    <w:rsid w:val="00A07996"/>
    <w:rsid w:val="00A15704"/>
    <w:rsid w:val="00A217D8"/>
    <w:rsid w:val="00A2299E"/>
    <w:rsid w:val="00A2459F"/>
    <w:rsid w:val="00A32AFB"/>
    <w:rsid w:val="00A361C4"/>
    <w:rsid w:val="00A4341C"/>
    <w:rsid w:val="00A6231F"/>
    <w:rsid w:val="00A704F2"/>
    <w:rsid w:val="00A7174E"/>
    <w:rsid w:val="00A72515"/>
    <w:rsid w:val="00A81BF9"/>
    <w:rsid w:val="00AA69E8"/>
    <w:rsid w:val="00AA7123"/>
    <w:rsid w:val="00AB0D60"/>
    <w:rsid w:val="00AB5362"/>
    <w:rsid w:val="00AC114A"/>
    <w:rsid w:val="00AC4941"/>
    <w:rsid w:val="00B25BCB"/>
    <w:rsid w:val="00B405A8"/>
    <w:rsid w:val="00B41FB4"/>
    <w:rsid w:val="00B50051"/>
    <w:rsid w:val="00B60609"/>
    <w:rsid w:val="00B723AA"/>
    <w:rsid w:val="00B815F6"/>
    <w:rsid w:val="00B9223A"/>
    <w:rsid w:val="00B92DD8"/>
    <w:rsid w:val="00BA725C"/>
    <w:rsid w:val="00BC0A2A"/>
    <w:rsid w:val="00BC3670"/>
    <w:rsid w:val="00BC5792"/>
    <w:rsid w:val="00BF63FC"/>
    <w:rsid w:val="00BF6453"/>
    <w:rsid w:val="00C14D16"/>
    <w:rsid w:val="00C258EA"/>
    <w:rsid w:val="00C35F5E"/>
    <w:rsid w:val="00C36403"/>
    <w:rsid w:val="00C374EE"/>
    <w:rsid w:val="00C4347F"/>
    <w:rsid w:val="00C5211F"/>
    <w:rsid w:val="00C74936"/>
    <w:rsid w:val="00C860D0"/>
    <w:rsid w:val="00C97764"/>
    <w:rsid w:val="00CB3A5E"/>
    <w:rsid w:val="00CB51B5"/>
    <w:rsid w:val="00CD2224"/>
    <w:rsid w:val="00CE4C2C"/>
    <w:rsid w:val="00CE73BD"/>
    <w:rsid w:val="00CF2C14"/>
    <w:rsid w:val="00CF405D"/>
    <w:rsid w:val="00D0079A"/>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85E93"/>
    <w:rsid w:val="00D9515C"/>
    <w:rsid w:val="00DA34B9"/>
    <w:rsid w:val="00DB1379"/>
    <w:rsid w:val="00DC0946"/>
    <w:rsid w:val="00DC2A79"/>
    <w:rsid w:val="00DC630D"/>
    <w:rsid w:val="00DF15C4"/>
    <w:rsid w:val="00DF7C6E"/>
    <w:rsid w:val="00E01515"/>
    <w:rsid w:val="00E15D38"/>
    <w:rsid w:val="00E4129A"/>
    <w:rsid w:val="00E45518"/>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58755F28"/>
    <w:rsid w:val="60620AAB"/>
    <w:rsid w:val="74663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0"/>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EA781-E079-45C3-A5CC-777315BE879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268</Words>
  <Characters>1528</Characters>
  <Lines>12</Lines>
  <Paragraphs>3</Paragraphs>
  <TotalTime>247</TotalTime>
  <ScaleCrop>false</ScaleCrop>
  <LinksUpToDate>false</LinksUpToDate>
  <CharactersWithSpaces>1793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