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黑体" w:hAnsi="宋体" w:eastAsia="黑体" w:cs="黑体"/>
          <w:i w:val="0"/>
          <w:iCs w:val="0"/>
          <w:snapToGrid w:val="0"/>
          <w:color w:val="000000"/>
          <w:kern w:val="0"/>
          <w:sz w:val="24"/>
          <w:szCs w:val="21"/>
          <w:u w:val="none"/>
          <w:lang w:val="en-US" w:eastAsia="zh-CN"/>
        </w:rPr>
      </w:pPr>
      <w:bookmarkStart w:id="0" w:name="_GoBack"/>
      <w:bookmarkEnd w:id="0"/>
      <w:r>
        <w:rPr>
          <w:rFonts w:hint="eastAsia" w:ascii="黑体" w:hAnsi="宋体" w:eastAsia="黑体" w:cs="黑体"/>
          <w:i w:val="0"/>
          <w:iCs w:val="0"/>
          <w:snapToGrid w:val="0"/>
          <w:color w:val="000000"/>
          <w:kern w:val="0"/>
          <w:sz w:val="24"/>
          <w:szCs w:val="21"/>
          <w:u w:val="none"/>
          <w:lang w:val="en-US" w:eastAsia="zh-CN"/>
        </w:rPr>
        <w:t>附件</w:t>
      </w:r>
    </w:p>
    <w:p>
      <w:pPr>
        <w:pStyle w:val="33"/>
        <w:keepNext w:val="0"/>
        <w:keepLines w:val="0"/>
        <w:widowControl/>
        <w:suppressLineNumbers w:val="0"/>
        <w:ind w:firstLine="198" w:firstLineChars="100"/>
        <w:jc w:val="both"/>
        <w:textAlignment w:val="center"/>
        <w:rPr>
          <w:rFonts w:hint="eastAsia" w:ascii="黑体" w:hAnsi="宋体" w:eastAsia="黑体" w:cs="黑体"/>
          <w:i w:val="0"/>
          <w:iCs w:val="0"/>
          <w:snapToGrid w:val="0"/>
          <w:color w:val="000000"/>
          <w:kern w:val="0"/>
          <w:sz w:val="21"/>
          <w:szCs w:val="21"/>
          <w:u w:val="none"/>
          <w:lang w:val="en-US" w:eastAsia="zh-CN"/>
        </w:rPr>
      </w:pPr>
    </w:p>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方正小标宋_GBK" w:hAnsi="方正小标宋_GBK" w:eastAsia="方正小标宋_GBK" w:cs="黑体"/>
          <w:i w:val="0"/>
          <w:iCs w:val="0"/>
          <w:snapToGrid w:val="0"/>
          <w:color w:val="000000"/>
          <w:kern w:val="0"/>
          <w:sz w:val="44"/>
          <w:szCs w:val="21"/>
          <w:u w:val="none"/>
          <w:lang w:val="en-US" w:eastAsia="zh-CN"/>
        </w:rPr>
      </w:pPr>
    </w:p>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center"/>
        <w:outlineLvl w:val="9"/>
        <w:rPr>
          <w:rFonts w:hint="eastAsia" w:ascii="方正小标宋_GBK" w:hAnsi="方正小标宋_GBK" w:eastAsia="方正小标宋_GBK" w:cs="黑体"/>
          <w:i w:val="0"/>
          <w:iCs w:val="0"/>
          <w:snapToGrid w:val="0"/>
          <w:color w:val="000000"/>
          <w:kern w:val="0"/>
          <w:sz w:val="44"/>
          <w:szCs w:val="21"/>
          <w:u w:val="none"/>
          <w:lang w:val="en-US" w:eastAsia="zh-CN"/>
        </w:rPr>
      </w:pPr>
      <w:r>
        <w:rPr>
          <w:rFonts w:hint="eastAsia" w:ascii="方正小标宋_GBK" w:hAnsi="方正小标宋_GBK" w:eastAsia="方正小标宋_GBK" w:cs="黑体"/>
          <w:i w:val="0"/>
          <w:iCs w:val="0"/>
          <w:snapToGrid w:val="0"/>
          <w:color w:val="000000"/>
          <w:spacing w:val="0"/>
          <w:kern w:val="0"/>
          <w:sz w:val="44"/>
          <w:szCs w:val="21"/>
          <w:u w:val="none"/>
          <w:lang w:val="en-US" w:eastAsia="zh-CN"/>
        </w:rPr>
        <w:t>佛冈县涉企经营许可事项改革清单（2021年版）</w:t>
      </w:r>
    </w:p>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黑体" w:hAnsi="宋体" w:eastAsia="黑体" w:cs="黑体"/>
          <w:i w:val="0"/>
          <w:iCs w:val="0"/>
          <w:snapToGrid w:val="0"/>
          <w:color w:val="000000"/>
          <w:kern w:val="0"/>
          <w:sz w:val="21"/>
          <w:szCs w:val="21"/>
          <w:u w:val="none"/>
          <w:lang w:val="en-US" w:eastAsia="zh-CN"/>
        </w:rPr>
      </w:pPr>
    </w:p>
    <w:p>
      <w:pPr>
        <w:pStyle w:val="33"/>
        <w:keepNext w:val="0"/>
        <w:keepLines w:val="0"/>
        <w:widowControl/>
        <w:suppressLineNumbers w:val="0"/>
        <w:ind w:firstLine="198" w:firstLineChars="100"/>
        <w:jc w:val="both"/>
        <w:textAlignment w:val="center"/>
        <w:rPr>
          <w:rFonts w:hint="eastAsia" w:ascii="黑体" w:hAnsi="宋体" w:eastAsia="黑体" w:cs="黑体"/>
          <w:i w:val="0"/>
          <w:iCs w:val="0"/>
          <w:snapToGrid w:val="0"/>
          <w:color w:val="000000"/>
          <w:kern w:val="0"/>
          <w:sz w:val="21"/>
          <w:szCs w:val="21"/>
          <w:u w:val="none"/>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12"/>
        <w:gridCol w:w="1293"/>
        <w:gridCol w:w="1117"/>
        <w:gridCol w:w="1372"/>
        <w:gridCol w:w="846"/>
        <w:gridCol w:w="798"/>
        <w:gridCol w:w="830"/>
        <w:gridCol w:w="702"/>
        <w:gridCol w:w="670"/>
        <w:gridCol w:w="670"/>
        <w:gridCol w:w="654"/>
        <w:gridCol w:w="158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15" w:type="dxa"/>
            <w:vMerge w:val="restart"/>
            <w:shd w:val="clear" w:color="auto" w:fill="FFFFFF"/>
            <w:noWrap w:val="0"/>
            <w:vAlign w:val="center"/>
          </w:tcPr>
          <w:p>
            <w:pPr>
              <w:pStyle w:val="33"/>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序号</w:t>
            </w:r>
          </w:p>
        </w:tc>
        <w:tc>
          <w:tcPr>
            <w:tcW w:w="912"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snapToGrid w:val="0"/>
                <w:color w:val="000000"/>
                <w:kern w:val="0"/>
                <w:sz w:val="24"/>
                <w:szCs w:val="21"/>
                <w:u w:val="none"/>
                <w:lang w:val="en-US" w:eastAsia="zh-CN"/>
              </w:rPr>
            </w:pPr>
            <w:r>
              <w:rPr>
                <w:rFonts w:hint="eastAsia" w:ascii="黑体" w:hAnsi="黑体" w:eastAsia="黑体" w:cs="黑体"/>
                <w:i w:val="0"/>
                <w:iCs w:val="0"/>
                <w:snapToGrid w:val="0"/>
                <w:color w:val="000000"/>
                <w:kern w:val="0"/>
                <w:sz w:val="24"/>
                <w:szCs w:val="21"/>
                <w:u w:val="none"/>
                <w:lang w:val="en-US" w:eastAsia="zh-CN"/>
              </w:rPr>
              <w:t>主管</w:t>
            </w:r>
          </w:p>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部门</w:t>
            </w:r>
          </w:p>
        </w:tc>
        <w:tc>
          <w:tcPr>
            <w:tcW w:w="1293"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改革事项</w:t>
            </w:r>
          </w:p>
        </w:tc>
        <w:tc>
          <w:tcPr>
            <w:tcW w:w="1117"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许可证件名称</w:t>
            </w:r>
          </w:p>
        </w:tc>
        <w:tc>
          <w:tcPr>
            <w:tcW w:w="1372"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设定依据</w:t>
            </w:r>
          </w:p>
        </w:tc>
        <w:tc>
          <w:tcPr>
            <w:tcW w:w="846"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Style w:val="15"/>
                <w:rFonts w:hint="eastAsia" w:ascii="黑体" w:hAnsi="黑体" w:eastAsia="黑体"/>
                <w:snapToGrid w:val="0"/>
                <w:color w:val="000000"/>
                <w:sz w:val="24"/>
                <w:lang w:val="en-US" w:eastAsia="zh-CN"/>
              </w:rPr>
              <w:t>审批层级和部门</w:t>
            </w:r>
          </w:p>
        </w:tc>
        <w:tc>
          <w:tcPr>
            <w:tcW w:w="798"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市级主管部门</w:t>
            </w:r>
          </w:p>
        </w:tc>
        <w:tc>
          <w:tcPr>
            <w:tcW w:w="830" w:type="dxa"/>
            <w:vMerge w:val="restart"/>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我县实施部门</w:t>
            </w:r>
          </w:p>
        </w:tc>
        <w:tc>
          <w:tcPr>
            <w:tcW w:w="2696" w:type="dxa"/>
            <w:gridSpan w:val="4"/>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改革方式</w:t>
            </w:r>
          </w:p>
        </w:tc>
        <w:tc>
          <w:tcPr>
            <w:tcW w:w="1580" w:type="dxa"/>
            <w:vMerge w:val="restart"/>
            <w:shd w:val="clear" w:color="auto" w:fill="FFFFFF"/>
            <w:noWrap w:val="0"/>
            <w:vAlign w:val="center"/>
          </w:tcPr>
          <w:p>
            <w:pPr>
              <w:pStyle w:val="33"/>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snapToGrid w:val="0"/>
                <w:color w:val="000000"/>
                <w:kern w:val="0"/>
                <w:sz w:val="24"/>
                <w:szCs w:val="21"/>
                <w:u w:val="none"/>
                <w:lang w:val="en-US" w:eastAsia="zh-CN"/>
              </w:rPr>
            </w:pPr>
            <w:r>
              <w:rPr>
                <w:rFonts w:hint="eastAsia" w:ascii="黑体" w:hAnsi="黑体" w:eastAsia="黑体" w:cs="黑体"/>
                <w:i w:val="0"/>
                <w:iCs w:val="0"/>
                <w:snapToGrid w:val="0"/>
                <w:color w:val="000000"/>
                <w:kern w:val="0"/>
                <w:sz w:val="24"/>
                <w:szCs w:val="21"/>
                <w:u w:val="none"/>
                <w:lang w:val="en-US" w:eastAsia="zh-CN"/>
              </w:rPr>
              <w:t>具体改革</w:t>
            </w:r>
          </w:p>
          <w:p>
            <w:pPr>
              <w:pStyle w:val="33"/>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举措</w:t>
            </w:r>
          </w:p>
        </w:tc>
        <w:tc>
          <w:tcPr>
            <w:tcW w:w="2681" w:type="dxa"/>
            <w:vMerge w:val="restart"/>
            <w:shd w:val="clear" w:color="auto" w:fill="FFFFFF"/>
            <w:noWrap w:val="0"/>
            <w:vAlign w:val="center"/>
          </w:tcPr>
          <w:p>
            <w:pPr>
              <w:pStyle w:val="33"/>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715" w:type="dxa"/>
            <w:vMerge w:val="continue"/>
            <w:shd w:val="clear" w:color="auto" w:fill="FFFFFF"/>
            <w:noWrap w:val="0"/>
            <w:vAlign w:val="center"/>
          </w:tcPr>
          <w:p>
            <w:pPr>
              <w:pStyle w:val="33"/>
              <w:jc w:val="both"/>
              <w:rPr>
                <w:rFonts w:hint="eastAsia" w:ascii="仿宋_GB2312" w:hAnsi="仿宋_GB2312" w:eastAsia="仿宋_GB2312" w:cs="黑体"/>
                <w:i w:val="0"/>
                <w:iCs w:val="0"/>
                <w:color w:val="000000"/>
                <w:sz w:val="24"/>
                <w:szCs w:val="21"/>
                <w:u w:val="none"/>
              </w:rPr>
            </w:pPr>
          </w:p>
        </w:tc>
        <w:tc>
          <w:tcPr>
            <w:tcW w:w="912"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1293"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1117"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1372"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846"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798"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830"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702" w:type="dxa"/>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直接取消审批</w:t>
            </w:r>
          </w:p>
        </w:tc>
        <w:tc>
          <w:tcPr>
            <w:tcW w:w="670" w:type="dxa"/>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审批改为备案</w:t>
            </w:r>
          </w:p>
        </w:tc>
        <w:tc>
          <w:tcPr>
            <w:tcW w:w="670" w:type="dxa"/>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实行告知承诺</w:t>
            </w:r>
          </w:p>
        </w:tc>
        <w:tc>
          <w:tcPr>
            <w:tcW w:w="654" w:type="dxa"/>
            <w:shd w:val="clear" w:color="auto" w:fill="FFFFFF"/>
            <w:noWrap w:val="0"/>
            <w:vAlign w:val="center"/>
          </w:tcPr>
          <w:p>
            <w:pPr>
              <w:pStyle w:val="33"/>
              <w:keepNext w:val="0"/>
              <w:keepLines w:val="0"/>
              <w:widowControl/>
              <w:suppressLineNumbers w:val="0"/>
              <w:jc w:val="center"/>
              <w:textAlignment w:val="center"/>
              <w:rPr>
                <w:rFonts w:hint="eastAsia" w:ascii="黑体" w:hAnsi="黑体" w:eastAsia="黑体" w:cs="黑体"/>
                <w:i w:val="0"/>
                <w:iCs w:val="0"/>
                <w:color w:val="000000"/>
                <w:sz w:val="24"/>
                <w:szCs w:val="21"/>
                <w:u w:val="none"/>
              </w:rPr>
            </w:pPr>
            <w:r>
              <w:rPr>
                <w:rFonts w:hint="eastAsia" w:ascii="黑体" w:hAnsi="黑体" w:eastAsia="黑体" w:cs="黑体"/>
                <w:i w:val="0"/>
                <w:iCs w:val="0"/>
                <w:snapToGrid w:val="0"/>
                <w:color w:val="000000"/>
                <w:kern w:val="0"/>
                <w:sz w:val="24"/>
                <w:szCs w:val="21"/>
                <w:u w:val="none"/>
                <w:lang w:val="en-US" w:eastAsia="zh-CN"/>
              </w:rPr>
              <w:t>优化审批服务</w:t>
            </w:r>
          </w:p>
        </w:tc>
        <w:tc>
          <w:tcPr>
            <w:tcW w:w="1580"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c>
          <w:tcPr>
            <w:tcW w:w="2681" w:type="dxa"/>
            <w:vMerge w:val="continue"/>
            <w:shd w:val="clear" w:color="auto" w:fill="FFFFFF"/>
            <w:noWrap w:val="0"/>
            <w:vAlign w:val="center"/>
          </w:tcPr>
          <w:p>
            <w:pPr>
              <w:pStyle w:val="33"/>
              <w:jc w:val="center"/>
              <w:rPr>
                <w:rFonts w:hint="eastAsia" w:ascii="仿宋_GB2312" w:hAnsi="仿宋_GB2312" w:eastAsia="仿宋_GB2312" w:cs="黑体"/>
                <w:i w:val="0"/>
                <w:iCs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公安部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典当业特种行业许可证核发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典当业特种行业许可证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县级以上地方公安机关</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市公安局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县公安局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取消“典当业特种行业许可证核发</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2"/>
                <w:u w:val="none"/>
              </w:rPr>
            </w:pPr>
            <w:r>
              <w:rPr>
                <w:rStyle w:val="16"/>
                <w:rFonts w:hint="eastAsia" w:ascii="仿宋_GB2312" w:hAnsi="仿宋_GB2312" w:eastAsia="仿宋_GB2312"/>
                <w:snapToGrid w:val="0"/>
                <w:color w:val="000000"/>
                <w:sz w:val="24"/>
                <w:lang w:val="en-US" w:eastAsia="zh-CN"/>
              </w:rPr>
              <w:t>1.加强部门间信息共享，省级地方金融监管部门在实施</w:t>
            </w:r>
            <w:r>
              <w:rPr>
                <w:rStyle w:val="17"/>
                <w:rFonts w:hint="eastAsia" w:ascii="仿宋_GB2312" w:hAnsi="仿宋_GB2312" w:eastAsia="仿宋_GB2312"/>
                <w:snapToGrid w:val="0"/>
                <w:color w:val="000000"/>
                <w:sz w:val="24"/>
                <w:lang w:val="en-US" w:eastAsia="zh-CN"/>
              </w:rPr>
              <w:t>“设立典当行及分支机构审批</w:t>
            </w:r>
            <w:r>
              <w:rPr>
                <w:rStyle w:val="19"/>
                <w:rFonts w:hint="eastAsia" w:ascii="仿宋_GB2312" w:hAnsi="仿宋_GB2312" w:eastAsia="仿宋_GB2312"/>
                <w:snapToGrid w:val="0"/>
                <w:color w:val="000000"/>
                <w:sz w:val="24"/>
                <w:lang w:val="en-US" w:eastAsia="zh-CN"/>
              </w:rPr>
              <w:t>”</w:t>
            </w:r>
            <w:r>
              <w:rPr>
                <w:rStyle w:val="17"/>
                <w:rFonts w:hint="eastAsia" w:ascii="仿宋_GB2312" w:hAnsi="仿宋_GB2312" w:eastAsia="仿宋_GB2312"/>
                <w:snapToGrid w:val="0"/>
                <w:color w:val="000000"/>
                <w:sz w:val="24"/>
                <w:lang w:val="en-US" w:eastAsia="zh-CN"/>
              </w:rPr>
              <w:t>后及时将有关信息推送至公安机关，公安机关及时将典当行及其分支机构纳入监管范围。</w:t>
            </w:r>
            <w:r>
              <w:rPr>
                <w:rStyle w:val="20"/>
                <w:rFonts w:hint="eastAsia" w:ascii="仿宋_GB2312" w:hAnsi="仿宋_GB2312" w:eastAsia="仿宋_GB2312"/>
                <w:snapToGrid w:val="0"/>
                <w:color w:val="000000"/>
                <w:sz w:val="24"/>
                <w:lang w:val="en-US" w:eastAsia="zh-CN"/>
              </w:rPr>
              <w:t>2.</w:t>
            </w:r>
            <w:r>
              <w:rPr>
                <w:rStyle w:val="17"/>
                <w:rFonts w:hint="eastAsia" w:ascii="仿宋_GB2312" w:hAnsi="仿宋_GB2312" w:eastAsia="仿宋_GB2312"/>
                <w:snapToGrid w:val="0"/>
                <w:color w:val="000000"/>
                <w:sz w:val="24"/>
                <w:lang w:val="en-US" w:eastAsia="zh-CN"/>
              </w:rPr>
              <w:t>开展</w:t>
            </w:r>
            <w:r>
              <w:rPr>
                <w:rStyle w:val="19"/>
                <w:rFonts w:hint="eastAsia" w:ascii="仿宋_GB2312" w:hAnsi="仿宋_GB2312" w:eastAsia="仿宋_GB2312"/>
                <w:snapToGrid w:val="0"/>
                <w:color w:val="000000"/>
                <w:sz w:val="24"/>
                <w:lang w:val="en-US" w:eastAsia="zh-CN"/>
              </w:rPr>
              <w:t>“</w:t>
            </w:r>
            <w:r>
              <w:rPr>
                <w:rStyle w:val="17"/>
                <w:rFonts w:hint="eastAsia" w:ascii="仿宋_GB2312" w:hAnsi="仿宋_GB2312" w:eastAsia="仿宋_GB2312"/>
                <w:snapToGrid w:val="0"/>
                <w:color w:val="000000"/>
                <w:sz w:val="24"/>
                <w:lang w:val="en-US" w:eastAsia="zh-CN"/>
              </w:rPr>
              <w:t>双随机、一公开</w:t>
            </w:r>
            <w:r>
              <w:rPr>
                <w:rStyle w:val="19"/>
                <w:rFonts w:hint="eastAsia" w:ascii="仿宋_GB2312" w:hAnsi="仿宋_GB2312" w:eastAsia="仿宋_GB2312"/>
                <w:snapToGrid w:val="0"/>
                <w:color w:val="000000"/>
                <w:sz w:val="24"/>
                <w:lang w:val="en-US" w:eastAsia="zh-CN"/>
              </w:rPr>
              <w:t>”</w:t>
            </w:r>
            <w:r>
              <w:rPr>
                <w:rStyle w:val="17"/>
                <w:rFonts w:hint="eastAsia" w:ascii="仿宋_GB2312" w:hAnsi="仿宋_GB2312" w:eastAsia="仿宋_GB2312"/>
                <w:snapToGrid w:val="0"/>
                <w:color w:val="000000"/>
                <w:sz w:val="24"/>
                <w:lang w:val="en-US" w:eastAsia="zh-CN"/>
              </w:rPr>
              <w:t>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房地产开发企业三级资质核定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房地产开发企业资质证书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《中华人民共和国城市房地产管理法》《城市房地产开发经营管理条例》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县级以上地方住房城乡建设部</w:t>
            </w:r>
            <w:r>
              <w:rPr>
                <w:rFonts w:hint="eastAsia" w:ascii="仿宋_GB2312" w:hAnsi="仿宋_GB2312" w:cs="仿宋_GB2312"/>
                <w:i w:val="0"/>
                <w:iCs w:val="0"/>
                <w:snapToGrid w:val="0"/>
                <w:color w:val="000000"/>
                <w:kern w:val="0"/>
                <w:sz w:val="24"/>
                <w:szCs w:val="21"/>
                <w:u w:val="none"/>
                <w:lang w:val="en-US" w:eastAsia="zh-CN"/>
              </w:rPr>
              <w:t xml:space="preserve"> </w:t>
            </w:r>
            <w:r>
              <w:rPr>
                <w:rFonts w:hint="eastAsia" w:ascii="仿宋_GB2312" w:hAnsi="仿宋_GB2312" w:eastAsia="仿宋_GB2312" w:cs="仿宋_GB2312"/>
                <w:i w:val="0"/>
                <w:iCs w:val="0"/>
                <w:snapToGrid w:val="0"/>
                <w:color w:val="000000"/>
                <w:kern w:val="0"/>
                <w:sz w:val="24"/>
                <w:szCs w:val="21"/>
                <w:u w:val="none"/>
                <w:lang w:val="en-US" w:eastAsia="zh-CN"/>
              </w:rPr>
              <w:t>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市住房城乡建设局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县住房和城乡建设局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将房地产开发企业资质由四级调整为两级，取消三级资质，相应调整二级资质的许可条件。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监管，依法查处违法违规行为并公开结果。2.加强信用监管，依法依规对失信主体开展失信惩戒。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房地产开发企业四级资质核定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房地产开发企业资质证书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《中华人民共和国城市房地产管理法》《城市房地产开发经营管理条例》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县级以上地方住房城乡建设部门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市住房城乡建设局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县住房和城乡建设局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将房地产开发企业资质由四级调整为两级，取消四级资质，相应调整二级资质的许可条件。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监管，依法查处违法违规行为并公开结果。2.加强信用监管，依法依规对失信主体开展失信惩戒。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建设工程设计企业资质认定（丙级、丁级）</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工程设计资质证书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《中华人民共和国建筑法》《建设工程勘察设计管理条例》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县级住房城乡建设部门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市住房城乡建设局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县住房和城乡建设局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将建设工程设计企业资质由三级或者四级调整为两级，取消丙级、丁级资质，相应调整乙级资质的许可条件。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监管，对在建工程项目实施重点监管，依法查处违法违规行为并公开结果。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严厉打击资质申报弄虚作假行为，对弄虚作假的企业依法予以通报或撤销其资质。</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工程监理企业资质认定（丙级，事务所，公路、水利水电、港口与航道、农林工程专业）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工程监理资质证书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《中华人民共和国建筑法》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住房城乡建设部；省级住房城乡建设部门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市住房城乡建设局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县住房和城乡建设局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1.将工程监理企业资质由三级调整为两级，取消丙级资质，相应调整乙级资质的许可条件。</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取消住房城乡建设部门审批的监理事务所资质和公路、水利水电、港口与航道、农林工程专业监理资质。</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监管，对在建工程项目实施重点监管，依法查处违法违规行为并公开结果。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严厉打击资质申报弄虚作假行为，对弄虚作假的企业依法予以通报或撤销其资质。</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水产良种场的水产苗种生产许可证核发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水产苗种生产许可证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《中华人民共和国渔业法》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省级农业农村（渔业）部门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不再保留水产良种场类别，原有良种场纳入一般水产苗种场管理，不再实施特别的管理措施。</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对风险等级高、投诉举报多的企业实施重点监管。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石油成品油批发经营资格审批（初审）</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无</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设区的市级能源部门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取消“石油成品油批发经营资格审批（初审）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1.严格落实行业监管职责。要求有关企业建立购销和出入库台账制度。开展“双随机、一公开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监管、信用监管，发现违法违规行为要依法处理或者提请有关部门予以查处。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公安、自然资源、生态环境、住房城乡建设、交通运输、商务、应急管理、税务、市场监管、能源等部门按职责依法依规加强监管，承担安全生产监管责任的部门切实履行监管责任、守牢安全底线。</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石油成品油批发经营资格审批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原油销售经营批准证书、成品油批发经营批准证书</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取消“石油成品油批发经营资格审批</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1.严格落实行业监管职责。要求有关企业建立购销和出入库台账制度。开展“双随机、一公开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监管、信用监管，发现违法违规行为要依法处理或者提请有关部门予以查处。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公安、自然资源、生态环境、住房城乡建设、交通运输、商务、应急管理、税务、市场监管、能源等部门按职责依法依规加强监管，承担安全生产监管责任的部门切实履行监管责任、守牢安全底线。</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9</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石油成品油仓储经营资格审批（初审）</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无</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设区的市级能源部门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取消省级商务部门实施的“石油成品油仓储经营资格审批（初审）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1.严格落实行业监管职责。要求有关企业建立购销和出入库台账制度。开展“双随机、一公开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监管、信用监管，发现违法违规行为要依法处理或者提请有关部门予以查处。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公安、自然资源、生态环境、住房城乡建设、交通运输、商务、应急管理、税务、市场监管、能源等部门按职责依法依规加强监管，承担安全生产监管责任的部门切实履行监管责任、守牢安全底线。</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10</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石油成品油仓储经营资格审批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原油仓储经营批准证书、成品油仓储经营批准证书</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取消“石油成品油仓储经营资格审批</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1.严格落实行业监管职责。要求有关企业建立购销和出入库台账制度。开展“双随机、一公开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监管、信用监管，发现违法违规行为要依法处理或者提请有关部门予以查处。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公安、自然资源、生态环境、住房城乡建设、交通运输、商务、应急管理、税务、市场监管、能源等部门按职责依法依规加强监管，承担安全生产监管责任的部门切实履行监管责任、守牢安全底线。</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诊所设置审批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无</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开办诊所不再向卫生健康部门申请办理设置审批，直接办理诊所执业备案。</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1.完善医疗服务监管信息系统，要求诊所将诊疗信息及时上传信息系统。</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加强监督管理，根据相关管理规定，发现问题依法严肃处理。</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将诊所执业状况记入诊所主要负责人个人诚信记录，强化信用约束。</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向社会公开诊所有关信息和医师、护士注册信息，加强行业自律和社会监督。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计划生育技术服务机构设立许可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计划生育技术服务机构执业许可证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《计划生育技术服务管理条例》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取消“计划生育技术服务机构设立许可</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，纳入</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母婴保健专项技术服务许可</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进行统一审批管理。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1.加强监督管理，发现违法违规行为要依法查处并公开结果。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加强信用监管，将计划生育技术服务机构执业状况记入信用记录并依法向社会公布。</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市场监管总局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广告发布登记</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关于准予广告发布登记的通知书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《中华人民共和国广告法》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县级以上地方市场监管部门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市市场监管局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县市场监管局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取消“广告发布登记</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1.加大广告监测力度，发现广告发布机构发布虚假违法广告要依法查处。</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加强协同监管，联合有关部门共同做好广告发布机构监管工作。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林草种子（林木良种苗木）生产经营许可证核发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林草种子生产经营许可证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待全国人大常委会完成法律修改程序后，不再保留林木良种苗木类别，原有林木良种苗木纳入一般林木种苗管理，不再实施特别的管理措施。</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监管，发现违法违规行为要依法查处并公开结果。2.加强信用监管，建立企业信用档案并依法公开，依法依规对失信主体开展失信惩戒。3.发挥行业协会自律作用。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林草种子（选育生产经营相结合单位）生产经营许可证核发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林草种子生产经营许可证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待全国人大常委会完成法律修改程序后，不再保留林草种子选育生产经营相结合单位类别，原有单位纳入一般林草种子生产经营企业管理，不再实施特别的管理措施。</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监管，发现违法违规行为要依法查处并公开结果。2.加强信用监管，建立企业信用档案并依法公开，依法依规对失信主体开展失信惩戒。3.发挥行业协会自律作用。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林草种子质量检验机构资质考核</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林草种子质量检验机构资质证书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国家林草局；省级林草部门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取消“林草种子质量检验机构资质考核</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1.市场监管部门通过“双随机、一公开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监管、重点监管、信用监管等方式，对检验检测机构实施日常管理，发现违法违规行为要依法查处并向社会公开结果，涉及林木种子质量检验机构的还要及时推送至同级林草部门。</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林业质检机构资质认定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林业质检机构资质审查认可授权证书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《中华人民共和国标准化法实施条例》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取消“林业质检机构资质认定</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1.市场监管部门通过“双随机、一公开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监管、重点监管、信用监管等方式，对检验检测机构实施日常管理，发现违法违规行为要依法查处并向社会公开结果，涉及林业质检机构的还要及时推送至同级林草部门。</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机动车驾驶员培训许可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《中华人民共和国道路交通安全法》《中华人民共和国道路运输条例》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县级交通运输部门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取消“机动车驾驶员培训许可</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，改为备案管理。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1.健全信用管理制度，强化对驾驶培训机构和教练员的信用监管。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加强与公安、市场监管部门的信息共享，实施跨部门联合监管。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监管，对培训学时造假等违法违规行为依法查处并公开结果。</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严厉打击虚假备案行为，对弄虚作假的培训机构依法处理，情节严重的实行行业禁入。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肥料登记（大量元素水溶肥料、中量元素水溶肥料、微量元素水溶肥料、农用氯化钾镁、农用硫酸钾镁、复混肥料、掺混肥料）</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肥料登记证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《中华人民共和国土壤污染防治法》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农业农村部；省级农业农村部门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4"/>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取消对大量元素水溶肥料、中量元素水溶肥料、微量元素水溶肥料、农用氯化钾镁、农用硫酸钾镁、复混肥料、掺混肥料产品的许可准入管理，改为备案管理。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加强行业监测，畅通投诉举报渠道，将风险隐患、投诉举报较多的企业列入重点监管对象。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加强信用监管，依法向社会公布肥料生产企业信用状况，依法依规对失信主体开展失信惩戒。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诊所执业登记</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医疗机构执业许可证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取消对诊所执业的许可准入管理，改为备案管理。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1.建立健全诊所备案制度，及时将备案诊所纳入医疗质量控制体系。加强对未备案行为的监管。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完善医疗服务监管信息系统，要求诊所将诊疗信息及时上传信息系统。</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加强监督管理，根据相关管理规定，发现问题依法严肃处理。</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依法将诊所执业状况记入诊所主要负责人个人诚信记录，强化信用约束。</w:t>
            </w:r>
            <w:r>
              <w:rPr>
                <w:rStyle w:val="14"/>
                <w:rFonts w:hint="eastAsia" w:ascii="仿宋_GB2312" w:hAnsi="仿宋_GB2312" w:eastAsia="仿宋_GB2312"/>
                <w:snapToGrid w:val="0"/>
                <w:color w:val="000000"/>
                <w:sz w:val="24"/>
                <w:lang w:val="en-US" w:eastAsia="zh-CN"/>
              </w:rPr>
              <w:t>5.</w:t>
            </w:r>
            <w:r>
              <w:rPr>
                <w:rStyle w:val="18"/>
                <w:rFonts w:hint="eastAsia" w:ascii="仿宋_GB2312" w:hAnsi="仿宋_GB2312" w:eastAsia="仿宋_GB2312"/>
                <w:snapToGrid w:val="0"/>
                <w:color w:val="000000"/>
                <w:sz w:val="24"/>
                <w:lang w:val="en-US" w:eastAsia="zh-CN"/>
              </w:rPr>
              <w:t>向社会公开诊所备案信息和医师、护士注册信息，加强行业自律和社会监督。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市场监管总局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食品经营许可（仅销售预包装食品）</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食品经营许可证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《中华人民共和国食品安全法》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县级以上地方市场监管部门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市市场监管局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县市场监管局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1.对仅销售预包装食品的企业，取消食品经营许可，改为备案管理。</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将</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食品经营备案（仅销售预包装食品）</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纳入</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多证合一</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范围，在企业登记注册环节一并办理备案手续。</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1.对备案企业加强监督检查，重点检查备案信息与实际情况是否相符、备案企业是否经营预包装食品以外的其他食品，依法严厉打击违规经营行为。</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加强食品销售风险分级管理和信用监管，将虚假备案、违规经营等信息记入企业食品安全信用记录，依法依规对失信主体开展失信惩戒，依法查处违法违规行为。</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畅通投诉举报渠道，强化社会监督。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国家粮食和储备局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粮食收购资格认定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粮食收购许可证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《粮食流通管理条例》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企业办理登记注册的市场监管部门同级的粮食和储备部门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取消“粮食收购资格认定</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，改为备案管理。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1.通过“双随机、一公开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监管、重点监管等方式，依法查处违法违规企业。</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加强信用监管，依法向社会公布企业信用状况，依法依规对失信主体开展失信惩戒。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严厉打击弄虚作假行为，对弄虚作假的企业依法予以处理。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公安部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旅馆业特种行业许可证核发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旅馆业特种行业许可证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《国务院对确需保留的行政审批项目设定行政许可的决定》《旅馆业治安管理办法》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县级以上地方公安机关</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市公安局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县公安局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1.加强对承诺内容真实性的核查，发现虚假承诺、承诺严重不实的要依法处理。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公安部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公章刻制业特种行业许可证核发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公章刻制业特种行业许可证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《国务院对确需保留的行政审批项目设定行政许可的决定》《印铸刻字业暂行管理规则》</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设区的市、县级公安机关</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市公安局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县公安局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1.加强对承诺内容真实性的核查，发现虚假承诺、承诺严重不实的要依法处理。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监管，依法查处违法违规行为。</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加强公章刻制备案管理，督促公章刻制企业严格落实公章刻制备案管理要求，及时规范上传、报送公章刻制备案信息。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公安部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互联网上网服务营业场所信息网络安全审核</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批准文件</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《互联网上网服务营业场所管理条例》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省、设区的市、县级公安机关</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市公安局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县公安局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1.加强对承诺内容真实性的核查，发现虚假承诺、承诺严重不实的要依法处理。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监管，依法查处违法违规行为。</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加强信用监管，建立从业人员信用记录，依法依规对失信主体开展失信惩戒。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财政部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中介机构从事代理记账业务审批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代理记账许可证书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《中华人民共和国会计法》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县级以上地方财政部门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市财政局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县财政局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1.对以告知承诺方式取得代理记账资格的中介机构，在一定期限内进行全覆盖检查，加强对其承诺内容真实性的核查，发现虚假承诺或承诺严重不实的要依法处理。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监管，并根据企业受到处罚情况、其他部门移交线索、群众举报等实施重点监管。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加强信用监管，依法向社会公布中介机构信用状况和违法中介机构名单，依法依规对失信主体开展失信惩戒。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人力资源社会保障部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民办职业培训学校设立、分立、合并、变更及终止审批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民办学校办学许可证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《中华人民共和国民办教育促进法》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县级以上地方人力资源社会保障部门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市人力资源社会保障局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县人力资源和社会保障局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加强信用监管，依法向社会公布民办职业培训学校信用状况，依法依规对失信主体开展失信惩戒。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人力资源社会保障部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人力资源服务许可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人力资源服务许可证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《中华人民共和国就业促进法》《人力资源市场暂行条例》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县级以上地方人力资源社会保障部门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市人力资源社会保障局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县人力资源和社会保障局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加强信用监管，依法向社会公布人力资源服务机构信用状况，依法依规对失信主体开展失信惩戒。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29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道路货运经营许可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《中华人民共和国道路运输条例》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县级交通运输部门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1.强化市场监管、交通运输等部门之间登记许可信息共享。</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在实施许可后一定时期内加强监督检查，对不符合承诺条件开展经营的要责令限期整改，逾期不整改或整改后仍达不到要求的，要依法撤销许可证件。</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道路旅客运输站经营许可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《中华人民共和国道路运输条例》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县级交通运输部门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1.强化市场监管、交通运输等部门之间的登记许可信息共享。</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向社会公开承诺内容，加强社会监督。</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在实施许可后一定时期内加强监督检查，对不符合承诺条件开展经营的要责令限期整改，逾期不整改或整改后仍达不到要求的，要依法撤销许可证件。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港口（涉及客运和危险货物港口作业的经营项目除外）经营许可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港口经营许可证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《中华人民共和国港口法》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省级交通运输部门或所在地港口部门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xml:space="preserve">1.对不符合承诺条件开展经营的要责令限期整改，逾期不整改或整改后仍达不到要求的，要依法撤销许可证。2.加强信用监管，依法依规建立健全诚信管理制度，依法及时向社会公布港口企业信用状况。                                                                                                                                                                                                                                                                                                                                                                                                                                                                                                                                                                                                                                                                                                                                                                                                                                                                                                                                                                                                                                                                                                                                                                                                                                                                                                                                                                                                                                                                                                                                                                                                                                                                                                                                                                                                                                                                                                                                                                                                                                                                                                                                                                                                                                                                                                                                                                                                                                                                                                                                                                                                                                                                                                                                                                                                                                                                                                                                                                                                                                                                                                                                                                                                                                                                                                                                                                                                                                                                                                                                                                                                                                                                                                                                                                                                                                                                                                                                                                                                                                                                                                                     </w:t>
            </w:r>
            <w:r>
              <w:rPr>
                <w:rFonts w:hint="eastAsia" w:ascii="仿宋_GB2312" w:hAnsi="仿宋_GB2312" w:eastAsia="仿宋_GB2312" w:cs="仿宋_GB2312"/>
                <w:i w:val="0"/>
                <w:iCs w:val="0"/>
                <w:snapToGrid w:val="0"/>
                <w:color w:val="000000"/>
                <w:kern w:val="0"/>
                <w:sz w:val="24"/>
                <w:szCs w:val="21"/>
                <w:u w:val="none"/>
                <w:lang w:val="en-US" w:eastAsia="zh-CN"/>
              </w:rPr>
              <w:t xml:space="preserve">                                                                                                                                                                                                                                                                                                                                                                                                                                                                                                                                                                                                                                                                                                                                                                                                                                                                                                                                                                                                                                                                                                                                                                                                                                                                                                                                                                                                                                                                                                                                                                                                                                                                                                                                                                                                                                                                                                                                                                                                                                                                                                                                                                                                                                                                                                                                                                                                                                                                                                                                                                                                                                                                                                                                                                                                                                                                                                                                                                                                                                                                                                                                                                                                                                                                                                                                                                                                                                                                                                                                                                                                                                                                                                                                                                                                                                                                                                                                                                                                                                                                                                                                                                                                                </w:t>
            </w:r>
            <w:r>
              <w:rPr>
                <w:rFonts w:hint="eastAsia" w:ascii="仿宋_GB2312" w:hAnsi="仿宋_GB2312" w:eastAsia="仿宋_GB2312" w:cs="仿宋_GB2312"/>
                <w:i w:val="0"/>
                <w:iCs w:val="0"/>
                <w:snapToGrid w:val="0"/>
                <w:color w:val="000000"/>
                <w:kern w:val="0"/>
                <w:sz w:val="24"/>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公共场所卫生许可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卫生许可证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《公共场所卫生管理条例》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加强信用监管，向社会公布卫生状况存在严重问题的公共场所信息。</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畅通投诉举报渠道，依法及时处理投诉举报。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33</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应急部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公众聚集场所投入使用、营业前消防安全检查</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公众聚集场所投入使用、营业前消防安全检查合格证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《中华人民共和国消防法》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设区的市、县级消防救援机构</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市消防救援支队</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县消防救援大队</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监管，对投诉举报多的场所实施重点监管。2.公众聚集场所发生造成人员死亡或重大社会影响的火灾，倒查使用管理方主体责任，依法严肃查处。</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加强信用监管，依法向社会公布公众聚集场所消防安全检查情况，依法依规对失信主体加大抽查比例并开展失信惩戒。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林草种子（普通）生产经营许可证核发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林草种子生产经营许可证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制定核查办法，明确核查时间、标准、方式，优化现场检查程序。3.加强信用监管，建立企业信用记录并依法向社会公开。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教育部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实施中等及中等以下学历教育、学前教育、自学考试助学及其他文化教育的民办学校设立、变更和终止审批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中华人民共和国民办学校办学许可证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《中华人民共和国民办教育促进法》《中华人民共和国民办教育促进法实施条例》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县级以上地方教育部门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市教育局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县教育局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1.在社会组织申请筹设或正式设立营利性民办学校时，不再要求提交由会计师事务所出具的该社会组织近</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年的年度财务会计报告审计结果等材料。</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在民办学校举办者再次申请举办营利性民办学校时，不再要求提交近</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年年度检查的证明材料和有资质的会计师事务所出具的学校上年度财务会计报告审计结果。</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将营利性民办学校申请许可证到期延续审批时限均由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对民办学校申请许可证到期延续的，若许可条件基本不变且无违法违规或失信记录，在各学段原有许可证期限基础上延长</w:t>
            </w:r>
            <w:r>
              <w:rPr>
                <w:rStyle w:val="14"/>
                <w:rFonts w:hint="eastAsia" w:ascii="仿宋_GB2312" w:hAnsi="仿宋_GB2312" w:eastAsia="仿宋_GB2312"/>
                <w:snapToGrid w:val="0"/>
                <w:color w:val="000000"/>
                <w:sz w:val="24"/>
                <w:lang w:val="en-US" w:eastAsia="zh-CN"/>
              </w:rPr>
              <w:t>1</w:t>
            </w:r>
            <w:r>
              <w:rPr>
                <w:rStyle w:val="18"/>
                <w:rFonts w:hint="eastAsia" w:ascii="仿宋_GB2312" w:hAnsi="仿宋_GB2312" w:eastAsia="仿宋_GB2312"/>
                <w:snapToGrid w:val="0"/>
                <w:color w:val="000000"/>
                <w:sz w:val="24"/>
                <w:lang w:val="en-US" w:eastAsia="zh-CN"/>
              </w:rPr>
              <w:t>年有效期。</w:t>
            </w:r>
            <w:r>
              <w:rPr>
                <w:rStyle w:val="14"/>
                <w:rFonts w:hint="eastAsia" w:ascii="仿宋_GB2312" w:hAnsi="仿宋_GB2312" w:eastAsia="仿宋_GB2312"/>
                <w:snapToGrid w:val="0"/>
                <w:color w:val="000000"/>
                <w:sz w:val="24"/>
                <w:lang w:val="en-US" w:eastAsia="zh-CN"/>
              </w:rPr>
              <w:t>5.</w:t>
            </w:r>
            <w:r>
              <w:rPr>
                <w:rStyle w:val="18"/>
                <w:rFonts w:hint="eastAsia" w:ascii="仿宋_GB2312" w:hAnsi="仿宋_GB2312" w:eastAsia="仿宋_GB2312"/>
                <w:snapToGrid w:val="0"/>
                <w:color w:val="000000"/>
                <w:sz w:val="24"/>
                <w:lang w:val="en-US" w:eastAsia="zh-CN"/>
              </w:rPr>
              <w:t>每半年</w:t>
            </w:r>
            <w:r>
              <w:rPr>
                <w:rStyle w:val="14"/>
                <w:rFonts w:hint="eastAsia" w:ascii="仿宋_GB2312" w:hAnsi="仿宋_GB2312" w:eastAsia="仿宋_GB2312"/>
                <w:snapToGrid w:val="0"/>
                <w:color w:val="000000"/>
                <w:sz w:val="24"/>
                <w:lang w:val="en-US" w:eastAsia="zh-CN"/>
              </w:rPr>
              <w:t>1</w:t>
            </w:r>
            <w:r>
              <w:rPr>
                <w:rStyle w:val="18"/>
                <w:rFonts w:hint="eastAsia" w:ascii="仿宋_GB2312" w:hAnsi="仿宋_GB2312" w:eastAsia="仿宋_GB2312"/>
                <w:snapToGrid w:val="0"/>
                <w:color w:val="000000"/>
                <w:sz w:val="24"/>
                <w:lang w:val="en-US" w:eastAsia="zh-CN"/>
              </w:rPr>
              <w:t>次公布营利性民办学校存量情况。</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监管，定期进行抽查检查，加强对民办学校的过程性指导，加大对违法违规办学行为的查处力度。</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推进民办教育信用信息公示制度，将民办学校的法人登记信息、行政许可信息、年度检查信息、监督检查结果、行政处罚信息向社会公示，强化信用约束。</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依法依规建立违规失信惩戒机制，并将违规办学的学校及其举办者和负责人纳入黑名单，依法向社会公开，并对其今后在民办教育领域的许可申请实施重点监管。</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健全联合执法机制，通过跨部门的实时数据对接和信息共享，及时掌握和研判民办教育领域出现的新问题，积极主动予以应对。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人力资源社会保障部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劳务派遣经营许可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劳务派遣经营许可证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《中华人民共和国劳动合同法》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县级以上地方人力资源社会保障部门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市人力资源社会保障局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县人力资源和社会保障局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制作并公布告知承诺书格式文本，一次性告知申请人许可条件和所需材料。对申请人自愿承诺符合许可条件并按要求提交材料的，当场作出许可决定。2.有条件的地区将省、设区的市级人力资源社会保障部门的审批权限下放至县级人力资源社会保障部门。3.加快实现申请、审批全程网上办理。4.不再要求申请人提供营业执照、企业名称预先核准通知书、法定代表人身份证明等材料。</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1.对以告知承诺方式取得经营许可的劳务派遣单位，加强对其承诺真实性的核查，发现虚假承诺或者承诺严重不实的要依法依规处理。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加强劳动保障监察执法，开展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监管，对取得劳务派遣许可证满一年但未报告年度经营情况或未开展经营活动的劳务派遣单位定期开展检查。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对劳务派遣单位进行信用评价、风险评估或者黑名单管理，依法向社会公布劳务派遣单位信用状况，依法依规对失信主体开展失信惩戒。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自然资源部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勘查矿产资源审批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矿产资源勘查许可证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《中华人民共和国矿产资源法》《中华人民共和国矿产资源法实施细则》《矿产资源勘查区块登记管理办法》《探矿权采矿权转让管理办法》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自然资源部；省级自然资源部门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市自然资源局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县自然资源局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监管，对违法违规探矿的要依法查处并公开结果。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利用有关信息系统实现矿业权人勘查开采信息公示等，加强对探矿权人行为的监管。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自然资源部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开采矿产资源审批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采矿许可证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《中华人民共和国矿产资源法》《中华人民共和国矿产资源法实施细则》《矿产资源开采登记管理办法》《探矿权采矿权转让管理办法》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自然资源部；县级以上地方自然资源部门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市自然资源局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县自然资源局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监管，对违法违规采矿的要依法查处并公开结果。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利用有关信息系统实现矿业权人勘查开采信息公示等，加强对采矿权人行为的监管。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39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生态环境部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危险废物综合经营许可证核发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危险废物经营许可证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《中华人民共和国固体废物污染环境防治法》《危险废物经营许可证管理办法》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县级以上地方生态环境部门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市生态环境局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市生态环境局佛冈分局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监管，合理确定抽查比例。</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畅通投诉举报渠道，依法及时处理有关投诉举报，并公开结果。</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要求危险废物经营单位定期报告有关经营活动环境污染防治情况，将违规经营情况纳入企业信用记录。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生态环境部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排污许可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排污许可证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《中华人民共和国环境保护法》《中华人民共和国大气污染防治法》《中华人民共和国水污染防治法》《中华人民共和国土壤污染防治法》《排污许可管理条例》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县级以上地方生态环境部门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市生态环境局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市生态环境局佛冈分局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通过建设项目行业特征表实现有关信息系统的衔接，推动环境影响评价与排污许可之间的信息共享，不再要求企业重复填报有关信息。</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监管，依法查处无证排污行为和未按证排污行为。</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畅通投诉举报渠道，对反映问题多的排污单位实施重点监管。3.加强信用监管，将企业环境信用信息通过有关信息共享平台向各地区、各部门共享，依法向社会公开信用信息，并对失信主体开展失信惩戒。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41</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住房城乡建设部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燃气经营许可证核发</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燃气经营许可证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《城镇燃气管理条例》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县级以上地方燃气管理部门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市城市管理综合执法局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县城市管理和综合执法局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1.实行电子化申报和审批。2.不再要求申请人提供人员身份证明、社保证明、资质资格证书等材料。</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监管，通过信息公示、抽查、抽验等方式，综合运用提醒、约谈、告诫等手段，依法查处违法违规行为并公开结果。2.加强信用监管，依法依规对失信主体开展失信惩戒。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国内水路运输业务经营许可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国内水路运输经营许可证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《国内水路运输管理条例》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省、设区的市级水路运输部门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1.实现办理审批“最多跑一次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加强与市场监管部门之间的信息共享，不再要求申请人提供营业执照等材料。3.将审批时限由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10</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监管，对诚信状况差、投诉举报多、受处罚警告多的经营主体提高抽查比例。</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加强对国内水路运输企业的年度书面检查，发现不具备经营许可条件的要依法及时处理。</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外商投资企业经营沿海、江河、湖泊及其他通航水域水路运输审批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国内水路运输经营许可证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《国内水路运输管理条例》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省、设区的市级水路运输部门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1.实现办理审批“最多跑一次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不再要求申请人提供营业执照，在线获取营业执照等材料。</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10</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监管，对诚信状况差、投诉举报多、受处罚警告多的经营主体提高抽查比例。</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加强对国内水路运输企业的年度书面检查，发现不具备经营许可条件的要依法及时处理。</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港口（旅客、危险货物）经营许可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港口经营许可证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《中华人民共和国港口法》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省级交通运输部门或所在地港口部门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1.推动实现申请、审批全程网上办理并在网上公布许可条件和办理流程。</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不再要求申请人提供营业执照等材料，在线获取营业执照信息。</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30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通过有关信息化系统加强对港口经营人作业活动和作业区域的监督检查，督促其落实安全生产责任。3.加强信用监管，依法向社会公开港口企业信用记录。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道路旅客运输经营许可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《中华人民共和国道路运输条例》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设区的市、县级交通运输部门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不再要求申请人提供企业章程，现有营运客车行驶证、车辆技术等级评定结论、客车类型等级评定证明，已聘用或者拟聘用驾驶人员的</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年内无重大以上交通责任事故证明等材料。</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1.强化部门间信息共享。</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加强社会监督，向社会公开道路旅客运输企业的运输服务质量承诺，依法及时处理投诉举报。3.加强对道路旅客运输活动的监督检查，发现违法违规行为要依法查处。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出租汽车经营许可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道路运输经营许可证、网络预约出租汽车经营许可证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直辖市、设区的市、县级交通运输部门或者人民政府指定的出租汽车行政主管部门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1.开展服务质量信誉考核测评，建立出租汽车经营者信用档案并依法向社会公开信用记录，依法依规对失信主体开展失信惩戒。</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交通运输部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出租汽车车辆运营证核发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道路运输证、网络预约出租汽车运输证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直辖市、设区的市、县级交通运输部门或者人民政府指定的出租汽车行政主管部门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市交通运输局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县交通运输局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对开展出租汽车技术等级评定的地区，不再要求申请人提供技术等级评定相关材料，直接向检测机构获取车辆技术等级评定信息。</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1.开展服务质量信誉考核测评，建立出租汽车经营者信用档案并依法向社会公开信用记录，依法依规对失信主体开展失信惩戒。</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水利部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河道（含长江）采砂许可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河道采砂许可证、长江河道采砂许可证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《中华人民共和国水法》《中华人民共和国河道管理条例》《长江河道采砂管理条例》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有关流域管理机构；县级以上地方水利部门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市水利局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县水利局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1.加强河道采砂规划编制审批，实行年度采量控制，及时向社会公布可采区、可采期、可采量。</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对公益性采砂减少审批环节，对符合相关工程建设项目程序的，不再同时开展河道（含长江）采砂行政许可。</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采取灵活的许可实施方式，各地可结合实际采取招标等公平竞争的方式实施许可。</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鼓励和支持河砂统一开采管理。</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1.落实河道采砂管理河长、水行政主管部门、现场监管部门和行政执法部门四方责任。</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四不两直</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暗访，加强对采砂情况的监督检查。3.对长江干流实行砂石采运管理单制度，加强采砂现场及运输环节监管。</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运用卫星遥感、卫星导航定位、视频监控、无人机航测等技术手段进行动态监控。</w:t>
            </w:r>
            <w:r>
              <w:rPr>
                <w:rStyle w:val="14"/>
                <w:rFonts w:hint="eastAsia" w:ascii="仿宋_GB2312" w:hAnsi="仿宋_GB2312" w:eastAsia="仿宋_GB2312"/>
                <w:snapToGrid w:val="0"/>
                <w:color w:val="000000"/>
                <w:sz w:val="24"/>
                <w:lang w:val="en-US" w:eastAsia="zh-CN"/>
              </w:rPr>
              <w:t>5.</w:t>
            </w:r>
            <w:r>
              <w:rPr>
                <w:rStyle w:val="18"/>
                <w:rFonts w:hint="eastAsia" w:ascii="仿宋_GB2312" w:hAnsi="仿宋_GB2312" w:eastAsia="仿宋_GB2312"/>
                <w:snapToGrid w:val="0"/>
                <w:color w:val="000000"/>
                <w:sz w:val="24"/>
                <w:lang w:val="en-US" w:eastAsia="zh-CN"/>
              </w:rPr>
              <w:t>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49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水利部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取水许可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取水许可证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《中华人民共和国水法》《取水许可和水资源费征收管理条例》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流域管理机构；县级以上地方水利部门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市水利局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县水利局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1.在各类开发区、工业园区、新区和其他有条件的区域，推行水资源论证区域评估，对已实施水资源论证区域评估范围内的建设项目推行取水许可告知承诺制。</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按国务院统一部署，推广取水许可电子许可证，实现申请、审批全程网上办理。</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简化优化建设项目水资源论证管理要求，实行报告表、报告书分类管理，对取水量较小、用水工艺简单且取退水影响小的项目推行报告表管理。</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简化技术审查环节，细化明确报告书技术审查标准，报告书技术审查时限由</w:t>
            </w:r>
            <w:r>
              <w:rPr>
                <w:rStyle w:val="14"/>
                <w:rFonts w:hint="eastAsia" w:ascii="仿宋_GB2312" w:hAnsi="仿宋_GB2312" w:eastAsia="仿宋_GB2312"/>
                <w:snapToGrid w:val="0"/>
                <w:color w:val="000000"/>
                <w:sz w:val="24"/>
                <w:lang w:val="en-US" w:eastAsia="zh-CN"/>
              </w:rPr>
              <w:t>30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个工作日（不含报告书修改时间）。对报告表实行备案承诺制，不再组织技术审查，由水利部门直接审核。</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监管，发现取水单位和个人取用水、有关技术单位编制报告中存在违法行为的，要依法查处并向社会公开。</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加强信用监管，将取水单位和个人的相关违法信息纳入社会征信体系，依法依规对失信主体开展失信惩戒。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生鲜乳准运证明核发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生鲜乳准运证明</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《乳品质量安全监督管理条例》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县级农业农村（畜牧兽医）部门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1.将生鲜乳准运证明有效期由1年延长至2年。2.制作并公布告知承诺书格式文本，一次性告知申请人许可条件和所需材料。对申请人自愿承诺符合许可条件并按要求提交材料的，当场作出许可决定。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加强对生鲜乳运输车辆的监管，将车辆全部纳入监管监测信息系统，实时掌握运营情况。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生鲜乳收购站许可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生鲜乳收购许可证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《乳品质量安全监督管理条例》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县级农业农村（畜牧兽医）部门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10</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加强对生鲜乳收购站的监管，将其全部纳入监管监测信息系统，实时掌握收购、运营情况。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52</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农作物种子、食用菌菌种生产经营许可证核发</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农作物种子、食用菌菌种生产经营许可证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取消“食用菌菌种生产经营许可证核发”。</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监管，根据风险程度，合理确定抽查比例，对风险等级高的领域、投诉举报多的企业实施重点监管。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强化社会监督，依法及时处理举报、投诉问题，调查处理结果向社会公开。3.加强信用监管，依法向社会公布种业企业信用状况，依法依规对失信主体开展失信惩戒。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53</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种畜禽生产经营许可</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种畜禽生产经营许可证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《中华人民共和国畜牧法》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不再要求申请人提供营业执照、法定代表人身份证等材料，通过部门间信息共享获取相关信息。2.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监管，根据风险程度，合理确定抽查比例，对风险等级高的领域、投诉举报多的企业实施重点监管。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强化社会监督，依法及时处理投诉举报，调查处理结果向社会公开。3.加强信用监管，依法向社会公布种业企业信用状况，依法依规对失信主体开展失信惩戒。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54</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蜂种生产经营许可证核发</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蜂种生产经营许可证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《中华人民共和国畜牧法》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不再要求申请人提供营业执照、法定代表人身份证等材料，通过部门间信息共享获取相关信息。2.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监管，根据风险程度，合理确定抽查比例，对风险等级高的领域、投诉举报多的企业实施重点监管。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强化社会监督，依法及时处理投诉举报，调查处理结果向社会公开。3.加强信用监管，依法向社会公布种业企业信用状况，依法依规对失信主体开展失信惩戒。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55</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蚕种生产经营许可证核发</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蚕种生产经营许可证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《中华人民共和国畜牧法》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取消“蚕种生产经营许可证核发”。</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监管，根据风险程度，合理确定抽查比例，对风险等级高的领域、投诉举报多的企业实施重点监管。</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强化社会监督，依法及时处理投诉举报，调查处理结果向社会公开。3.加强信用监管，依法向社会公布种业企业信用状况，依法依规对失信主体开展失信惩戒。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56</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兽药经营许可证核发（非生物制品类）</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兽药经营许可证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《兽药管理条例》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1.将审批时限由</w:t>
            </w:r>
            <w:r>
              <w:rPr>
                <w:rStyle w:val="14"/>
                <w:rFonts w:hint="eastAsia" w:ascii="仿宋_GB2312" w:hAnsi="仿宋_GB2312" w:eastAsia="仿宋_GB2312"/>
                <w:snapToGrid w:val="0"/>
                <w:color w:val="000000"/>
                <w:sz w:val="24"/>
                <w:lang w:val="en-US" w:eastAsia="zh-CN"/>
              </w:rPr>
              <w:t>30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个工作日。2.制作并公布告知承诺书格式文本，一次性告知申请人许可条件和所需材料。对申请人自愿承诺符合许可条件并按要求提交材料的，当场作出许可决定。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风险等级高的领域、投诉举报多的企业增加监督检查次数和抽检兽药数量，实施重点监管。3.对以告知承诺方式取得经营许可证的企业，加强对其承诺内容真实性的核查，发现虚假承诺或承诺严重不实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57</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动物诊疗许可证核发</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动物诊疗许可证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《中华人民共和国动物防疫法》</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个工作日。2.制作并公布告知承诺书格式文本，一次性告知申请人许可条件和所需材料。对申请人自愿承诺符合许可条件并按要求提交材料的，当场作出许可决定。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强化社会监督，依法及时处理投诉举报。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行业监测，针对发现的普遍性问题和突出风险开展专项行动，确保不发生系统性、区域性风险。4.对以告知承诺方式取得经营许可证的企业，加强对其承诺内容真实性的核查，发现虚假承诺或承诺严重不实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58</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农药经营许可</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农药经营许可证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《农药管理条例》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不再要求申请人同时提供申请材料的纸质文件和电子文档。</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加强行业监测，畅通投诉举报渠道，将风险隐患、投诉举报较多的企业列入重点监管对象。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加强信用监管，依法向社会公布农药经营企业信用状况，依法依规对失信主体开展失信惩戒。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59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肥料登记（除大量元素水溶肥料、中量元素水溶肥料、微量元素水溶肥料、农用氯化钾镁、农用硫酸钾镁、复混肥料、掺混肥料外）</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肥料登记证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《中华人民共和国农业法》《中华人民共和国农产品质量安全法》《中华人民共和国土壤污染防治法》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农业农村部；省级农业农村部门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1.在肥料首次登记和变更登记时，不再要求申请人提供肥料产品登记申请单。</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在续展登记时，不再要求申请人提供肥料产品登记申请单和加盖申请人公章的肥料登记证复印件。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加强行业监测，畅通投诉举报渠道，将风险隐患、投诉举报较多的企业列入重点监管对象。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加强信用监管，依法向社会公布肥料生产企业信用状况，依法依规对失信主体开展失信惩戒。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动物防疫条件合格证核发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动物防疫条件合格证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《中华人民共和国动物防疫法》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县级以上地方农业农村部门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针对行业突出问题和重大风险点，开展安全风险预警监测，及时发现隐患并处置。</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强化社会监督，依法及时处理投诉举报。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水域滩涂养殖证核发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水域滩涂养殖证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《中华人民共和国渔业法》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县级以上地方人民政府</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1.实现全国一网通办，申请人“最多跑一次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不再要求申请人提供营业执照、法定代表人身份证等材料，通过部门间信息共享获取相关信息。</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对风险等级高、投诉举报多的企业实施重点监管。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水产苗种场（不含原种场）的水产苗种生产许可证核发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水产苗种生产许可证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《中华人民共和国渔业法》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设区的市、县级农业农村（渔业）部门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1.实现全国一网通办，申请人“最多跑一次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提供营业执照、法定代表人身份证等材料，通过部门间信息共享获取相关信息。3.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对风险等级高、投诉举报多的企业实施重点监管。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依法及时处理投诉举报，处理结果依法向社会公开并记入企业信用记录。4.加强对企业承诺内容真实性的核查，发现虚假承诺或者承诺严重不实的要依法处理。5.加强信用监管。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农业农村部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水产原种场的水产苗种生产许可证核发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水产苗种生产许可证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《中华人民共和国渔业法》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省级农业农村（渔业）部门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市农业农村局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县农业农村局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1.实现全国一网通办，申请人“最多跑一次</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不再要求申请人提供营业执照、法定代表人身份证等材料，通过部门间信息共享获取相关信息。</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对风险等级高、投诉举报多的企业实施重点监管。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64</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商务部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成品油零售经营资格审批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成品油零售经营批准证书</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设区的市级能源部门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市发展改革局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县发展改革局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1.将审批权限由省级商务部门下放至设区的市级人民政府指定部门。</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取消申请企业提交成品油供应渠道法律文件相关要求。</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1.严格落实行业监管职责。要求有关企业建立购销和出入库台账制度。开展“双随机、一公开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监管、信用监管，发现违法违规行为要依法处理或者提请有关部门予以查处。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公安、自然资源、生态环境、住房城乡建设、交通运输、商务、应急管理、税务、市场监管、能源等部门按职责依法依规加强监管，承担安全生产监管责任的部门切实履行监管责任、守牢安全底线。</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文化和旅游部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互联网上网服务营业场所经营单位设立审批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网络文化经营许可证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《互联网上网服务营业场所管理条例》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县级以上地方文化和旅游部门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1.取消总量限制和布局要求。</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取消对互联网上网服务营业场所的计算机数量限制。</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不再要求申请人提供资金信用证明等材料。</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13</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文化和旅游部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游艺娱乐场所设立审批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娱乐经营许可证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《娱乐场所管理条例》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县级文化和旅游部门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1.取消总量限制和布局要求。</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13</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文化和旅游部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歌舞娱乐场所设立审批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娱乐经营许可证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《娱乐场所管理条例》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县级文化和旅游部门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个工作日压减至13个工作日。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68</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文化和旅游部</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演出经纪机构设立审批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营业性演出许可证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《营业性演出管理条例》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省级文化和旅游部门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1.实现申请、审批全程网上办理。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13</w:t>
            </w:r>
            <w:r>
              <w:rPr>
                <w:rStyle w:val="18"/>
                <w:rFonts w:hint="eastAsia" w:ascii="仿宋_GB2312" w:hAnsi="仿宋_GB2312" w:eastAsia="仿宋_GB2312"/>
                <w:snapToGrid w:val="0"/>
                <w:color w:val="000000"/>
                <w:sz w:val="24"/>
                <w:lang w:val="en-US" w:eastAsia="zh-CN"/>
              </w:rPr>
              <w:t>个工作日。</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69</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文化和旅游部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文艺表演团体设立审批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营业性演出许可证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《营业性演出管理条例》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县级文化和旅游部门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1.实现申请、审批全程网上办理。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13</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饮用水供水单位卫生许可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卫生许可证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《中华人民共和国传染病防治法》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cs="仿宋_GB2312"/>
                <w:i w:val="0"/>
                <w:iCs w:val="0"/>
                <w:snapToGrid w:val="0"/>
                <w:color w:val="000000"/>
                <w:kern w:val="0"/>
                <w:sz w:val="24"/>
                <w:szCs w:val="21"/>
                <w:u w:val="none"/>
                <w:lang w:val="en-US" w:eastAsia="zh-CN"/>
              </w:rPr>
              <w:t>设区的市、县级卫生健康部门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不再要求申请人提供从业人员健康体检合格证明。</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强化部门协同监管，卫生健康部门向供水主管部门通报对饮用水供水单位监督检查情况。</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畅通投诉举报渠道，依法及时处理投诉举报。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放射源诊疗技术和医用辐射机构许可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放射诊疗许可证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《中华人民共和国职业病防治法》《放射性同位素与射线装置安全和防护条例》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10</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母婴保健专项技术服务许可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母婴保健技术服务执业许可证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《中华人民共和国母婴保健法》《中华人民共和国母婴保健法实施办法》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将开展婚前医学检查、产前筛查的母婴保健专项技术服务机构的审批权限下放至县级卫生健康部门。</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1.加强母婴保健专项技术质量控制。</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加强产前诊断机构对产前筛查机构的人员培训、技术指导和质量控制。</w:t>
            </w:r>
            <w:r>
              <w:rPr>
                <w:rStyle w:val="14"/>
                <w:rFonts w:hint="eastAsia" w:ascii="仿宋_GB2312" w:hAnsi="仿宋_GB2312" w:eastAsia="仿宋_GB2312"/>
                <w:snapToGrid w:val="0"/>
                <w:color w:val="000000"/>
                <w:sz w:val="24"/>
                <w:lang w:val="en-US" w:eastAsia="zh-CN"/>
              </w:rPr>
              <w:t>4.</w:t>
            </w:r>
            <w:r>
              <w:rPr>
                <w:rStyle w:val="18"/>
                <w:rFonts w:hint="eastAsia" w:ascii="仿宋_GB2312" w:hAnsi="仿宋_GB2312" w:eastAsia="仿宋_GB2312"/>
                <w:snapToGrid w:val="0"/>
                <w:color w:val="000000"/>
                <w:sz w:val="24"/>
                <w:lang w:val="en-US" w:eastAsia="zh-CN"/>
              </w:rPr>
              <w:t>加强信用监管，依法向社会公布母婴保健专项技术服务机构信用状况。</w:t>
            </w:r>
            <w:r>
              <w:rPr>
                <w:rStyle w:val="14"/>
                <w:rFonts w:hint="eastAsia" w:ascii="仿宋_GB2312" w:hAnsi="仿宋_GB2312" w:eastAsia="仿宋_GB2312"/>
                <w:snapToGrid w:val="0"/>
                <w:color w:val="000000"/>
                <w:sz w:val="24"/>
                <w:lang w:val="en-US" w:eastAsia="zh-CN"/>
              </w:rPr>
              <w:t>5.</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6.</w:t>
            </w:r>
            <w:r>
              <w:rPr>
                <w:rStyle w:val="18"/>
                <w:rFonts w:hint="eastAsia" w:ascii="仿宋_GB2312" w:hAnsi="仿宋_GB2312" w:eastAsia="仿宋_GB2312"/>
                <w:snapToGrid w:val="0"/>
                <w:color w:val="000000"/>
                <w:sz w:val="24"/>
                <w:lang w:val="en-US" w:eastAsia="zh-CN"/>
              </w:rPr>
              <w:t>加强母婴保健专项技术服务行业自律。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医疗机构（不含诊所）执业登记</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医疗机构执业许可证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《医疗机构管理条例》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1.取消医疗机构验资证明。2.实现医疗机构电子化注册登记。</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1.对医疗机构开展定期校验，加强对医疗机构执业活动的监管，发现违法违规行为要依法查处并公开结果。2.组织开展医疗机构评审。</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国家卫生健康委</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麻醉药品和第一类精神药品购用许可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麻醉药品和第一类精神药品购用印鉴卡</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《麻醉药品和精神药品管理条例》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设区的市级卫生健康部门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市卫生健康局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县卫生健康局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不再要求申请人提供医疗机构执业许可证副本复印件。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1.严格执行对麻醉药品和精神药品采购、处方开具、临床合理使用、回收、销毁等各项规定，发现问题依法及时处理。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实时统计和跟踪药品使用情况，掌握印鉴卡管理状态，实现麻醉药品和精神药品全程闭环管理。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应急部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烟花爆竹经营（零售）许可证核发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烟花爆竹经营（零售）许可证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《烟花爆竹安全管理条例》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县级应急管理部门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市应急管理局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县应急管理局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1.实现申请、审批全程网上办理。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监管，发现违法违规行为要依法严查重处并公开结果。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加强信用监管，依法向社会公布烟花爆竹经营（零售）企业信用状况，依法依规对失信主体开展失信惩戒。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76</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应急部</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危险化学品经营许可证核发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危险化学品经营许可证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《危险化学品安全管理条例》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设区的市、县级应急管理部门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市应急管理局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县应急管理局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√（无储存）　</w:t>
            </w: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1.实现申请、审批全程网上办理。</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30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个工作日。3.制作并公布告知承诺书格式文本，一次性告知申请人许可条件和所需材料。对申请人自愿承诺符合许可条件并按要求提交材料的，当场作出许可决定。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监管，发现违法违规行为要依法严查重处并公开结果。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加强信用监管，依法向社会公布危险化学品经营企业信用状况，依法依规对失信主体开展失信惩戒。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77</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中国人民银行</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国库集中收付代理银行资格认定</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准予行政许可决定书</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中国人民银行各级机构</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人民银行清远中心支行</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宋体"/>
                <w:i w:val="0"/>
                <w:iCs w:val="0"/>
                <w:color w:val="000000"/>
                <w:sz w:val="24"/>
                <w:szCs w:val="21"/>
                <w:u w:val="none"/>
              </w:rPr>
            </w:pPr>
            <w:r>
              <w:rPr>
                <w:rFonts w:hint="eastAsia" w:ascii="仿宋_GB2312" w:hAnsi="仿宋_GB2312" w:eastAsia="仿宋_GB2312" w:cs="仿宋"/>
                <w:i w:val="0"/>
                <w:iCs w:val="0"/>
                <w:snapToGrid w:val="0"/>
                <w:color w:val="000000"/>
                <w:kern w:val="0"/>
                <w:sz w:val="24"/>
                <w:szCs w:val="21"/>
                <w:u w:val="none"/>
                <w:lang w:val="en-US" w:eastAsia="zh-CN"/>
              </w:rPr>
              <w:t>中国人民银行佛冈县支行</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1.将许可证件有效期由</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年延长至</w:t>
            </w:r>
            <w:r>
              <w:rPr>
                <w:rStyle w:val="23"/>
                <w:rFonts w:hint="eastAsia" w:ascii="仿宋_GB2312" w:hAnsi="仿宋_GB2312" w:eastAsia="仿宋_GB2312"/>
                <w:snapToGrid w:val="0"/>
                <w:color w:val="000000"/>
                <w:sz w:val="24"/>
                <w:lang w:val="en-US" w:eastAsia="zh-CN"/>
              </w:rPr>
              <w:t>5</w:t>
            </w:r>
            <w:r>
              <w:rPr>
                <w:rStyle w:val="21"/>
                <w:rFonts w:hint="eastAsia" w:ascii="仿宋_GB2312" w:hAnsi="仿宋_GB2312" w:eastAsia="仿宋_GB2312"/>
                <w:snapToGrid w:val="0"/>
                <w:color w:val="000000"/>
                <w:sz w:val="24"/>
                <w:lang w:val="en-US" w:eastAsia="zh-CN"/>
              </w:rPr>
              <w:t>年。</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将审批时限由</w:t>
            </w:r>
            <w:r>
              <w:rPr>
                <w:rStyle w:val="23"/>
                <w:rFonts w:hint="eastAsia" w:ascii="仿宋_GB2312" w:hAnsi="仿宋_GB2312" w:eastAsia="仿宋_GB2312"/>
                <w:snapToGrid w:val="0"/>
                <w:color w:val="000000"/>
                <w:sz w:val="24"/>
                <w:lang w:val="en-US" w:eastAsia="zh-CN"/>
              </w:rPr>
              <w:t>20</w:t>
            </w:r>
            <w:r>
              <w:rPr>
                <w:rStyle w:val="21"/>
                <w:rFonts w:hint="eastAsia" w:ascii="仿宋_GB2312" w:hAnsi="仿宋_GB2312" w:eastAsia="仿宋_GB2312"/>
                <w:snapToGrid w:val="0"/>
                <w:color w:val="000000"/>
                <w:sz w:val="24"/>
                <w:lang w:val="en-US" w:eastAsia="zh-CN"/>
              </w:rPr>
              <w:t>个工作日压减至</w:t>
            </w:r>
            <w:r>
              <w:rPr>
                <w:rStyle w:val="23"/>
                <w:rFonts w:hint="eastAsia" w:ascii="仿宋_GB2312" w:hAnsi="仿宋_GB2312" w:eastAsia="仿宋_GB2312"/>
                <w:snapToGrid w:val="0"/>
                <w:color w:val="000000"/>
                <w:sz w:val="24"/>
                <w:lang w:val="en-US" w:eastAsia="zh-CN"/>
              </w:rPr>
              <w:t>15</w:t>
            </w:r>
            <w:r>
              <w:rPr>
                <w:rStyle w:val="21"/>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1.严格执行法律法规和标准，通过对中央财政国库集中收付业务的现场检查，加强对代理银行的监管。</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开展</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双随机、一公开</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监管、专项检查等，依法处罚违法行为。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市场监管总局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食品经营许可（除仅销售预包装食品外）</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食品经营许可证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《中华人民共和国食品安全法》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县级以上地方市场监管部门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市市场监管局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县市场监管局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1.餐饮服务经营者销售预包装食品的，不需要申请在许可证上标注销售类食品经营项目。</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不再要求申请人提供营业执照复印件。</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1.严格执行有关法律法规和标准，发挥网格化管理的优势，发现违法违规行为要依法严查重处并公开结果。2.加强信用监管，依法向社会公布食品经营企业信用状况，依法依规对失信主体开展失信惩戒。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79</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广电总局</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广播电视视频点播业务（乙种）审批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广播电视视频点播业务许可证（乙种）</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省级广电部门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654"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1.不再要求申请人提供营业执照、酒店星级证明等材料。2.将审批时限由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个工作日。3.制作并公布告知承诺书格式文本，一次性告知申请人许可条件和所需材料。对申请人自愿承诺符合许可条件并按要求提交材料的，当场作出许可决定。</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1.属地广电部门切实履行管理职责，采取有效措施防止违法违规内容播出，开展</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通过实地检查、广播电视监测系统监测等方式，对广播电视视频点播单位业务开展情况及播出内容进行监测监看。</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依法及时处理投诉举报，对投诉举报等渠道反映问题多的单位实施重点监管。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80</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体育总局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经营高危险性体育项目许可</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经营高危险性体育项目许可证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《全民健身条例》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县级以上地方体育部门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1.推广全程网上办理，推进体育领域信息数据共享应用。2.将审批时限由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建立健全跨区域、跨层级、跨部门协同监管制度，推进联合执法。</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加强信用监管，依法依规将有严重违法违规行为的机构列入黑名单，对相关经营主体和从业人员实施信用约束和失信惩戒。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81</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体育总局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设立健身气功站点审批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健身气功站点注册证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《国务院对确需保留的行政审批项目设定行政许可的决定》</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县级体育部门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市文化广电旅游体育局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县文化广电旅游体育局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1.推广全程网上办理，推进体育领域信息数据共享应用。2.将审批时限由</w:t>
            </w:r>
            <w:r>
              <w:rPr>
                <w:rStyle w:val="14"/>
                <w:rFonts w:hint="eastAsia" w:ascii="仿宋_GB2312" w:hAnsi="仿宋_GB2312" w:eastAsia="仿宋_GB2312"/>
                <w:snapToGrid w:val="0"/>
                <w:color w:val="000000"/>
                <w:sz w:val="24"/>
                <w:lang w:val="en-US" w:eastAsia="zh-CN"/>
              </w:rPr>
              <w:t>20</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建立健全跨区域、跨层级、跨部门协同监管制度，推进联合执法。</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加强信用监管，依法依规将有严重违法违规行为的机构列入黑名单，对相关经营主体和从业人员实施信用约束和失信惩戒。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82</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新闻出版署</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出版物零售单位设立、变更审批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出版物经营许可证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《出版管理条例》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县级新闻出版部门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w:t>
            </w:r>
            <w:r>
              <w:rPr>
                <w:rFonts w:hint="eastAsia" w:ascii="仿宋_GB2312" w:hAnsi="仿宋_GB2312" w:cs="仿宋_GB2312"/>
                <w:i w:val="0"/>
                <w:iCs w:val="0"/>
                <w:snapToGrid w:val="0"/>
                <w:color w:val="000000"/>
                <w:kern w:val="0"/>
                <w:sz w:val="24"/>
                <w:szCs w:val="21"/>
                <w:u w:val="none"/>
                <w:lang w:val="en-US" w:eastAsia="zh-CN"/>
              </w:rPr>
              <w:t xml:space="preserve"> </w:t>
            </w:r>
            <w:r>
              <w:rPr>
                <w:rFonts w:hint="eastAsia" w:ascii="仿宋_GB2312" w:hAnsi="仿宋_GB2312" w:eastAsia="仿宋_GB2312" w:cs="仿宋_GB2312"/>
                <w:i w:val="0"/>
                <w:iCs w:val="0"/>
                <w:snapToGrid w:val="0"/>
                <w:color w:val="000000"/>
                <w:kern w:val="0"/>
                <w:sz w:val="24"/>
                <w:szCs w:val="21"/>
                <w:u w:val="none"/>
                <w:lang w:val="en-US" w:eastAsia="zh-CN"/>
              </w:rPr>
              <w:t>委宣</w:t>
            </w:r>
            <w:r>
              <w:rPr>
                <w:rFonts w:hint="eastAsia" w:ascii="仿宋_GB2312" w:hAnsi="仿宋_GB2312" w:cs="仿宋_GB2312"/>
                <w:i w:val="0"/>
                <w:iCs w:val="0"/>
                <w:snapToGrid w:val="0"/>
                <w:color w:val="000000"/>
                <w:kern w:val="0"/>
                <w:sz w:val="24"/>
                <w:szCs w:val="21"/>
                <w:u w:val="none"/>
                <w:lang w:val="en-US" w:eastAsia="zh-CN"/>
              </w:rPr>
              <w:t xml:space="preserve"> </w:t>
            </w:r>
            <w:r>
              <w:rPr>
                <w:rFonts w:hint="eastAsia" w:ascii="仿宋_GB2312" w:hAnsi="仿宋_GB2312" w:eastAsia="仿宋_GB2312" w:cs="仿宋_GB2312"/>
                <w:i w:val="0"/>
                <w:iCs w:val="0"/>
                <w:snapToGrid w:val="0"/>
                <w:color w:val="000000"/>
                <w:kern w:val="0"/>
                <w:sz w:val="24"/>
                <w:szCs w:val="21"/>
                <w:u w:val="none"/>
                <w:lang w:val="en-US" w:eastAsia="zh-CN"/>
              </w:rPr>
              <w:t>传部</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县委宣传部</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√（个体工商户设立、变更审批）　</w:t>
            </w: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1.推动实现申请、审批全程网上办理，并在网上公布审批程序、受理条件、办理标准，公开办理进度。</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精简审批材料，推动在线获取核验营业执照、企业章程、经营场所情况及使用权证明、法定代表人及主要负责人身份证明等材料。</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将审批时限由</w:t>
            </w:r>
            <w:r>
              <w:rPr>
                <w:rStyle w:val="23"/>
                <w:rFonts w:hint="eastAsia" w:ascii="仿宋_GB2312" w:hAnsi="仿宋_GB2312" w:eastAsia="仿宋_GB2312"/>
                <w:snapToGrid w:val="0"/>
                <w:color w:val="000000"/>
                <w:sz w:val="24"/>
                <w:lang w:val="en-US" w:eastAsia="zh-CN"/>
              </w:rPr>
              <w:t>20</w:t>
            </w:r>
            <w:r>
              <w:rPr>
                <w:rStyle w:val="21"/>
                <w:rFonts w:hint="eastAsia" w:ascii="仿宋_GB2312" w:hAnsi="仿宋_GB2312" w:eastAsia="仿宋_GB2312"/>
                <w:snapToGrid w:val="0"/>
                <w:color w:val="000000"/>
                <w:sz w:val="24"/>
                <w:lang w:val="en-US" w:eastAsia="zh-CN"/>
              </w:rPr>
              <w:t>个工作日压减至</w:t>
            </w:r>
            <w:r>
              <w:rPr>
                <w:rStyle w:val="23"/>
                <w:rFonts w:hint="eastAsia" w:ascii="仿宋_GB2312" w:hAnsi="仿宋_GB2312" w:eastAsia="仿宋_GB2312"/>
                <w:snapToGrid w:val="0"/>
                <w:color w:val="000000"/>
                <w:sz w:val="24"/>
                <w:lang w:val="en-US" w:eastAsia="zh-CN"/>
              </w:rPr>
              <w:t>13</w:t>
            </w:r>
            <w:r>
              <w:rPr>
                <w:rStyle w:val="21"/>
                <w:rFonts w:hint="eastAsia" w:ascii="仿宋_GB2312" w:hAnsi="仿宋_GB2312" w:eastAsia="仿宋_GB2312"/>
                <w:snapToGrid w:val="0"/>
                <w:color w:val="000000"/>
                <w:sz w:val="24"/>
                <w:lang w:val="en-US" w:eastAsia="zh-CN"/>
              </w:rPr>
              <w:t>个工作日。4.制作并公布告知承诺书格式文本，一次性告知申请人许可条件和所需材料。对申请人自愿承诺符合许可条件并按要求提交材料的，当场作出许可决定。</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1.开展“双随机、一公开</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监管，发现违法违规行为要依法查处并公开结果。</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依法及时处理投诉举报。</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推进部门间信息共享应用。4.发现企业不符合承诺条件开展经营的责令限期整改，逾期不整改或整改后仍达不到要求的依法撤销许可证件。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83</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国家烟草局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烟草专卖零售许可证核发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烟草专卖零售许可证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《中华人民共和国烟草专卖法》《中华人民共和国烟草专卖法实施条例》</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设区的市、县级烟草部门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市烟草专卖局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广东烟草清远市有限公司佛冈分公司</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将审批时限由</w:t>
            </w:r>
            <w:r>
              <w:rPr>
                <w:rStyle w:val="14"/>
                <w:rFonts w:hint="eastAsia" w:ascii="仿宋_GB2312" w:hAnsi="仿宋_GB2312" w:eastAsia="仿宋_GB2312"/>
                <w:snapToGrid w:val="0"/>
                <w:color w:val="000000"/>
                <w:sz w:val="24"/>
                <w:lang w:val="en-US" w:eastAsia="zh-CN"/>
              </w:rPr>
              <w:t>15</w:t>
            </w:r>
            <w:r>
              <w:rPr>
                <w:rStyle w:val="18"/>
                <w:rFonts w:hint="eastAsia" w:ascii="仿宋_GB2312" w:hAnsi="仿宋_GB2312" w:eastAsia="仿宋_GB2312"/>
                <w:snapToGrid w:val="0"/>
                <w:color w:val="000000"/>
                <w:sz w:val="24"/>
                <w:lang w:val="en-US" w:eastAsia="zh-CN"/>
              </w:rPr>
              <w:t>个工作日压减至</w:t>
            </w:r>
            <w:r>
              <w:rPr>
                <w:rStyle w:val="14"/>
                <w:rFonts w:hint="eastAsia" w:ascii="仿宋_GB2312" w:hAnsi="仿宋_GB2312" w:eastAsia="仿宋_GB2312"/>
                <w:snapToGrid w:val="0"/>
                <w:color w:val="000000"/>
                <w:sz w:val="24"/>
                <w:lang w:val="en-US" w:eastAsia="zh-CN"/>
              </w:rPr>
              <w:t>8</w:t>
            </w:r>
            <w:r>
              <w:rPr>
                <w:rStyle w:val="18"/>
                <w:rFonts w:hint="eastAsia" w:ascii="仿宋_GB2312" w:hAnsi="仿宋_GB2312" w:eastAsia="仿宋_GB2312"/>
                <w:snapToGrid w:val="0"/>
                <w:color w:val="000000"/>
                <w:sz w:val="24"/>
                <w:lang w:val="en-US" w:eastAsia="zh-CN"/>
              </w:rPr>
              <w:t>个工作日。</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监管，加强对持证主体合规经营的监管，发现违法违规行为要依法查处并公开结果。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取缔无证经营主体。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84</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林草种子（林木良种籽粒、穗条等繁殖材料，主要草种杂交种子及其亲本种子、常规原种种子）生产经营许可证核发</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林草种子生产经营许可证</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不再要求申请人提供经营场所权属证明、生产用地用途证明等材料。</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加强信用监管，建立企业信用记录并依法公开，依法依规对失信主体开展失信惩戒。</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85</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国家林草局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草种进出口审批</w:t>
            </w:r>
          </w:p>
        </w:tc>
        <w:tc>
          <w:tcPr>
            <w:tcW w:w="1117"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草种进出口审批表</w:t>
            </w: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《中华人民共和国种子法》</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省级林草部门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市林业局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县林业局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32"/>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1.不再要求申请人提供林草种子（进出口）生产经营许可证等材料。</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将草种进出口审批表有效期由</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个月延长至</w:t>
            </w:r>
            <w:r>
              <w:rPr>
                <w:rStyle w:val="14"/>
                <w:rFonts w:hint="eastAsia" w:ascii="仿宋_GB2312" w:hAnsi="仿宋_GB2312" w:eastAsia="仿宋_GB2312"/>
                <w:snapToGrid w:val="0"/>
                <w:color w:val="000000"/>
                <w:sz w:val="24"/>
                <w:lang w:val="en-US" w:eastAsia="zh-CN"/>
              </w:rPr>
              <w:t>6</w:t>
            </w:r>
            <w:r>
              <w:rPr>
                <w:rStyle w:val="18"/>
                <w:rFonts w:hint="eastAsia" w:ascii="仿宋_GB2312" w:hAnsi="仿宋_GB2312" w:eastAsia="仿宋_GB2312"/>
                <w:snapToGrid w:val="0"/>
                <w:color w:val="000000"/>
                <w:sz w:val="24"/>
                <w:lang w:val="en-US" w:eastAsia="zh-CN"/>
              </w:rPr>
              <w:t>个月。</w:t>
            </w:r>
          </w:p>
        </w:tc>
        <w:tc>
          <w:tcPr>
            <w:tcW w:w="2681"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18"/>
                <w:rFonts w:hint="eastAsia" w:ascii="仿宋_GB2312" w:hAnsi="仿宋_GB2312" w:eastAsia="仿宋_GB2312"/>
                <w:snapToGrid w:val="0"/>
                <w:color w:val="000000"/>
                <w:sz w:val="24"/>
                <w:lang w:val="en-US" w:eastAsia="zh-CN"/>
              </w:rPr>
              <w:t>1.开展“双随机、一公开</w:t>
            </w:r>
            <w:r>
              <w:rPr>
                <w:rStyle w:val="11"/>
                <w:rFonts w:hint="eastAsia" w:ascii="仿宋_GB2312" w:hAnsi="仿宋_GB2312" w:eastAsia="仿宋_GB2312"/>
                <w:snapToGrid w:val="0"/>
                <w:color w:val="000000"/>
                <w:sz w:val="24"/>
                <w:lang w:val="en-US" w:eastAsia="zh-CN"/>
              </w:rPr>
              <w:t>”</w:t>
            </w:r>
            <w:r>
              <w:rPr>
                <w:rStyle w:val="18"/>
                <w:rFonts w:hint="eastAsia" w:ascii="仿宋_GB2312" w:hAnsi="仿宋_GB2312" w:eastAsia="仿宋_GB2312"/>
                <w:snapToGrid w:val="0"/>
                <w:color w:val="000000"/>
                <w:sz w:val="24"/>
                <w:lang w:val="en-US" w:eastAsia="zh-CN"/>
              </w:rPr>
              <w:t>监管，发现违法违规行为要依法查处并公开结果。</w:t>
            </w:r>
            <w:r>
              <w:rPr>
                <w:rStyle w:val="14"/>
                <w:rFonts w:hint="eastAsia" w:ascii="仿宋_GB2312" w:hAnsi="仿宋_GB2312" w:eastAsia="仿宋_GB2312"/>
                <w:snapToGrid w:val="0"/>
                <w:color w:val="000000"/>
                <w:sz w:val="24"/>
                <w:lang w:val="en-US" w:eastAsia="zh-CN"/>
              </w:rPr>
              <w:t>2.</w:t>
            </w:r>
            <w:r>
              <w:rPr>
                <w:rStyle w:val="18"/>
                <w:rFonts w:hint="eastAsia" w:ascii="仿宋_GB2312" w:hAnsi="仿宋_GB2312" w:eastAsia="仿宋_GB2312"/>
                <w:snapToGrid w:val="0"/>
                <w:color w:val="000000"/>
                <w:sz w:val="24"/>
                <w:lang w:val="en-US" w:eastAsia="zh-CN"/>
              </w:rPr>
              <w:t>依法及时处理投诉举报。</w:t>
            </w:r>
            <w:r>
              <w:rPr>
                <w:rStyle w:val="14"/>
                <w:rFonts w:hint="eastAsia" w:ascii="仿宋_GB2312" w:hAnsi="仿宋_GB2312" w:eastAsia="仿宋_GB2312"/>
                <w:snapToGrid w:val="0"/>
                <w:color w:val="000000"/>
                <w:sz w:val="24"/>
                <w:lang w:val="en-US" w:eastAsia="zh-CN"/>
              </w:rPr>
              <w:t>3.</w:t>
            </w:r>
            <w:r>
              <w:rPr>
                <w:rStyle w:val="18"/>
                <w:rFonts w:hint="eastAsia" w:ascii="仿宋_GB2312" w:hAnsi="仿宋_GB2312" w:eastAsia="仿宋_GB2312"/>
                <w:snapToGrid w:val="0"/>
                <w:color w:val="000000"/>
                <w:sz w:val="24"/>
                <w:lang w:val="en-US" w:eastAsia="zh-CN"/>
              </w:rPr>
              <w:t>加强信用监管，建立企业信用记录并依法向社会公开，依法依规对失信主体开展失信惩戒。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86</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国家药监局</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药品零售企业许可</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药品经营许可证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《中华人民共和国药品管理法》《中华人民共和国药品管理法实施条例》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snapToGrid w:val="0"/>
                <w:color w:val="000000"/>
                <w:kern w:val="0"/>
                <w:sz w:val="24"/>
                <w:szCs w:val="21"/>
                <w:u w:val="none"/>
                <w:lang w:val="en-US" w:eastAsia="zh-CN"/>
              </w:rPr>
            </w:pPr>
            <w:r>
              <w:rPr>
                <w:rFonts w:hint="eastAsia" w:ascii="仿宋_GB2312" w:hAnsi="仿宋_GB2312" w:eastAsia="仿宋_GB2312" w:cs="仿宋_GB2312"/>
                <w:i w:val="0"/>
                <w:iCs w:val="0"/>
                <w:snapToGrid w:val="0"/>
                <w:color w:val="000000"/>
                <w:kern w:val="0"/>
                <w:sz w:val="24"/>
                <w:szCs w:val="21"/>
                <w:u w:val="none"/>
                <w:lang w:val="en-US" w:eastAsia="zh-CN"/>
              </w:rPr>
              <w:t>设区的市、县级药监部门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市市场监管局</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县市场监管局</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1.不再向药监部门申请办理筹建审批，直接申请办理药品经营许可。2.不再要求申请人提供营业执照等材料。</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1.落实“四个最严</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要求，制定年度监管计划，突出监管重点，强化风险控制。</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通过日常监管督促企业不断完善、改进质量管理体系，持续合法合规经营。</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对违法违规行为，依法严厉查处并公开曝光。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blHeader/>
          <w:jc w:val="center"/>
        </w:trPr>
        <w:tc>
          <w:tcPr>
            <w:tcW w:w="715"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87</w:t>
            </w:r>
          </w:p>
        </w:tc>
        <w:tc>
          <w:tcPr>
            <w:tcW w:w="91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国家电影局</w:t>
            </w:r>
          </w:p>
        </w:tc>
        <w:tc>
          <w:tcPr>
            <w:tcW w:w="1293"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电影放映单位设立审批</w:t>
            </w:r>
          </w:p>
        </w:tc>
        <w:tc>
          <w:tcPr>
            <w:tcW w:w="1117"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电影放映经营许可证</w:t>
            </w:r>
          </w:p>
        </w:tc>
        <w:tc>
          <w:tcPr>
            <w:tcW w:w="1372"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《中华人民共和国电影产业促进法》《电影管理条例》</w:t>
            </w:r>
          </w:p>
        </w:tc>
        <w:tc>
          <w:tcPr>
            <w:tcW w:w="846"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县级电影主管部门</w:t>
            </w:r>
          </w:p>
        </w:tc>
        <w:tc>
          <w:tcPr>
            <w:tcW w:w="798"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市委宣传部</w:t>
            </w:r>
          </w:p>
        </w:tc>
        <w:tc>
          <w:tcPr>
            <w:tcW w:w="83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县委宣传部</w:t>
            </w:r>
          </w:p>
        </w:tc>
        <w:tc>
          <w:tcPr>
            <w:tcW w:w="702"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70" w:type="dxa"/>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4"/>
                <w:szCs w:val="21"/>
                <w:u w:val="none"/>
              </w:rPr>
            </w:pPr>
          </w:p>
        </w:tc>
        <w:tc>
          <w:tcPr>
            <w:tcW w:w="654"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　</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实行申请材料网上预审。</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1.开展“双随机、一公开</w:t>
            </w:r>
            <w:r>
              <w:rPr>
                <w:rStyle w:val="22"/>
                <w:rFonts w:hint="eastAsia" w:ascii="仿宋_GB2312" w:hAnsi="仿宋_GB2312" w:eastAsia="仿宋_GB2312"/>
                <w:snapToGrid w:val="0"/>
                <w:color w:val="000000"/>
                <w:sz w:val="24"/>
                <w:lang w:val="en-US" w:eastAsia="zh-CN"/>
              </w:rPr>
              <w:t>”</w:t>
            </w:r>
            <w:r>
              <w:rPr>
                <w:rStyle w:val="21"/>
                <w:rFonts w:hint="eastAsia" w:ascii="仿宋_GB2312" w:hAnsi="仿宋_GB2312" w:eastAsia="仿宋_GB2312"/>
                <w:snapToGrid w:val="0"/>
                <w:color w:val="000000"/>
                <w:sz w:val="24"/>
                <w:lang w:val="en-US" w:eastAsia="zh-CN"/>
              </w:rPr>
              <w:t>监管，畅通投诉举报渠道。</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blHeader/>
          <w:jc w:val="center"/>
        </w:trPr>
        <w:tc>
          <w:tcPr>
            <w:tcW w:w="715"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88</w:t>
            </w:r>
          </w:p>
        </w:tc>
        <w:tc>
          <w:tcPr>
            <w:tcW w:w="91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广东省市场监督管理局</w:t>
            </w:r>
          </w:p>
        </w:tc>
        <w:tc>
          <w:tcPr>
            <w:tcW w:w="1293"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食品生产加工小作坊登记</w:t>
            </w:r>
          </w:p>
        </w:tc>
        <w:tc>
          <w:tcPr>
            <w:tcW w:w="1117"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outlineLvl w:val="9"/>
              <w:rPr>
                <w:rFonts w:hint="eastAsia" w:ascii="仿宋_GB2312" w:hAnsi="仿宋_GB2312" w:eastAsia="仿宋_GB2312" w:cs="仿宋_GB2312"/>
                <w:i w:val="0"/>
                <w:iCs w:val="0"/>
                <w:color w:val="000000"/>
                <w:sz w:val="24"/>
                <w:szCs w:val="21"/>
                <w:u w:val="none"/>
              </w:rPr>
            </w:pPr>
          </w:p>
        </w:tc>
        <w:tc>
          <w:tcPr>
            <w:tcW w:w="1372"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《广东省食品生产加工小作坊和食品摊贩管理条例》（广东省第十二届人民代表大会常务委员公告第</w:t>
            </w:r>
            <w:r>
              <w:rPr>
                <w:rStyle w:val="12"/>
                <w:rFonts w:hint="eastAsia" w:ascii="仿宋_GB2312" w:hAnsi="仿宋_GB2312" w:eastAsia="仿宋_GB2312"/>
                <w:snapToGrid w:val="0"/>
                <w:color w:val="000000"/>
                <w:sz w:val="24"/>
                <w:lang w:val="en-US" w:eastAsia="zh-CN"/>
              </w:rPr>
              <w:t>38</w:t>
            </w:r>
            <w:r>
              <w:rPr>
                <w:rStyle w:val="13"/>
                <w:rFonts w:hint="eastAsia" w:ascii="仿宋_GB2312" w:hAnsi="仿宋_GB2312" w:eastAsia="仿宋_GB2312"/>
                <w:snapToGrid w:val="0"/>
                <w:color w:val="000000"/>
                <w:sz w:val="24"/>
                <w:lang w:val="en-US" w:eastAsia="zh-CN"/>
              </w:rPr>
              <w:t>号）</w:t>
            </w:r>
          </w:p>
        </w:tc>
        <w:tc>
          <w:tcPr>
            <w:tcW w:w="846"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distribute"/>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县级市场监管部门</w:t>
            </w:r>
          </w:p>
        </w:tc>
        <w:tc>
          <w:tcPr>
            <w:tcW w:w="798"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市市场监管局</w:t>
            </w:r>
          </w:p>
        </w:tc>
        <w:tc>
          <w:tcPr>
            <w:tcW w:w="830" w:type="dxa"/>
            <w:shd w:val="clear" w:color="auto" w:fill="auto"/>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县市场监管局</w:t>
            </w:r>
          </w:p>
        </w:tc>
        <w:tc>
          <w:tcPr>
            <w:tcW w:w="702"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outlineLvl w:val="9"/>
              <w:rPr>
                <w:rFonts w:hint="eastAsia" w:ascii="仿宋_GB2312" w:hAnsi="仿宋_GB2312" w:eastAsia="仿宋_GB2312" w:cs="仿宋_GB2312"/>
                <w:i w:val="0"/>
                <w:iCs w:val="0"/>
                <w:color w:val="000000"/>
                <w:sz w:val="24"/>
                <w:szCs w:val="21"/>
                <w:u w:val="none"/>
              </w:rPr>
            </w:pPr>
          </w:p>
        </w:tc>
        <w:tc>
          <w:tcPr>
            <w:tcW w:w="670" w:type="dxa"/>
            <w:shd w:val="clear" w:color="auto" w:fill="FFFFFF"/>
            <w:noWrap w:val="0"/>
            <w:vAlign w:val="center"/>
          </w:tcPr>
          <w:p>
            <w:pPr>
              <w:pStyle w:val="33"/>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outlineLvl w:val="9"/>
              <w:rPr>
                <w:rFonts w:hint="eastAsia" w:ascii="仿宋_GB2312" w:hAnsi="仿宋_GB2312" w:eastAsia="仿宋_GB2312" w:cs="仿宋_GB2312"/>
                <w:i w:val="0"/>
                <w:iCs w:val="0"/>
                <w:color w:val="000000"/>
                <w:sz w:val="24"/>
                <w:szCs w:val="21"/>
                <w:u w:val="none"/>
              </w:rPr>
            </w:pPr>
          </w:p>
        </w:tc>
        <w:tc>
          <w:tcPr>
            <w:tcW w:w="654" w:type="dxa"/>
            <w:shd w:val="clear" w:color="auto" w:fill="FFFFFF"/>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4"/>
                <w:szCs w:val="21"/>
                <w:u w:val="none"/>
              </w:rPr>
            </w:pPr>
            <w:r>
              <w:rPr>
                <w:rFonts w:hint="eastAsia" w:ascii="仿宋_GB2312" w:hAnsi="仿宋_GB2312" w:eastAsia="仿宋_GB2312" w:cs="仿宋_GB2312"/>
                <w:i w:val="0"/>
                <w:iCs w:val="0"/>
                <w:snapToGrid w:val="0"/>
                <w:color w:val="000000"/>
                <w:kern w:val="0"/>
                <w:sz w:val="24"/>
                <w:szCs w:val="21"/>
                <w:u w:val="none"/>
                <w:lang w:val="en-US" w:eastAsia="zh-CN"/>
              </w:rPr>
              <w:t>√</w:t>
            </w:r>
          </w:p>
        </w:tc>
        <w:tc>
          <w:tcPr>
            <w:tcW w:w="1580"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1.完善食品小作坊法律法规与制度。</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完善食品小作坊登记制度，优化食品小作坊登记程序，精简申报材料、压缩工作时限。</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完善食品小作坊信息化管理，逐步推进食品小作坊登记全流程网上办理与电子登记证。</w:t>
            </w:r>
          </w:p>
        </w:tc>
        <w:tc>
          <w:tcPr>
            <w:tcW w:w="2681" w:type="dxa"/>
            <w:noWrap w:val="0"/>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1"/>
                <w:u w:val="none"/>
              </w:rPr>
            </w:pPr>
            <w:r>
              <w:rPr>
                <w:rStyle w:val="21"/>
                <w:rFonts w:hint="eastAsia" w:ascii="仿宋_GB2312" w:hAnsi="仿宋_GB2312" w:eastAsia="仿宋_GB2312"/>
                <w:snapToGrid w:val="0"/>
                <w:color w:val="000000"/>
                <w:sz w:val="24"/>
                <w:lang w:val="en-US" w:eastAsia="zh-CN"/>
              </w:rPr>
              <w:t>1.建立食品小作坊禁止生产加工目录动态调整机制。</w:t>
            </w:r>
            <w:r>
              <w:rPr>
                <w:rStyle w:val="23"/>
                <w:rFonts w:hint="eastAsia" w:ascii="仿宋_GB2312" w:hAnsi="仿宋_GB2312" w:eastAsia="仿宋_GB2312"/>
                <w:snapToGrid w:val="0"/>
                <w:color w:val="000000"/>
                <w:sz w:val="24"/>
                <w:lang w:val="en-US" w:eastAsia="zh-CN"/>
              </w:rPr>
              <w:t>2.</w:t>
            </w:r>
            <w:r>
              <w:rPr>
                <w:rStyle w:val="21"/>
                <w:rFonts w:hint="eastAsia" w:ascii="仿宋_GB2312" w:hAnsi="仿宋_GB2312" w:eastAsia="仿宋_GB2312"/>
                <w:snapToGrid w:val="0"/>
                <w:color w:val="000000"/>
                <w:sz w:val="24"/>
                <w:lang w:val="en-US" w:eastAsia="zh-CN"/>
              </w:rPr>
              <w:t>建立推行食品小作坊监管与抽检计划向社会公示制度。</w:t>
            </w:r>
            <w:r>
              <w:rPr>
                <w:rStyle w:val="23"/>
                <w:rFonts w:hint="eastAsia" w:ascii="仿宋_GB2312" w:hAnsi="仿宋_GB2312" w:eastAsia="仿宋_GB2312"/>
                <w:snapToGrid w:val="0"/>
                <w:color w:val="000000"/>
                <w:sz w:val="24"/>
                <w:lang w:val="en-US" w:eastAsia="zh-CN"/>
              </w:rPr>
              <w:t>3.</w:t>
            </w:r>
            <w:r>
              <w:rPr>
                <w:rStyle w:val="21"/>
                <w:rFonts w:hint="eastAsia" w:ascii="仿宋_GB2312" w:hAnsi="仿宋_GB2312" w:eastAsia="仿宋_GB2312"/>
                <w:snapToGrid w:val="0"/>
                <w:color w:val="000000"/>
                <w:sz w:val="24"/>
                <w:lang w:val="en-US" w:eastAsia="zh-CN"/>
              </w:rPr>
              <w:t>强化食品小作坊风险隐患排查。</w:t>
            </w:r>
            <w:r>
              <w:rPr>
                <w:rStyle w:val="23"/>
                <w:rFonts w:hint="eastAsia" w:ascii="仿宋_GB2312" w:hAnsi="仿宋_GB2312" w:eastAsia="仿宋_GB2312"/>
                <w:snapToGrid w:val="0"/>
                <w:color w:val="000000"/>
                <w:sz w:val="24"/>
                <w:lang w:val="en-US" w:eastAsia="zh-CN"/>
              </w:rPr>
              <w:t>4.</w:t>
            </w:r>
            <w:r>
              <w:rPr>
                <w:rStyle w:val="21"/>
                <w:rFonts w:hint="eastAsia" w:ascii="仿宋_GB2312" w:hAnsi="仿宋_GB2312" w:eastAsia="仿宋_GB2312"/>
                <w:snapToGrid w:val="0"/>
                <w:color w:val="000000"/>
                <w:sz w:val="24"/>
                <w:lang w:val="en-US" w:eastAsia="zh-CN"/>
              </w:rPr>
              <w:t>实施食品小作坊风险分类管理。</w:t>
            </w:r>
            <w:r>
              <w:rPr>
                <w:rStyle w:val="23"/>
                <w:rFonts w:hint="eastAsia" w:ascii="仿宋_GB2312" w:hAnsi="仿宋_GB2312" w:eastAsia="仿宋_GB2312"/>
                <w:snapToGrid w:val="0"/>
                <w:color w:val="000000"/>
                <w:sz w:val="24"/>
                <w:lang w:val="en-US" w:eastAsia="zh-CN"/>
              </w:rPr>
              <w:t>5.</w:t>
            </w:r>
            <w:r>
              <w:rPr>
                <w:rStyle w:val="21"/>
                <w:rFonts w:hint="eastAsia" w:ascii="仿宋_GB2312" w:hAnsi="仿宋_GB2312" w:eastAsia="仿宋_GB2312"/>
                <w:snapToGrid w:val="0"/>
                <w:color w:val="000000"/>
                <w:sz w:val="24"/>
                <w:lang w:val="en-US" w:eastAsia="zh-CN"/>
              </w:rPr>
              <w:t>严查食品小作坊违法违规行为。</w:t>
            </w:r>
            <w:r>
              <w:rPr>
                <w:rStyle w:val="23"/>
                <w:rFonts w:hint="eastAsia" w:ascii="仿宋_GB2312" w:hAnsi="仿宋_GB2312" w:eastAsia="仿宋_GB2312"/>
                <w:snapToGrid w:val="0"/>
                <w:color w:val="000000"/>
                <w:sz w:val="24"/>
                <w:lang w:val="en-US" w:eastAsia="zh-CN"/>
              </w:rPr>
              <w:t>6.</w:t>
            </w:r>
            <w:r>
              <w:rPr>
                <w:rStyle w:val="21"/>
                <w:rFonts w:hint="eastAsia" w:ascii="仿宋_GB2312" w:hAnsi="仿宋_GB2312" w:eastAsia="仿宋_GB2312"/>
                <w:snapToGrid w:val="0"/>
                <w:color w:val="000000"/>
                <w:sz w:val="24"/>
                <w:lang w:val="en-US" w:eastAsia="zh-CN"/>
              </w:rPr>
              <w:t>强化食品小作坊规范指导。</w:t>
            </w:r>
            <w:r>
              <w:rPr>
                <w:rStyle w:val="23"/>
                <w:rFonts w:hint="eastAsia" w:ascii="仿宋_GB2312" w:hAnsi="仿宋_GB2312" w:eastAsia="仿宋_GB2312"/>
                <w:snapToGrid w:val="0"/>
                <w:color w:val="000000"/>
                <w:sz w:val="24"/>
                <w:lang w:val="en-US" w:eastAsia="zh-CN"/>
              </w:rPr>
              <w:t>7.</w:t>
            </w:r>
            <w:r>
              <w:rPr>
                <w:rStyle w:val="21"/>
                <w:rFonts w:hint="eastAsia" w:ascii="仿宋_GB2312" w:hAnsi="仿宋_GB2312" w:eastAsia="仿宋_GB2312"/>
                <w:snapToGrid w:val="0"/>
                <w:color w:val="000000"/>
                <w:sz w:val="24"/>
                <w:lang w:val="en-US" w:eastAsia="zh-CN"/>
              </w:rPr>
              <w:t>推进食品小作坊集中加工区建设。</w:t>
            </w:r>
            <w:r>
              <w:rPr>
                <w:rStyle w:val="23"/>
                <w:rFonts w:hint="eastAsia" w:ascii="仿宋_GB2312" w:hAnsi="仿宋_GB2312" w:eastAsia="仿宋_GB2312"/>
                <w:snapToGrid w:val="0"/>
                <w:color w:val="000000"/>
                <w:sz w:val="24"/>
                <w:lang w:val="en-US" w:eastAsia="zh-CN"/>
              </w:rPr>
              <w:t>8.</w:t>
            </w:r>
            <w:r>
              <w:rPr>
                <w:rStyle w:val="21"/>
                <w:rFonts w:hint="eastAsia" w:ascii="仿宋_GB2312" w:hAnsi="仿宋_GB2312" w:eastAsia="仿宋_GB2312"/>
                <w:snapToGrid w:val="0"/>
                <w:color w:val="000000"/>
                <w:sz w:val="24"/>
                <w:lang w:val="en-US" w:eastAsia="zh-CN"/>
              </w:rPr>
              <w:t>落实食品小作坊食品安全各方责任。</w:t>
            </w:r>
            <w:r>
              <w:rPr>
                <w:rStyle w:val="23"/>
                <w:rFonts w:hint="eastAsia" w:ascii="仿宋_GB2312" w:hAnsi="仿宋_GB2312" w:eastAsia="仿宋_GB2312"/>
                <w:snapToGrid w:val="0"/>
                <w:color w:val="000000"/>
                <w:sz w:val="24"/>
                <w:lang w:val="en-US" w:eastAsia="zh-CN"/>
              </w:rPr>
              <w:t>9.</w:t>
            </w:r>
            <w:r>
              <w:rPr>
                <w:rStyle w:val="21"/>
                <w:rFonts w:hint="eastAsia" w:ascii="仿宋_GB2312" w:hAnsi="仿宋_GB2312" w:eastAsia="仿宋_GB2312"/>
                <w:snapToGrid w:val="0"/>
                <w:color w:val="000000"/>
                <w:sz w:val="24"/>
                <w:lang w:val="en-US" w:eastAsia="zh-CN"/>
              </w:rPr>
              <w:t>推动食品小作坊社会共治。</w:t>
            </w:r>
          </w:p>
        </w:tc>
      </w:tr>
    </w:tbl>
    <w:p>
      <w:pPr>
        <w:pStyle w:val="33"/>
      </w:pPr>
    </w:p>
    <w:p>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baseline"/>
        <w:outlineLvl w:val="9"/>
        <w:rPr>
          <w:rFonts w:hint="eastAsia" w:ascii="仿宋_GB2312" w:hAnsi="仿宋_GB2312"/>
          <w:snapToGrid/>
          <w:vanish w:val="0"/>
          <w:spacing w:val="0"/>
          <w:w w:val="100"/>
          <w:position w:val="0"/>
          <w:lang w:eastAsia="zh-CN"/>
        </w:rPr>
      </w:pPr>
    </w:p>
    <w:p>
      <w:pPr>
        <w:rPr>
          <w:rFonts w:hint="eastAsia"/>
        </w:rPr>
      </w:pPr>
    </w:p>
    <w:p/>
    <w:sectPr>
      <w:headerReference r:id="rId3" w:type="default"/>
      <w:footerReference r:id="rId4" w:type="default"/>
      <w:footerReference r:id="rId5" w:type="even"/>
      <w:pgSz w:w="16838" w:h="11906" w:orient="landscape"/>
      <w:pgMar w:top="720" w:right="720" w:bottom="720" w:left="720" w:header="0" w:footer="0" w:gutter="0"/>
      <w:paperSrc/>
      <w:pgNumType w:fmt="numberInDash"/>
      <w:cols w:space="720" w:num="1"/>
      <w:rtlGutter w:val="0"/>
      <w:docGrid w:type="linesAndChars"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360" w:firstLine="360" w:firstLineChars="0"/>
      <w:jc w:val="right"/>
      <w:rPr>
        <w:rFonts w:hint="eastAsia" w:ascii="楷体_GB2312" w:eastAsia="楷体_GB2312"/>
        <w:sz w:val="28"/>
      </w:rPr>
    </w:pPr>
    <w:r>
      <w:rPr>
        <w:sz w:val="28"/>
      </w:rPr>
      <w:pict>
        <v:shape id="文本框 4"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32"/>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line="240" w:lineRule="atLeast"/>
                  <w:jc w:val="both"/>
                  <w:textAlignment w:val="baseline"/>
                  <w:rPr>
                    <w:rFonts w:hint="eastAsia" w:ascii="楷体_GB2312" w:eastAsia="楷体_GB2312"/>
                    <w:sz w:val="28"/>
                    <w:lang w:eastAsia="zh-CN"/>
                  </w:rPr>
                </w:pPr>
                <w:r>
                  <w:rPr>
                    <w:rFonts w:hint="eastAsia" w:ascii="仿宋_GB2312" w:hAnsi="仿宋_GB2312" w:eastAsia="仿宋_GB2312"/>
                    <w:sz w:val="28"/>
                    <w:lang w:eastAsia="zh-CN"/>
                  </w:rPr>
                  <w:fldChar w:fldCharType="begin"/>
                </w:r>
                <w:r>
                  <w:rPr>
                    <w:rStyle w:val="8"/>
                    <w:rFonts w:hint="eastAsia" w:ascii="仿宋_GB2312" w:hAnsi="仿宋_GB2312" w:eastAsia="仿宋_GB2312"/>
                    <w:sz w:val="28"/>
                    <w:lang w:eastAsia="zh-CN"/>
                  </w:rPr>
                  <w:instrText xml:space="preserve"> PAGE  </w:instrText>
                </w:r>
                <w:r>
                  <w:rPr>
                    <w:rFonts w:hint="eastAsia" w:ascii="仿宋_GB2312" w:hAnsi="仿宋_GB2312" w:eastAsia="仿宋_GB2312"/>
                    <w:sz w:val="28"/>
                    <w:lang w:eastAsia="zh-CN"/>
                  </w:rPr>
                  <w:fldChar w:fldCharType="separate"/>
                </w:r>
                <w:r>
                  <w:rPr>
                    <w:rStyle w:val="8"/>
                    <w:rFonts w:hint="eastAsia" w:ascii="仿宋_GB2312" w:hAnsi="仿宋_GB2312" w:eastAsia="仿宋_GB2312"/>
                    <w:sz w:val="28"/>
                    <w:lang w:eastAsia="zh-CN"/>
                  </w:rPr>
                  <w:t>- 11 -</w:t>
                </w:r>
                <w:r>
                  <w:rPr>
                    <w:rFonts w:hint="eastAsia" w:ascii="仿宋_GB2312" w:hAnsi="仿宋_GB2312" w:eastAsia="仿宋_GB2312"/>
                    <w:sz w:val="28"/>
                    <w:lang w:eastAsia="zh-CN"/>
                  </w:rPr>
                  <w:fldChar w:fldCharType="end"/>
                </w:r>
              </w:p>
            </w:txbxContent>
          </v:textbox>
        </v:shape>
      </w:pict>
    </w:r>
    <w:r>
      <w:rPr>
        <w:rStyle w:val="8"/>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firstLineChars="0"/>
      <w:jc w:val="left"/>
      <w:rPr>
        <w:rFonts w:hint="eastAsia" w:ascii="楷体_GB2312" w:eastAsia="楷体_GB2312"/>
        <w:sz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DE7455"/>
    <w:rsid w:val="35B27D72"/>
    <w:rsid w:val="7B5FC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b/>
      <w:color w:val="FF0000"/>
      <w:w w:val="90"/>
      <w:position w:val="4"/>
      <w:sz w:val="96"/>
      <w:szCs w:val="60"/>
    </w:rPr>
  </w:style>
  <w:style w:type="paragraph" w:styleId="3">
    <w:name w:val="Balloon Text"/>
    <w:basedOn w:val="1"/>
    <w:uiPriority w:val="0"/>
    <w:rPr>
      <w:sz w:val="18"/>
      <w:szCs w:val="18"/>
    </w:rPr>
  </w:style>
  <w:style w:type="paragraph" w:styleId="4">
    <w:name w:val="footer"/>
    <w:basedOn w:val="1"/>
    <w:link w:val="9"/>
    <w:uiPriority w:val="0"/>
    <w:pPr>
      <w:tabs>
        <w:tab w:val="center" w:pos="4153"/>
        <w:tab w:val="right" w:pos="8306"/>
      </w:tabs>
      <w:snapToGrid w:val="0"/>
      <w:jc w:val="left"/>
    </w:pPr>
    <w:rPr>
      <w:kern w:val="2"/>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uiPriority w:val="0"/>
    <w:rPr>
      <w:rFonts w:ascii="Times New Roman" w:hAnsi="Times New Roman" w:eastAsia="宋体" w:cs="Times New Roman"/>
    </w:rPr>
  </w:style>
  <w:style w:type="character" w:customStyle="1" w:styleId="9">
    <w:name w:val=" Char Char"/>
    <w:basedOn w:val="7"/>
    <w:link w:val="4"/>
    <w:uiPriority w:val="0"/>
    <w:rPr>
      <w:rFonts w:ascii="Times New Roman" w:hAnsi="Times New Roman" w:eastAsia="宋体" w:cs="Times New Roman"/>
      <w:kern w:val="2"/>
      <w:sz w:val="18"/>
      <w:szCs w:val="18"/>
    </w:rPr>
  </w:style>
  <w:style w:type="character" w:customStyle="1" w:styleId="10">
    <w:name w:val=" Char Char1"/>
    <w:basedOn w:val="7"/>
    <w:link w:val="5"/>
    <w:uiPriority w:val="0"/>
    <w:rPr>
      <w:rFonts w:ascii="Times New Roman" w:hAnsi="Times New Roman" w:eastAsia="宋体" w:cs="Times New Roman"/>
      <w:kern w:val="2"/>
      <w:sz w:val="18"/>
      <w:szCs w:val="18"/>
    </w:rPr>
  </w:style>
  <w:style w:type="character" w:customStyle="1" w:styleId="11">
    <w:name w:val="font141"/>
    <w:basedOn w:val="7"/>
    <w:uiPriority w:val="0"/>
    <w:rPr>
      <w:rFonts w:hint="eastAsia" w:ascii="宋体" w:hAnsi="宋体" w:eastAsia="宋体" w:cs="宋体"/>
      <w:color w:val="000000"/>
      <w:sz w:val="21"/>
      <w:szCs w:val="21"/>
      <w:u w:val="none"/>
    </w:rPr>
  </w:style>
  <w:style w:type="character" w:customStyle="1" w:styleId="12">
    <w:name w:val="font191"/>
    <w:basedOn w:val="7"/>
    <w:uiPriority w:val="0"/>
    <w:rPr>
      <w:rFonts w:hint="default" w:ascii="Times New Roman" w:hAnsi="Times New Roman" w:eastAsia="宋体" w:cs="Times New Roman"/>
      <w:color w:val="000000"/>
      <w:sz w:val="20"/>
      <w:szCs w:val="20"/>
      <w:u w:val="none"/>
    </w:rPr>
  </w:style>
  <w:style w:type="character" w:customStyle="1" w:styleId="13">
    <w:name w:val="font201"/>
    <w:basedOn w:val="7"/>
    <w:uiPriority w:val="0"/>
    <w:rPr>
      <w:rFonts w:hint="default" w:ascii="仿宋_GB2312" w:hAnsi="Times New Roman" w:eastAsia="仿宋_GB2312" w:cs="仿宋_GB2312"/>
      <w:color w:val="000000"/>
      <w:sz w:val="20"/>
      <w:szCs w:val="20"/>
      <w:u w:val="none"/>
    </w:rPr>
  </w:style>
  <w:style w:type="character" w:customStyle="1" w:styleId="14">
    <w:name w:val="font181"/>
    <w:basedOn w:val="7"/>
    <w:uiPriority w:val="0"/>
    <w:rPr>
      <w:rFonts w:hint="default" w:ascii="Times New Roman" w:hAnsi="Times New Roman" w:eastAsia="宋体" w:cs="Times New Roman"/>
      <w:color w:val="000000"/>
      <w:sz w:val="21"/>
      <w:szCs w:val="21"/>
      <w:u w:val="none"/>
    </w:rPr>
  </w:style>
  <w:style w:type="character" w:customStyle="1" w:styleId="15">
    <w:name w:val="font71"/>
    <w:basedOn w:val="7"/>
    <w:uiPriority w:val="0"/>
    <w:rPr>
      <w:rFonts w:hint="eastAsia" w:ascii="黑体" w:hAnsi="宋体" w:eastAsia="黑体" w:cs="黑体"/>
      <w:color w:val="000000"/>
      <w:sz w:val="21"/>
      <w:szCs w:val="21"/>
      <w:u w:val="none"/>
    </w:rPr>
  </w:style>
  <w:style w:type="character" w:customStyle="1" w:styleId="16">
    <w:name w:val="font101"/>
    <w:basedOn w:val="7"/>
    <w:uiPriority w:val="0"/>
    <w:rPr>
      <w:rFonts w:hint="default" w:ascii="仿宋_GB2312" w:hAnsi="Times New Roman" w:eastAsia="仿宋_GB2312" w:cs="仿宋_GB2312"/>
      <w:color w:val="000000"/>
      <w:sz w:val="22"/>
      <w:szCs w:val="22"/>
      <w:u w:val="none"/>
    </w:rPr>
  </w:style>
  <w:style w:type="character" w:customStyle="1" w:styleId="17">
    <w:name w:val="font151"/>
    <w:basedOn w:val="7"/>
    <w:uiPriority w:val="0"/>
    <w:rPr>
      <w:rFonts w:hint="default" w:ascii="仿宋_GB2312" w:hAnsi="Times New Roman" w:eastAsia="仿宋_GB2312" w:cs="仿宋_GB2312"/>
      <w:color w:val="000000"/>
      <w:sz w:val="22"/>
      <w:szCs w:val="22"/>
      <w:u w:val="none"/>
    </w:rPr>
  </w:style>
  <w:style w:type="character" w:customStyle="1" w:styleId="18">
    <w:name w:val="font61"/>
    <w:basedOn w:val="7"/>
    <w:uiPriority w:val="0"/>
    <w:rPr>
      <w:rFonts w:hint="default" w:ascii="仿宋_GB2312" w:hAnsi="Times New Roman" w:eastAsia="仿宋_GB2312" w:cs="仿宋_GB2312"/>
      <w:color w:val="000000"/>
      <w:sz w:val="21"/>
      <w:szCs w:val="21"/>
      <w:u w:val="none"/>
    </w:rPr>
  </w:style>
  <w:style w:type="character" w:customStyle="1" w:styleId="19">
    <w:name w:val="font131"/>
    <w:basedOn w:val="7"/>
    <w:uiPriority w:val="0"/>
    <w:rPr>
      <w:rFonts w:hint="eastAsia" w:ascii="宋体" w:hAnsi="宋体" w:eastAsia="宋体" w:cs="宋体"/>
      <w:color w:val="000000"/>
      <w:sz w:val="22"/>
      <w:szCs w:val="22"/>
      <w:u w:val="none"/>
    </w:rPr>
  </w:style>
  <w:style w:type="character" w:customStyle="1" w:styleId="20">
    <w:name w:val="font171"/>
    <w:basedOn w:val="7"/>
    <w:uiPriority w:val="0"/>
    <w:rPr>
      <w:rFonts w:hint="default" w:ascii="Times New Roman" w:hAnsi="Times New Roman" w:eastAsia="宋体" w:cs="Times New Roman"/>
      <w:color w:val="000000"/>
      <w:sz w:val="22"/>
      <w:szCs w:val="22"/>
      <w:u w:val="none"/>
    </w:rPr>
  </w:style>
  <w:style w:type="character" w:customStyle="1" w:styleId="21">
    <w:name w:val="font91"/>
    <w:basedOn w:val="7"/>
    <w:uiPriority w:val="0"/>
    <w:rPr>
      <w:rFonts w:hint="default" w:ascii="仿宋_GB2312" w:hAnsi="Times New Roman" w:eastAsia="仿宋_GB2312" w:cs="仿宋_GB2312"/>
      <w:color w:val="000000"/>
      <w:sz w:val="21"/>
      <w:szCs w:val="21"/>
      <w:u w:val="none"/>
    </w:rPr>
  </w:style>
  <w:style w:type="character" w:customStyle="1" w:styleId="22">
    <w:name w:val="font121"/>
    <w:basedOn w:val="7"/>
    <w:uiPriority w:val="0"/>
    <w:rPr>
      <w:rFonts w:hint="eastAsia" w:ascii="宋体" w:hAnsi="宋体" w:eastAsia="宋体" w:cs="宋体"/>
      <w:color w:val="000000"/>
      <w:sz w:val="21"/>
      <w:szCs w:val="21"/>
      <w:u w:val="none"/>
    </w:rPr>
  </w:style>
  <w:style w:type="character" w:customStyle="1" w:styleId="23">
    <w:name w:val="font161"/>
    <w:basedOn w:val="7"/>
    <w:uiPriority w:val="0"/>
    <w:rPr>
      <w:rFonts w:hint="default" w:ascii="Times New Roman" w:hAnsi="Times New Roman" w:eastAsia="宋体" w:cs="Times New Roman"/>
      <w:color w:val="000000"/>
      <w:sz w:val="21"/>
      <w:szCs w:val="21"/>
      <w:u w:val="none"/>
    </w:rPr>
  </w:style>
  <w:style w:type="character" w:customStyle="1" w:styleId="24">
    <w:name w:val="行号 New"/>
    <w:basedOn w:val="7"/>
    <w:uiPriority w:val="0"/>
    <w:rPr>
      <w:rFonts w:ascii="Times New Roman" w:hAnsi="Times New Roman" w:eastAsia="宋体" w:cs="Times New Roman"/>
    </w:rPr>
  </w:style>
  <w:style w:type="paragraph" w:customStyle="1" w:styleId="25">
    <w:name w:val="页眉 New"/>
    <w:basedOn w:val="26"/>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6">
    <w:name w:val="正文 New"/>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customStyle="1" w:styleId="27">
    <w:name w:val="正文 New New"/>
    <w:uiPriority w:val="0"/>
    <w:pPr>
      <w:widowControl w:val="0"/>
      <w:jc w:val="both"/>
    </w:pPr>
    <w:rPr>
      <w:rFonts w:ascii="Calibri" w:hAnsi="Calibri" w:eastAsia="宋体" w:cs="黑体"/>
      <w:kern w:val="2"/>
      <w:sz w:val="21"/>
      <w:szCs w:val="24"/>
      <w:lang w:val="en-US" w:eastAsia="zh-CN"/>
    </w:rPr>
  </w:style>
  <w:style w:type="paragraph" w:customStyle="1" w:styleId="28">
    <w:name w:val="页脚 New"/>
    <w:basedOn w:val="26"/>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9">
    <w:name w:val="页脚 New New"/>
    <w:basedOn w:val="30"/>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30">
    <w:name w:val="正文 New New New"/>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customStyle="1" w:styleId="31">
    <w:name w:val="页眉 New New"/>
    <w:basedOn w:val="30"/>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32">
    <w:name w:val="页脚 New New New"/>
    <w:basedOn w:val="33"/>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33">
    <w:name w:val="正文 New New New New"/>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customStyle="1" w:styleId="34">
    <w:name w:val="页眉 New New New"/>
    <w:basedOn w:val="33"/>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2022-04-28T08:43:00Z</dcterms:created>
  <dc:creator>Administrator</dc:creator>
  <cp:lastModifiedBy>Administrator</cp:lastModifiedBy>
  <dcterms:modified xsi:type="dcterms:W3CDTF">2022-04-28T08:45:34Z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