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佛冈县史志办公室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普法责任清单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一、普法内容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共性普法内容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深入学习习近平新时代中国特色社会主义思想，特别是习近平总书记关于全面依法治国的重要论述；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深入学习宣传贯彻中央全面依法治国工作会议精神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</w:rPr>
        <w:t>宣传党中央关于全面依法治国的重大决策部署</w:t>
      </w:r>
      <w:r>
        <w:rPr>
          <w:rFonts w:hint="eastAsia" w:ascii="仿宋" w:hAnsi="仿宋" w:eastAsia="仿宋" w:cs="仿宋"/>
          <w:color w:val="auto"/>
          <w:sz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深入学习宣传《党章》《中国共产党廉洁自律准则》《中国共产党纪律处分条例》《中国共产党宣传工作条例》《中国共产党支部工作条例（试行）》等党内法规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</w:rPr>
        <w:t>运用全省国家工作人员学法考试系统组织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党员干部</w:t>
      </w:r>
      <w:r>
        <w:rPr>
          <w:rFonts w:hint="eastAsia" w:ascii="仿宋_GB2312" w:hAnsi="仿宋_GB2312" w:eastAsia="仿宋_GB2312"/>
          <w:color w:val="auto"/>
          <w:sz w:val="32"/>
        </w:rPr>
        <w:t>开展党内法规学习宣传及学法考试。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加强《宪法》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《国家安全法》等法律法规的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学习宣传；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加强疫情防控和野生动物保护法规的学习宣传；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6.学习宣传</w:t>
      </w:r>
      <w:r>
        <w:rPr>
          <w:rFonts w:hint="eastAsia" w:ascii="仿宋" w:hAnsi="仿宋" w:eastAsia="仿宋" w:cs="仿宋"/>
          <w:sz w:val="32"/>
          <w:szCs w:val="32"/>
        </w:rPr>
        <w:t>《中华人民共和国民法典》，落实《新时代公民道德建设实施纲要》《新时代爱国主义教育实施纲要》。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个性普法内容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1.国务院《地方志工作条例》。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2.《广东省地方志工作条例》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二、普法对象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全体干部职工、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其他单位干部职工等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普法目标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通过开展普法学习宣传教育，传播法治理念、培育法治信念、弘扬法治精神，营造法治氛围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教育党员干部树牢“四个意识”，坚定“四个自信”，做到“两个维护”，进一步强化领导干部的依法执政意识，依法行政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贯彻落实党的路线方针政策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继承和发扬中华民族优秀传统文化，弘扬社会主义核心价值观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贯彻落实史志工作方针政策，依法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全面、客观、系统地编纂地方志，科学、合理地开发利用地方志，发挥地方志在促进经济社会发展中的作用。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四、具体举措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1.按照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《20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佛冈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县普法依法治理工作要点》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要求，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制定《县史志办202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年普法工作计划》，将干部职工普法学习纳入年度计划并实施。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2.领导班子带头学法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普法。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实施领导班子及其成员在年度考核述职中进行述法。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组织干部职工在广东省国家工作人员学法平台上进行普法学习。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.加强宪法学习宣传。组织开展“12·4”国家宪法日等法律实施日、纪念日、法律宣传周（月）等主题宣传活动。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.开展“防控疫情、法治同行”专项普法学习宣传教育，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自觉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贯彻落实野生动物保护法规。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.开展社会主义核心价值体系的法规教育，</w:t>
      </w:r>
      <w:r>
        <w:rPr>
          <w:rFonts w:hint="eastAsia" w:ascii="仿宋" w:hAnsi="仿宋" w:eastAsia="仿宋" w:cs="仿宋"/>
          <w:sz w:val="32"/>
          <w:szCs w:val="32"/>
        </w:rPr>
        <w:t>弘扬社会主义核心价值观。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.创新活动形式。结合史志工作，组织开展各种宣传教育和文体活动，把法制宣传融入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日常工作及业务工作中去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，用干部职工喜闻乐见的形式开展依法治理工作。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8.开展史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志法规进农村、进企业、进机关、进社区、进网络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进万家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，有效促进我县史志资源的保护和开发利用，充分发挥史志工作的“存史、资政、育人”作用。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五、责任领导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佛冈县史志办公室副主任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:黄亮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六、责任部门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佛冈县史志办公室党史股和方志股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李贤益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0763-4282247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邮箱：fgszb4282247@163.com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仿宋_GB2312" w:cs="仿宋_GB231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343535</wp:posOffset>
            </wp:positionV>
            <wp:extent cx="1294130" cy="1446530"/>
            <wp:effectExtent l="0" t="0" r="1270" b="1270"/>
            <wp:wrapNone/>
            <wp:docPr id="1044" name="图片 2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" descr="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ascii="仿宋_GB2312" w:hAnsi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佛冈县史志办公室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2021年6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lang w:val="en-US" w:eastAsia="zh-CN"/>
        </w:rPr>
        <w:t>25</w:t>
      </w:r>
      <w:r>
        <w:rPr>
          <w:rFonts w:hint="eastAsia" w:ascii="仿宋_GB2312" w:hAnsi="仿宋_GB2312" w:cs="仿宋_GB231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6D0A7"/>
    <w:multiLevelType w:val="singleLevel"/>
    <w:tmpl w:val="8AC6D0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61F3"/>
    <w:rsid w:val="05E54FF8"/>
    <w:rsid w:val="22B361F3"/>
    <w:rsid w:val="24895834"/>
    <w:rsid w:val="36AD481A"/>
    <w:rsid w:val="785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2020-04-15T02:20:00Z</dcterms:created>
  <dc:creator>dell</dc:creator>
  <cp:lastModifiedBy>dell</cp:lastModifiedBy>
  <dcterms:modified xsi:type="dcterms:W3CDTF">2021-12-31T07:22:05Z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CB1C6CC2C10B48208D819DE47A59169A</vt:lpwstr>
  </property>
</Properties>
</file>