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lang w:val="en-US" w:eastAsia="zh-CN"/>
        </w:rPr>
        <w:t>成品油</w:t>
      </w:r>
      <w:r>
        <w:rPr>
          <w:rFonts w:hint="eastAsia" w:ascii="Times New Roman" w:hAnsi="Times New Roman" w:eastAsia="方正小标宋简体" w:cs="方正小标宋简体"/>
          <w:color w:val="auto"/>
          <w:sz w:val="44"/>
          <w:szCs w:val="44"/>
          <w:highlight w:val="none"/>
        </w:rPr>
        <w:t>产品质量监督抽查实施细则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bookmarkStart w:id="0" w:name="_GoBack"/>
      <w:bookmarkEnd w:id="0"/>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 xml:space="preserve">1 </w:t>
      </w:r>
      <w:r>
        <w:rPr>
          <w:rFonts w:ascii="Times New Roman" w:hAnsi="Times New Roman" w:eastAsia="黑体" w:cs="Times New Roman"/>
          <w:color w:val="auto"/>
          <w:sz w:val="32"/>
          <w:szCs w:val="32"/>
          <w:highlight w:val="none"/>
        </w:rPr>
        <w:t>抽样方法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highlight w:val="none"/>
          <w:lang w:bidi="ar"/>
        </w:rPr>
      </w:pPr>
      <w:r>
        <w:rPr>
          <w:rFonts w:hint="eastAsia" w:ascii="Times New Roman" w:hAnsi="Times New Roman" w:eastAsia="仿宋_GB2312" w:cs="仿宋_GB2312"/>
          <w:color w:val="auto"/>
          <w:sz w:val="32"/>
          <w:szCs w:val="32"/>
          <w:highlight w:val="none"/>
          <w:lang w:bidi="ar"/>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highlight w:val="none"/>
          <w:lang w:bidi="ar"/>
        </w:rPr>
      </w:pPr>
      <w:r>
        <w:rPr>
          <w:rFonts w:hint="eastAsia" w:ascii="Times New Roman" w:hAnsi="Times New Roman" w:eastAsia="仿宋_GB2312" w:cs="仿宋_GB2312"/>
          <w:color w:val="auto"/>
          <w:sz w:val="32"/>
          <w:szCs w:val="32"/>
          <w:highlight w:val="none"/>
          <w:lang w:bidi="ar"/>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highlight w:val="none"/>
          <w:lang w:eastAsia="zh-CN" w:bidi="ar"/>
        </w:rPr>
      </w:pPr>
      <w:r>
        <w:rPr>
          <w:rFonts w:hint="eastAsia" w:ascii="Times New Roman" w:hAnsi="Times New Roman" w:eastAsia="仿宋_GB2312" w:cs="仿宋_GB2312"/>
          <w:color w:val="auto"/>
          <w:sz w:val="32"/>
          <w:szCs w:val="32"/>
          <w:highlight w:val="none"/>
          <w:lang w:bidi="ar"/>
        </w:rPr>
        <w:t>抽查数量：每款产品抽取2组样本，第1组用于检验，第2组用于备样。每组样本需抽取样品数量如下表所示</w:t>
      </w:r>
      <w:r>
        <w:rPr>
          <w:rFonts w:hint="eastAsia" w:ascii="Times New Roman" w:hAnsi="Times New Roman" w:eastAsia="仿宋_GB2312" w:cs="仿宋_GB2312"/>
          <w:color w:val="auto"/>
          <w:sz w:val="32"/>
          <w:szCs w:val="32"/>
          <w:highlight w:val="none"/>
          <w:lang w:eastAsia="zh-CN" w:bidi="ar"/>
        </w:rPr>
        <w:t>：</w:t>
      </w:r>
    </w:p>
    <w:tbl>
      <w:tblPr>
        <w:tblStyle w:val="2"/>
        <w:tblW w:w="91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1800"/>
        <w:gridCol w:w="3244"/>
        <w:gridCol w:w="3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trPr>
        <w:tc>
          <w:tcPr>
            <w:tcW w:w="8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序号</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产品名称</w:t>
            </w:r>
          </w:p>
        </w:tc>
        <w:tc>
          <w:tcPr>
            <w:tcW w:w="32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第1组数量</w:t>
            </w:r>
          </w:p>
        </w:tc>
        <w:tc>
          <w:tcPr>
            <w:tcW w:w="32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第2组数量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1</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车用汽油</w:t>
            </w:r>
          </w:p>
        </w:tc>
        <w:tc>
          <w:tcPr>
            <w:tcW w:w="32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至少2.7L（包含2部分，第一部分至少2L，第二部分至少700mL）</w:t>
            </w:r>
          </w:p>
        </w:tc>
        <w:tc>
          <w:tcPr>
            <w:tcW w:w="32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至少2.7L（包含2部分，第一部分至少2L，第二部分至少700mL）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2</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车用柴油</w:t>
            </w:r>
          </w:p>
        </w:tc>
        <w:tc>
          <w:tcPr>
            <w:tcW w:w="32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至少2L</w:t>
            </w:r>
          </w:p>
        </w:tc>
        <w:tc>
          <w:tcPr>
            <w:tcW w:w="32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至少2L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3</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船用燃料油</w:t>
            </w:r>
          </w:p>
        </w:tc>
        <w:tc>
          <w:tcPr>
            <w:tcW w:w="32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至少2L</w:t>
            </w:r>
          </w:p>
        </w:tc>
        <w:tc>
          <w:tcPr>
            <w:tcW w:w="32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eastAsia" w:ascii="Times New Roman" w:hAnsi="Times New Roman" w:eastAsia="仿宋_GB2312" w:cs="仿宋_GB2312"/>
                <w:color w:val="auto"/>
                <w:sz w:val="28"/>
                <w:szCs w:val="28"/>
                <w:highlight w:val="none"/>
                <w:lang w:val="en-US" w:eastAsia="zh-CN" w:bidi="ar"/>
              </w:rPr>
              <w:t>至少2L</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sz w:val="32"/>
          <w:szCs w:val="32"/>
          <w:highlight w:val="none"/>
        </w:rPr>
      </w:pPr>
      <w:r>
        <w:rPr>
          <w:rFonts w:hint="eastAsia" w:ascii="Times New Roman" w:hAnsi="Times New Roman" w:eastAsia="仿宋_GB2312" w:cs="仿宋_GB2312"/>
          <w:color w:val="auto"/>
          <w:sz w:val="32"/>
          <w:szCs w:val="32"/>
          <w:highlight w:val="none"/>
          <w:lang w:bidi="ar"/>
        </w:rPr>
        <w:t>抽样方法如下：在生产企业（油库）抽样时，按GB/T 4756</w:t>
      </w:r>
      <w:r>
        <w:rPr>
          <w:rFonts w:hint="eastAsia" w:ascii="Times New Roman" w:hAnsi="Times New Roman" w:cs="仿宋_GB2312"/>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2015《石油液体手工取样法》规定的方法抽取样本；在加油站或燃油供应船舶或燃油供应车辆抽样时，直接在加油机加油枪或加油管出口处（或取样处）随机抽取样本。抽取样本前，通过油枪或油管将至少4L油品放出，清洗加油管，避免加油管污染样品；同时清洗取样罐至少3次。将抽取的样品密封，贴上样品标签，加封封条，全部带回检验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2 检验依据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楷体_GB2312"/>
          <w:color w:val="auto"/>
          <w:sz w:val="32"/>
          <w:szCs w:val="32"/>
          <w:highlight w:val="none"/>
          <w:lang w:val="en-US" w:eastAsia="zh-CN"/>
        </w:rPr>
      </w:pPr>
      <w:r>
        <w:rPr>
          <w:rFonts w:hint="eastAsia" w:ascii="Times New Roman" w:hAnsi="Times New Roman" w:eastAsia="楷体_GB2312" w:cs="楷体_GB2312"/>
          <w:color w:val="auto"/>
          <w:sz w:val="32"/>
          <w:szCs w:val="32"/>
          <w:highlight w:val="none"/>
          <w:lang w:val="en-US" w:eastAsia="zh-CN" w:bidi="ar"/>
        </w:rPr>
        <w:t>2.1 车用汽油</w:t>
      </w:r>
    </w:p>
    <w:tbl>
      <w:tblPr>
        <w:tblStyle w:val="2"/>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研究法辛烷值</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GB/T 5487</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馏程</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GB/T 6536</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硫含量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SH/T 0689</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2000</w:t>
            </w:r>
          </w:p>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11140</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2008</w:t>
            </w:r>
          </w:p>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NB/SH/T 0253</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2021</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ASTM D7039</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15a</w:t>
            </w:r>
            <w:r>
              <w:rPr>
                <w:rFonts w:hint="eastAsia" w:ascii="Times New Roman" w:hAnsi="Times New Roman" w:eastAsia="仿宋_GB2312"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lang w:val="en-US" w:eastAsia="zh-CN"/>
              </w:rPr>
              <w:t>2020</w:t>
            </w:r>
            <w:r>
              <w:rPr>
                <w:rFonts w:hint="eastAsia" w:ascii="Times New Roman" w:hAnsi="Times New Roman" w:eastAsia="仿宋_GB2312" w:cs="仿宋_GB2312"/>
                <w:color w:val="auto"/>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4</w:t>
            </w:r>
          </w:p>
        </w:tc>
        <w:tc>
          <w:tcPr>
            <w:tcW w:w="4126"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苯含量</w:t>
            </w:r>
          </w:p>
        </w:tc>
        <w:tc>
          <w:tcPr>
            <w:tcW w:w="4087"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NB/</w:t>
            </w:r>
            <w:r>
              <w:rPr>
                <w:rFonts w:hint="default" w:ascii="Times New Roman" w:hAnsi="Times New Roman" w:eastAsia="仿宋_GB2312" w:cs="仿宋_GB2312"/>
                <w:color w:val="auto"/>
                <w:sz w:val="28"/>
                <w:szCs w:val="28"/>
                <w:highlight w:val="none"/>
              </w:rPr>
              <w:t>SH/T 0713</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w:t>
            </w:r>
            <w:r>
              <w:rPr>
                <w:rFonts w:hint="eastAsia" w:ascii="Times New Roman" w:hAnsi="Times New Roman" w:eastAsia="仿宋_GB2312" w:cs="仿宋_GB2312"/>
                <w:color w:val="auto"/>
                <w:sz w:val="28"/>
                <w:szCs w:val="28"/>
                <w:highlight w:val="none"/>
                <w:lang w:val="en-US" w:eastAsia="zh-CN"/>
              </w:rPr>
              <w:t>23</w:t>
            </w:r>
          </w:p>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SH/T 0693</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2000</w:t>
            </w:r>
          </w:p>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28768</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2012</w:t>
            </w:r>
          </w:p>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30519</w:t>
            </w:r>
            <w:r>
              <w:rPr>
                <w:rFonts w:hint="eastAsia" w:ascii="Times New Roman" w:hAnsi="Times New Roman"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lang w:val="en-US" w:eastAsia="zh-CN"/>
              </w:rPr>
              <w:t>2024</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或</w:t>
            </w:r>
            <w:r>
              <w:rPr>
                <w:rFonts w:hint="default" w:ascii="Times New Roman" w:hAnsi="Times New Roman" w:eastAsia="仿宋_GB2312" w:cs="仿宋_GB2312"/>
                <w:color w:val="auto"/>
                <w:sz w:val="28"/>
                <w:szCs w:val="28"/>
                <w:highlight w:val="none"/>
              </w:rPr>
              <w:t>GB/T 30519</w:t>
            </w:r>
            <w:r>
              <w:rPr>
                <w:rFonts w:hint="eastAsia" w:ascii="Times New Roman" w:hAnsi="Times New Roman"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lang w:val="en-US" w:eastAsia="zh-CN"/>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5</w:t>
            </w:r>
          </w:p>
        </w:tc>
        <w:tc>
          <w:tcPr>
            <w:tcW w:w="4126"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芳烃含量</w:t>
            </w:r>
          </w:p>
        </w:tc>
        <w:tc>
          <w:tcPr>
            <w:tcW w:w="4087"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30519</w:t>
            </w:r>
            <w:r>
              <w:rPr>
                <w:rFonts w:hint="eastAsia" w:ascii="Times New Roman" w:hAnsi="Times New Roman"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lang w:val="en-US" w:eastAsia="zh-CN"/>
              </w:rPr>
              <w:t>2024</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或</w:t>
            </w:r>
            <w:r>
              <w:rPr>
                <w:rFonts w:hint="default" w:ascii="Times New Roman" w:hAnsi="Times New Roman" w:eastAsia="仿宋_GB2312" w:cs="仿宋_GB2312"/>
                <w:color w:val="auto"/>
                <w:sz w:val="28"/>
                <w:szCs w:val="28"/>
                <w:highlight w:val="none"/>
              </w:rPr>
              <w:t>GB/T 30519</w:t>
            </w:r>
            <w:r>
              <w:rPr>
                <w:rFonts w:hint="eastAsia" w:ascii="Times New Roman" w:hAnsi="Times New Roman"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lang w:val="en-US" w:eastAsia="zh-CN"/>
              </w:rPr>
              <w:t>2014</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GB/T 28768</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6</w:t>
            </w:r>
          </w:p>
        </w:tc>
        <w:tc>
          <w:tcPr>
            <w:tcW w:w="4126"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烯烃含量</w:t>
            </w:r>
          </w:p>
        </w:tc>
        <w:tc>
          <w:tcPr>
            <w:tcW w:w="4087"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30519</w:t>
            </w:r>
            <w:r>
              <w:rPr>
                <w:rFonts w:hint="eastAsia" w:ascii="Times New Roman" w:hAnsi="Times New Roman"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lang w:val="en-US" w:eastAsia="zh-CN"/>
              </w:rPr>
              <w:t>2024</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或</w:t>
            </w:r>
            <w:r>
              <w:rPr>
                <w:rFonts w:hint="default" w:ascii="Times New Roman" w:hAnsi="Times New Roman" w:eastAsia="仿宋_GB2312" w:cs="仿宋_GB2312"/>
                <w:color w:val="auto"/>
                <w:sz w:val="28"/>
                <w:szCs w:val="28"/>
                <w:highlight w:val="none"/>
              </w:rPr>
              <w:t>GB/T 30519</w:t>
            </w:r>
            <w:r>
              <w:rPr>
                <w:rFonts w:hint="eastAsia" w:ascii="Times New Roman" w:hAnsi="Times New Roman"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lang w:val="en-US" w:eastAsia="zh-CN"/>
              </w:rPr>
              <w:t>2014</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GB/T 28768</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7</w:t>
            </w:r>
          </w:p>
        </w:tc>
        <w:tc>
          <w:tcPr>
            <w:tcW w:w="4126"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氧含量</w:t>
            </w:r>
          </w:p>
        </w:tc>
        <w:tc>
          <w:tcPr>
            <w:tcW w:w="4087"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NB/SH/T 0663</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2014</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SH/T 0720</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8</w:t>
            </w:r>
          </w:p>
        </w:tc>
        <w:tc>
          <w:tcPr>
            <w:tcW w:w="4126"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甲醇含量</w:t>
            </w:r>
          </w:p>
        </w:tc>
        <w:tc>
          <w:tcPr>
            <w:tcW w:w="4087"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NB/SH/T 0663</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9</w:t>
            </w:r>
          </w:p>
        </w:tc>
        <w:tc>
          <w:tcPr>
            <w:tcW w:w="4126"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密度(20℃)</w:t>
            </w:r>
          </w:p>
        </w:tc>
        <w:tc>
          <w:tcPr>
            <w:tcW w:w="4087"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1884</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2000</w:t>
            </w:r>
          </w:p>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1885</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1998</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SH/T 0604</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961"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10</w:t>
            </w:r>
          </w:p>
        </w:tc>
        <w:tc>
          <w:tcPr>
            <w:tcW w:w="4126"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蒸气压</w:t>
            </w:r>
          </w:p>
        </w:tc>
        <w:tc>
          <w:tcPr>
            <w:tcW w:w="4087" w:type="dxa"/>
            <w:noWrap w:val="0"/>
            <w:vAlign w:val="center"/>
          </w:tcPr>
          <w:p>
            <w:pPr>
              <w:keepNext w:val="0"/>
              <w:keepLines w:val="0"/>
              <w:pageBreakBefore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GB/T 8017</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2012</w:t>
            </w: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default" w:ascii="Times New Roman" w:hAnsi="Times New Roman" w:eastAsia="仿宋_GB2312" w:cs="仿宋_GB2312"/>
                <w:color w:val="auto"/>
                <w:sz w:val="28"/>
                <w:szCs w:val="28"/>
                <w:highlight w:val="none"/>
              </w:rPr>
              <w:t>SH/T 0794</w:t>
            </w:r>
            <w:r>
              <w:rPr>
                <w:rFonts w:hint="eastAsia" w:ascii="Times New Roman" w:hAnsi="Times New Roman" w:cs="仿宋_GB2312"/>
                <w:color w:val="auto"/>
                <w:sz w:val="28"/>
                <w:szCs w:val="28"/>
                <w:highlight w:val="none"/>
                <w:lang w:eastAsia="zh-CN"/>
              </w:rPr>
              <w:t>—</w:t>
            </w:r>
            <w:r>
              <w:rPr>
                <w:rFonts w:hint="default" w:ascii="Times New Roman" w:hAnsi="Times New Roman" w:eastAsia="仿宋_GB2312" w:cs="仿宋_GB2312"/>
                <w:color w:val="auto"/>
                <w:sz w:val="28"/>
                <w:szCs w:val="28"/>
                <w:highlight w:val="none"/>
              </w:rPr>
              <w:t>2007</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楷体_GB2312"/>
          <w:color w:val="auto"/>
          <w:sz w:val="32"/>
          <w:szCs w:val="32"/>
          <w:highlight w:val="none"/>
          <w:lang w:val="en-US" w:eastAsia="zh-CN" w:bidi="ar"/>
        </w:rPr>
      </w:pPr>
      <w:r>
        <w:rPr>
          <w:rFonts w:hint="eastAsia" w:ascii="Times New Roman" w:hAnsi="Times New Roman" w:eastAsia="楷体_GB2312" w:cs="楷体_GB2312"/>
          <w:color w:val="auto"/>
          <w:sz w:val="32"/>
          <w:szCs w:val="32"/>
          <w:highlight w:val="none"/>
          <w:lang w:val="en-US" w:eastAsia="zh-CN" w:bidi="ar"/>
        </w:rPr>
        <w:t>2.2 车用柴油</w:t>
      </w:r>
    </w:p>
    <w:tbl>
      <w:tblPr>
        <w:tblStyle w:val="2"/>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硫含量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SH/T 0689</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2000</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11140</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2008</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ASTM D7039</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15a</w:t>
            </w:r>
            <w:r>
              <w:rPr>
                <w:rFonts w:hint="eastAsia" w:ascii="Times New Roman" w:hAnsi="Times New Roman" w:eastAsia="仿宋_GB2312" w:cs="仿宋_GB2312"/>
                <w:color w:val="auto"/>
                <w:sz w:val="28"/>
                <w:szCs w:val="28"/>
                <w:highlight w:val="none"/>
                <w:lang w:val="en-US" w:eastAsia="zh-CN" w:bidi="ar"/>
              </w:rPr>
              <w:t>（2020）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凝点</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510</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闪点（闭口）</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261</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4</w:t>
            </w:r>
          </w:p>
        </w:tc>
        <w:tc>
          <w:tcPr>
            <w:tcW w:w="4126"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十六烷值</w:t>
            </w:r>
          </w:p>
        </w:tc>
        <w:tc>
          <w:tcPr>
            <w:tcW w:w="4087"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386</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5</w:t>
            </w:r>
          </w:p>
        </w:tc>
        <w:tc>
          <w:tcPr>
            <w:tcW w:w="4126"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十六烷指数</w:t>
            </w:r>
          </w:p>
        </w:tc>
        <w:tc>
          <w:tcPr>
            <w:tcW w:w="4087"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SH/T 0694</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2000</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11139</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1989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6</w:t>
            </w:r>
          </w:p>
        </w:tc>
        <w:tc>
          <w:tcPr>
            <w:tcW w:w="4126"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馏程</w:t>
            </w:r>
          </w:p>
        </w:tc>
        <w:tc>
          <w:tcPr>
            <w:tcW w:w="4087"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6536</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7</w:t>
            </w:r>
          </w:p>
        </w:tc>
        <w:tc>
          <w:tcPr>
            <w:tcW w:w="4126"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多环芳烃</w:t>
            </w:r>
          </w:p>
        </w:tc>
        <w:tc>
          <w:tcPr>
            <w:tcW w:w="4087"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NB/SH/T 0806</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2022</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NB/SH/T 0606</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961"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8</w:t>
            </w:r>
          </w:p>
        </w:tc>
        <w:tc>
          <w:tcPr>
            <w:tcW w:w="4126"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密度(20℃)</w:t>
            </w:r>
          </w:p>
        </w:tc>
        <w:tc>
          <w:tcPr>
            <w:tcW w:w="4087" w:type="dxa"/>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1884</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2000</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1885</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1998</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SH/T 0604</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楷体_GB2312"/>
          <w:color w:val="auto"/>
          <w:sz w:val="32"/>
          <w:szCs w:val="32"/>
          <w:highlight w:val="none"/>
          <w:lang w:val="en-US" w:eastAsia="zh-CN" w:bidi="ar"/>
        </w:rPr>
      </w:pPr>
      <w:r>
        <w:rPr>
          <w:rFonts w:hint="eastAsia" w:ascii="Times New Roman" w:hAnsi="Times New Roman" w:eastAsia="楷体_GB2312" w:cs="楷体_GB2312"/>
          <w:color w:val="auto"/>
          <w:sz w:val="32"/>
          <w:szCs w:val="32"/>
          <w:highlight w:val="none"/>
          <w:lang w:val="en-US" w:eastAsia="zh-CN" w:bidi="ar"/>
        </w:rPr>
        <w:t>2.3 船用燃料油（内河船用燃料油）</w:t>
      </w:r>
    </w:p>
    <w:tbl>
      <w:tblPr>
        <w:tblStyle w:val="2"/>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硫含量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SH/T 0689</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2000</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11140</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2008</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NB/SH/T 0253</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2021</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NB/SH/T 0842</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闪点（闭口）</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261</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密度(20℃)</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1884</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2000</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1885</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1998</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SH/T 0604</w:t>
            </w:r>
            <w:r>
              <w:rPr>
                <w:rFonts w:hint="eastAsia" w:ascii="Times New Roman" w:hAnsi="Times New Roman" w:cs="仿宋_GB2312"/>
                <w:color w:val="auto"/>
                <w:sz w:val="28"/>
                <w:szCs w:val="28"/>
                <w:highlight w:val="none"/>
                <w:lang w:val="en-US" w:eastAsia="zh-CN" w:bidi="ar"/>
              </w:rPr>
              <w:t>—</w:t>
            </w:r>
            <w:r>
              <w:rPr>
                <w:rFonts w:hint="default" w:ascii="Times New Roman" w:hAnsi="Times New Roman" w:eastAsia="仿宋_GB2312" w:cs="仿宋_GB2312"/>
                <w:color w:val="auto"/>
                <w:sz w:val="28"/>
                <w:szCs w:val="28"/>
                <w:highlight w:val="none"/>
                <w:lang w:val="en-US" w:eastAsia="zh-CN" w:bidi="ar"/>
              </w:rPr>
              <w:t>2000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 xml:space="preserve">3 </w:t>
      </w:r>
      <w:r>
        <w:rPr>
          <w:rFonts w:ascii="Times New Roman" w:hAnsi="Times New Roman" w:eastAsia="黑体" w:cs="Times New Roman"/>
          <w:color w:val="auto"/>
          <w:sz w:val="32"/>
          <w:szCs w:val="32"/>
          <w:highlight w:val="none"/>
        </w:rPr>
        <w:t>判定规则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auto"/>
          <w:sz w:val="32"/>
          <w:szCs w:val="32"/>
          <w:highlight w:val="none"/>
        </w:rPr>
      </w:pPr>
      <w:r>
        <w:rPr>
          <w:rFonts w:hint="eastAsia" w:ascii="Times New Roman" w:hAnsi="Times New Roman" w:eastAsia="楷体_GB2312" w:cs="Times New Roman"/>
          <w:color w:val="auto"/>
          <w:sz w:val="32"/>
          <w:szCs w:val="32"/>
          <w:highlight w:val="none"/>
          <w:lang w:val="en-US" w:eastAsia="zh-CN"/>
        </w:rPr>
        <w:t xml:space="preserve">3.1 </w:t>
      </w:r>
      <w:r>
        <w:rPr>
          <w:rFonts w:ascii="Times New Roman" w:hAnsi="Times New Roman" w:eastAsia="楷体_GB2312" w:cs="Times New Roman"/>
          <w:color w:val="auto"/>
          <w:sz w:val="32"/>
          <w:szCs w:val="32"/>
          <w:highlight w:val="none"/>
        </w:rPr>
        <w:t>依据标准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GB 17930</w:t>
      </w:r>
      <w:r>
        <w:rPr>
          <w:rFonts w:hint="eastAsia" w:ascii="Times New Roman" w:hAnsi="Times New Roman"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2016《车用汽油》</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GB 19147</w:t>
      </w:r>
      <w:r>
        <w:rPr>
          <w:rFonts w:hint="eastAsia" w:ascii="Times New Roman" w:hAnsi="Times New Roman"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2016《车用柴油》</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GB 19147</w:t>
      </w:r>
      <w:r>
        <w:rPr>
          <w:rFonts w:hint="eastAsia" w:ascii="Times New Roman" w:hAnsi="Times New Roman"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2016《车用柴油》第1号修改单</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GB 17411</w:t>
      </w:r>
      <w:r>
        <w:rPr>
          <w:rFonts w:hint="eastAsia" w:ascii="Times New Roman" w:hAnsi="Times New Roman"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2015《船用燃料油》第1号修改单</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广东省人民政府关于全面推广使用国ⅥB车用汽油的通知（粤府函〔2022〕159号）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auto"/>
          <w:sz w:val="32"/>
          <w:szCs w:val="32"/>
          <w:highlight w:val="none"/>
        </w:rPr>
      </w:pPr>
      <w:r>
        <w:rPr>
          <w:rFonts w:hint="eastAsia" w:ascii="Times New Roman" w:hAnsi="Times New Roman" w:eastAsia="楷体_GB2312" w:cs="Times New Roman"/>
          <w:color w:val="auto"/>
          <w:sz w:val="32"/>
          <w:szCs w:val="32"/>
          <w:highlight w:val="none"/>
          <w:lang w:val="en-US" w:eastAsia="zh-CN"/>
        </w:rPr>
        <w:t xml:space="preserve">3.2 </w:t>
      </w:r>
      <w:r>
        <w:rPr>
          <w:rFonts w:ascii="Times New Roman" w:hAnsi="Times New Roman" w:eastAsia="楷体_GB2312" w:cs="Times New Roman"/>
          <w:color w:val="auto"/>
          <w:sz w:val="32"/>
          <w:szCs w:val="32"/>
          <w:highlight w:val="none"/>
        </w:rPr>
        <w:t>判定原则</w:t>
      </w:r>
    </w:p>
    <w:p>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lang w:eastAsia="zh-CN"/>
        </w:rPr>
      </w:pPr>
      <w:r>
        <w:rPr>
          <w:rFonts w:hint="default" w:ascii="Times New Roman" w:hAnsi="Times New Roman" w:eastAsia="仿宋_GB2312" w:cs="Times New Roman"/>
          <w:color w:val="auto"/>
          <w:sz w:val="32"/>
          <w:szCs w:val="32"/>
          <w:highlight w:val="none"/>
        </w:rPr>
        <w:t>若被检产品明示的质量要求缺少本细则中检验项目依据的推荐性标准要求时，该项目不参与判定</w:t>
      </w:r>
      <w:r>
        <w:rPr>
          <w:rFonts w:hint="eastAsia" w:ascii="Times New Roman" w:hAnsi="Times New Roman" w:cs="仿宋_GB2312"/>
          <w:color w:val="auto"/>
          <w:sz w:val="32"/>
          <w:szCs w:val="40"/>
          <w:highlight w:val="none"/>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FC1D4A"/>
    <w:rsid w:val="0BB73F9B"/>
    <w:rsid w:val="1CFC1D4A"/>
    <w:rsid w:val="274C29F2"/>
    <w:rsid w:val="2C2A6820"/>
    <w:rsid w:val="6E544C75"/>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2026-09-08T03:56:00Z</dcterms:created>
  <dc:creator>YWB</dc:creator>
  <cp:lastModifiedBy>YWB</cp:lastModifiedBy>
  <dcterms:modified xsi:type="dcterms:W3CDTF">2026-09-30T02:22:45Z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