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cs="方正小标宋简体"/>
          <w:sz w:val="44"/>
          <w:szCs w:val="44"/>
        </w:rPr>
      </w:pPr>
      <w:r>
        <w:rPr>
          <w:rFonts w:hint="eastAsia" w:eastAsia="方正小标宋简体" w:cs="方正小标宋简体"/>
          <w:sz w:val="44"/>
          <w:szCs w:val="44"/>
        </w:rPr>
        <w:t>佛冈县玩具产品质量监督抽查实施细则</w:t>
      </w:r>
    </w:p>
    <w:p>
      <w:pPr>
        <w:spacing w:line="560" w:lineRule="exact"/>
        <w:jc w:val="center"/>
        <w:rPr>
          <w:rFonts w:eastAsia="楷体_GB2312" w:cs="楷体_GB2312"/>
          <w:szCs w:val="40"/>
        </w:rPr>
      </w:pPr>
      <w:r>
        <w:rPr>
          <w:rFonts w:hint="eastAsia" w:eastAsia="楷体_GB2312" w:cs="楷体_GB2312"/>
          <w:szCs w:val="40"/>
        </w:rPr>
        <w:t>（2026年版）</w:t>
      </w:r>
    </w:p>
    <w:p>
      <w:pPr>
        <w:spacing w:line="560" w:lineRule="exact"/>
        <w:rPr>
          <w:rFonts w:cs="仿宋_GB2312"/>
          <w:szCs w:val="40"/>
        </w:rPr>
      </w:pPr>
    </w:p>
    <w:p>
      <w:pPr>
        <w:spacing w:line="560" w:lineRule="exact"/>
        <w:ind w:firstLine="640" w:firstLineChars="200"/>
        <w:rPr>
          <w:rFonts w:eastAsia="黑体" w:cs="黑体"/>
          <w:szCs w:val="40"/>
        </w:rPr>
      </w:pPr>
      <w:r>
        <w:rPr>
          <w:rFonts w:hint="eastAsia" w:eastAsia="黑体" w:cs="黑体"/>
          <w:szCs w:val="40"/>
        </w:rPr>
        <w:t>1 抽样方法</w:t>
      </w:r>
    </w:p>
    <w:p>
      <w:pPr>
        <w:spacing w:line="560" w:lineRule="exact"/>
        <w:ind w:firstLine="640" w:firstLineChars="200"/>
        <w:rPr>
          <w:rFonts w:cs="仿宋_GB2312"/>
          <w:szCs w:val="40"/>
        </w:rPr>
      </w:pPr>
      <w:r>
        <w:rPr>
          <w:rFonts w:hint="eastAsia" w:cs="仿宋_GB2312"/>
          <w:szCs w:val="40"/>
        </w:rPr>
        <w:t>以随机抽样的方式在被抽样生产者、销售者的待销产品中抽取。</w:t>
      </w:r>
    </w:p>
    <w:p>
      <w:pPr>
        <w:spacing w:line="560" w:lineRule="exact"/>
        <w:ind w:firstLine="640" w:firstLineChars="200"/>
        <w:rPr>
          <w:rFonts w:cs="仿宋_GB2312"/>
          <w:szCs w:val="40"/>
        </w:rPr>
      </w:pPr>
      <w:r>
        <w:rPr>
          <w:rFonts w:hint="eastAsia" w:cs="仿宋_GB2312"/>
          <w:szCs w:val="40"/>
        </w:rPr>
        <w:t>随机数一般可使用随机数表等方法产生。</w:t>
      </w:r>
    </w:p>
    <w:p>
      <w:pPr>
        <w:spacing w:line="560" w:lineRule="exact"/>
        <w:ind w:firstLine="640" w:firstLineChars="200"/>
        <w:rPr>
          <w:rFonts w:cs="仿宋_GB2312"/>
          <w:szCs w:val="40"/>
        </w:rPr>
      </w:pPr>
      <w:r>
        <w:rPr>
          <w:rFonts w:hint="eastAsia" w:cs="仿宋_GB2312"/>
          <w:szCs w:val="40"/>
        </w:rPr>
        <w:t>按本细则如需检测</w:t>
      </w:r>
      <w:r>
        <w:rPr>
          <w:rFonts w:cs="仿宋_GB2312"/>
          <w:szCs w:val="40"/>
        </w:rPr>
        <w:t>GB 6675.1</w:t>
      </w:r>
      <w:r>
        <w:rPr>
          <w:rFonts w:hint="eastAsia" w:cs="仿宋_GB2312"/>
          <w:szCs w:val="40"/>
        </w:rPr>
        <w:t>—</w:t>
      </w:r>
      <w:r>
        <w:rPr>
          <w:rFonts w:cs="仿宋_GB2312"/>
          <w:szCs w:val="40"/>
        </w:rPr>
        <w:t>2</w:t>
      </w:r>
      <w:r>
        <w:rPr>
          <w:rFonts w:hint="eastAsia" w:cs="仿宋_GB2312"/>
          <w:szCs w:val="40"/>
        </w:rPr>
        <w:t>025，每批次抽样数量</w:t>
      </w:r>
      <w:r>
        <w:rPr>
          <w:rFonts w:cs="仿宋_GB2312"/>
          <w:szCs w:val="40"/>
        </w:rPr>
        <w:t>5</w:t>
      </w:r>
      <w:r>
        <w:rPr>
          <w:rFonts w:hint="eastAsia" w:cs="仿宋_GB2312"/>
          <w:szCs w:val="40"/>
        </w:rPr>
        <w:t>个，其中</w:t>
      </w:r>
      <w:r>
        <w:rPr>
          <w:rFonts w:cs="仿宋_GB2312"/>
          <w:szCs w:val="40"/>
        </w:rPr>
        <w:t>4</w:t>
      </w:r>
      <w:r>
        <w:rPr>
          <w:rFonts w:hint="eastAsia" w:cs="仿宋_GB2312"/>
          <w:szCs w:val="40"/>
        </w:rPr>
        <w:t>个作为检验样品、</w:t>
      </w:r>
      <w:r>
        <w:rPr>
          <w:rFonts w:cs="仿宋_GB2312"/>
          <w:szCs w:val="40"/>
        </w:rPr>
        <w:t>1</w:t>
      </w:r>
      <w:r>
        <w:rPr>
          <w:rFonts w:hint="eastAsia" w:cs="仿宋_GB2312"/>
          <w:szCs w:val="40"/>
        </w:rPr>
        <w:t>个作为备用样品；其它标准每批次抽样数量3个，其中2个作为检验样品、1个作为备用样品。</w:t>
      </w:r>
    </w:p>
    <w:p>
      <w:pPr>
        <w:spacing w:line="560" w:lineRule="exact"/>
        <w:ind w:firstLine="640" w:firstLineChars="200"/>
        <w:rPr>
          <w:rFonts w:eastAsia="黑体" w:cs="黑体"/>
          <w:szCs w:val="40"/>
        </w:rPr>
      </w:pPr>
      <w:r>
        <w:rPr>
          <w:rFonts w:hint="eastAsia" w:eastAsia="黑体" w:cs="黑体"/>
          <w:szCs w:val="40"/>
        </w:rPr>
        <w:t>2 检验依据</w:t>
      </w:r>
    </w:p>
    <w:p>
      <w:pPr>
        <w:spacing w:line="560" w:lineRule="exact"/>
        <w:jc w:val="center"/>
        <w:rPr>
          <w:rFonts w:cs="仿宋_GB2312"/>
          <w:b/>
          <w:sz w:val="28"/>
          <w:szCs w:val="28"/>
        </w:rPr>
      </w:pPr>
      <w:r>
        <w:rPr>
          <w:rFonts w:hint="eastAsia" w:cs="仿宋_GB2312"/>
          <w:b/>
          <w:sz w:val="28"/>
          <w:szCs w:val="28"/>
        </w:rPr>
        <w:t>表1 玩具</w:t>
      </w:r>
    </w:p>
    <w:p>
      <w:pPr>
        <w:spacing w:line="560" w:lineRule="exact"/>
        <w:jc w:val="center"/>
        <w:rPr>
          <w:rFonts w:cs="仿宋_GB2312"/>
          <w:b/>
          <w:sz w:val="28"/>
          <w:szCs w:val="28"/>
        </w:rPr>
      </w:pPr>
      <w:r>
        <w:rPr>
          <w:rFonts w:hint="eastAsia" w:cs="仿宋_GB2312"/>
          <w:b/>
          <w:sz w:val="28"/>
          <w:szCs w:val="28"/>
        </w:rPr>
        <w:t>（GB 6675.1—2014、GB 6675.2—2014、GB 6675.3—2014和GB 6675.4—2014）</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17"/>
        <w:gridCol w:w="4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序号</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检验项目</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b/>
                <w:sz w:val="28"/>
                <w:szCs w:val="28"/>
              </w:rPr>
            </w:pPr>
            <w:r>
              <w:rPr>
                <w:rFonts w:hint="eastAsia" w:cs="仿宋_GB2312"/>
                <w:b/>
                <w:sz w:val="28"/>
                <w:szCs w:val="28"/>
              </w:rPr>
              <w:t>一、机械与物理性能（正常使用和可预见的合理滥用）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材料</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小零件</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挤压玩具、摇铃及类似玩具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小球</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毛球</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学前玩偶</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玩具奶嘴</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气球</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9</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弹珠</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10</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半球形玩具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可触及的金属或玻璃边缘</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12</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功能性锐利边缘</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13</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金属玩具边缘</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14</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模塑玩具边缘</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15</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外露螺栓或螺纹杆的边缘</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16</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可触及的锐利尖端</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17</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功能性锐利尖端</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18</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木制玩具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19</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突出物</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20</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把手和其他类似的管子</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金属丝和杆件</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22</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用于包装或玩具中的塑料袋或塑料薄膜</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23</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18个月以下儿童使用的玩具上的绳索和弹性绳</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24</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18个月以下儿童使用的玩具上的自回缩绳</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25</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36个月以下儿童使用的拖拉玩具上的绳索或弹性绳</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26</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玩具袋上的绳索</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27</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童床或游戏围栏上的悬挂玩具</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28</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童床上的健身玩具及类似玩具</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29</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飞行玩具的绳索、细绳或线</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30</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玩具推车、玩具婴儿车及类似玩具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带有折叠机构的其他玩具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32</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铰链间隙</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33</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刚性材料上的圆孔</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34</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活动部件间的间隙</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35</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乘骑玩具的传动链或皮带</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36</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其他驱动机构</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37</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发条钥匙</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38</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弹簧</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39</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可用脚起稳定作用的玩具的侧倾稳定性</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40</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不可用脚起稳定作用的玩具的侧倾稳定性</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前后稳定性</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42</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乘骑玩具及座位的超载性能</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43</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静止在地面上的玩具的稳定性</w:t>
            </w:r>
          </w:p>
        </w:tc>
        <w:tc>
          <w:tcPr>
            <w:tcW w:w="4609"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44</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封闭式玩具的通风装置</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45</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封闭式玩具的关闭件</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46</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封闭头部的玩具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47</w:t>
            </w:r>
          </w:p>
        </w:tc>
        <w:tc>
          <w:tcPr>
            <w:tcW w:w="3717"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仿制防护玩具（头盔、帽子、护目镜）</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48</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弹射玩具的一般要求</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49</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蓄能弹射玩具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50</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非蓄能弹射玩具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水上玩具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52</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制动装置</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53</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电动童车的速度要求</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54</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热源玩具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55</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液体填充玩具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56</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口动玩具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57</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玩具滚轴溜冰鞋、单排滚轴溜冰鞋及玩具滑板</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58</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玩具火药帽</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59</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声响要求</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60</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磁体和磁性部件</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6675.2—2014（含第1号修改单）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b/>
                <w:sz w:val="28"/>
                <w:szCs w:val="28"/>
              </w:rPr>
            </w:pPr>
            <w:r>
              <w:rPr>
                <w:rFonts w:hint="eastAsia" w:cs="仿宋_GB2312"/>
                <w:b/>
                <w:sz w:val="28"/>
                <w:szCs w:val="28"/>
              </w:rPr>
              <w:t>二、易燃性能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一般要求</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头戴玩具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化妆服饰</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供儿童进入的玩具</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具有毛绒或纺织表面的软体填充玩具（动物和娃娃等）</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sz w:val="28"/>
                <w:szCs w:val="28"/>
              </w:rPr>
            </w:pPr>
            <w:r>
              <w:rPr>
                <w:rFonts w:hint="eastAsia" w:cs="仿宋_GB2312"/>
                <w:b/>
                <w:sz w:val="28"/>
                <w:szCs w:val="28"/>
              </w:rPr>
              <w:t>三、特定元素的迁移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最大限量要求</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6675.4—2014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sz w:val="28"/>
                <w:szCs w:val="28"/>
              </w:rPr>
            </w:pPr>
            <w:r>
              <w:rPr>
                <w:rFonts w:hint="eastAsia" w:cs="仿宋_GB2312"/>
                <w:b/>
                <w:sz w:val="28"/>
                <w:szCs w:val="28"/>
              </w:rPr>
              <w:t>四、增塑剂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371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限定增塑剂限量要求</w:t>
            </w:r>
          </w:p>
        </w:tc>
        <w:tc>
          <w:tcPr>
            <w:tcW w:w="4609"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22048</w:t>
            </w:r>
          </w:p>
        </w:tc>
      </w:tr>
    </w:tbl>
    <w:p>
      <w:pPr>
        <w:spacing w:line="560" w:lineRule="exact"/>
        <w:jc w:val="center"/>
        <w:rPr>
          <w:rFonts w:cs="仿宋_GB2312"/>
          <w:b/>
          <w:sz w:val="28"/>
          <w:szCs w:val="28"/>
        </w:rPr>
      </w:pPr>
      <w:r>
        <w:rPr>
          <w:rFonts w:hint="eastAsia" w:cs="仿宋_GB2312"/>
          <w:b/>
          <w:sz w:val="28"/>
          <w:szCs w:val="28"/>
        </w:rPr>
        <w:t>表2 玩具</w:t>
      </w:r>
    </w:p>
    <w:p>
      <w:pPr>
        <w:spacing w:line="560" w:lineRule="exact"/>
        <w:jc w:val="center"/>
        <w:rPr>
          <w:rFonts w:cs="仿宋_GB2312"/>
          <w:b/>
          <w:sz w:val="28"/>
          <w:szCs w:val="28"/>
        </w:rPr>
      </w:pPr>
      <w:r>
        <w:rPr>
          <w:rFonts w:hint="eastAsia" w:cs="仿宋_GB2312"/>
          <w:b/>
          <w:sz w:val="28"/>
          <w:szCs w:val="28"/>
        </w:rPr>
        <w:t>（GB 6675.1—2025、GB 6675.2—2025、GB 6675.3—2025和GB 6675.4—2025）</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5650"/>
        <w:gridCol w:w="2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序号</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检验项目</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sz w:val="28"/>
                <w:szCs w:val="28"/>
              </w:rPr>
            </w:pPr>
            <w:r>
              <w:rPr>
                <w:rFonts w:hint="eastAsia" w:cs="仿宋_GB2312"/>
                <w:b/>
                <w:sz w:val="28"/>
                <w:szCs w:val="28"/>
              </w:rPr>
              <w:t>一、机械与物理性能（正常使用和可预见的合理滥用）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材料</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小零件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挤压玩具、摇铃、紧固件和特定的其他玩具和玩具部件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小球</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毛球</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学前玩偶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玩具奶嘴</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气球</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弹珠</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半球形玩具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可触及的金属或玻璃边缘</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功能性锐利边缘</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金属玩具边缘</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模塑玩具边缘</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外露螺栓或螺纹杆的边缘</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可触及的锐利尖端</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功能性锐利尖端</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木制玩具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突出物</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金属丝和杆件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玩具及其包装中的塑料薄膜或塑料袋</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供18个月以下儿童使用的玩具中的绳索</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23</w:t>
            </w:r>
          </w:p>
        </w:tc>
        <w:tc>
          <w:tcPr>
            <w:tcW w:w="5650" w:type="dxa"/>
            <w:tcBorders>
              <w:top w:val="single" w:color="auto" w:sz="4" w:space="0"/>
              <w:left w:val="nil"/>
              <w:bottom w:val="single" w:color="auto" w:sz="4" w:space="0"/>
              <w:right w:val="single" w:color="auto" w:sz="4" w:space="0"/>
            </w:tcBorders>
            <w:vAlign w:val="center"/>
          </w:tcPr>
          <w:p>
            <w:pPr>
              <w:spacing w:line="440" w:lineRule="exact"/>
              <w:jc w:val="center"/>
              <w:rPr>
                <w:sz w:val="28"/>
                <w:szCs w:val="28"/>
              </w:rPr>
            </w:pPr>
            <w:r>
              <w:rPr>
                <w:rFonts w:hint="eastAsia"/>
                <w:sz w:val="28"/>
                <w:szCs w:val="28"/>
              </w:rPr>
              <w:t>供18个月及以上但不足36个月儿童使用的玩具中的绳索</w:t>
            </w:r>
          </w:p>
        </w:tc>
        <w:tc>
          <w:tcPr>
            <w:tcW w:w="2676" w:type="dxa"/>
            <w:tcBorders>
              <w:top w:val="single" w:color="auto" w:sz="4" w:space="0"/>
              <w:left w:val="nil"/>
              <w:bottom w:val="single" w:color="auto" w:sz="4" w:space="0"/>
              <w:right w:val="single" w:color="auto" w:sz="4" w:space="0"/>
            </w:tcBorders>
            <w:vAlign w:val="center"/>
          </w:tcPr>
          <w:p>
            <w:pPr>
              <w:spacing w:line="44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供36个月以下儿童使用的玩具中的固定绳圈和套索</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拖拉玩具上的绳索</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电缆</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供36个月以下儿童使用的特定绳索的直径</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供36个月以下儿童使用的玩具上的自回缩绳</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29</w:t>
            </w:r>
          </w:p>
        </w:tc>
        <w:tc>
          <w:tcPr>
            <w:tcW w:w="5650"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连接或预定以串着横跨的方式或其他方式连接到摇篮、童床、婴儿推车或童车的玩具</w:t>
            </w:r>
          </w:p>
        </w:tc>
        <w:tc>
          <w:tcPr>
            <w:tcW w:w="2676"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玩具袋上的绳索</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玩具推车、玩具婴儿车及类似玩具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带有折叠机构的其他玩具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铰链线间隙</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刚性材料上的圆孔</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活动部件间的可触及间隙</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乘骑玩具的传动链或皮带</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其他驱动机构</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发条钥匙</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弹簧</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可用脚起稳定作用的玩具的侧向稳定性</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不可用脚起稳定作用的玩具的侧向稳定性</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前后稳定性</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乘骑玩具及座位的超载要求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地面静止玩具的稳定性</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封闭式玩具的通风</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封闭式玩具的关闭件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封闭头部的玩具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覆盖面部玩具和模拟防护装备玩具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弹射玩具的一般要求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弹射物</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蓄能弹射玩具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非蓄能弹射玩具的</w:t>
            </w:r>
            <w:r>
              <w:rPr>
                <w:rFonts w:cs="仿宋_GB2312"/>
                <w:sz w:val="28"/>
                <w:szCs w:val="28"/>
              </w:rPr>
              <w:t>一般要求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口动</w:t>
            </w:r>
            <w:r>
              <w:rPr>
                <w:rFonts w:cs="仿宋_GB2312"/>
                <w:sz w:val="28"/>
                <w:szCs w:val="28"/>
              </w:rPr>
              <w:t>弹射玩具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飞镖状</w:t>
            </w:r>
            <w:r>
              <w:rPr>
                <w:rFonts w:cs="仿宋_GB2312"/>
                <w:sz w:val="28"/>
                <w:szCs w:val="28"/>
              </w:rPr>
              <w:t>弹射物</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箭</w:t>
            </w:r>
            <w:r>
              <w:rPr>
                <w:rFonts w:cs="仿宋_GB2312"/>
                <w:sz w:val="28"/>
                <w:szCs w:val="28"/>
              </w:rPr>
              <w:t>（</w:t>
            </w:r>
            <w:r>
              <w:rPr>
                <w:rFonts w:hint="eastAsia" w:cs="仿宋_GB2312"/>
                <w:sz w:val="28"/>
                <w:szCs w:val="28"/>
              </w:rPr>
              <w:t>例如</w:t>
            </w:r>
            <w:r>
              <w:rPr>
                <w:rFonts w:cs="仿宋_GB2312"/>
                <w:sz w:val="28"/>
                <w:szCs w:val="28"/>
              </w:rPr>
              <w:t>弓箭套装）</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飞行玩具的一般要求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r>
              <w:rPr>
                <w:rFonts w:cs="仿宋_GB2312"/>
                <w:sz w:val="28"/>
                <w:szCs w:val="28"/>
              </w:rPr>
              <w:t>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飞行玩具的旋转叶片</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遥控飞行玩具的旋转叶片</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水上玩具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制动</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电动乘骑玩具的限速</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非电热源玩具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液体填充玩具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口动玩具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玩具轮滑鞋及玩具滑板</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玩具火药帽</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声响要求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玩具滑板车的强度</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玩具滑板车的稳定性</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70</w:t>
            </w:r>
          </w:p>
        </w:tc>
        <w:tc>
          <w:tcPr>
            <w:tcW w:w="5650"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玩具滑板车的可调节和可折叠的把立管和把横管</w:t>
            </w:r>
          </w:p>
        </w:tc>
        <w:tc>
          <w:tcPr>
            <w:tcW w:w="2676"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玩具滑板车的制动</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玩具滑板车的车轮尺寸</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玩具滑板车的突出部件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磁体和磁性部件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悠悠球</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预定供全部或部分绕颈穿戴的带子</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含有拉绳的雪橇</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下颌在把手和方向盘中的卡陷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组装</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功能性玩具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预定与食品接触的玩具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充气玩具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玩具枪标识</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包装袋上的绳索</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食品中包含或与食品相混的玩具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半球形包装</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球形、卵形或椭圆形的包装和可拆卸包装部件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端部倒圆的圆柱状可拆卸包装部件</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附着于食品上的玩具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cs="仿宋_GB2312"/>
                <w:sz w:val="28"/>
                <w:szCs w:val="28"/>
              </w:rPr>
              <w:t>90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sz w:val="28"/>
                <w:szCs w:val="28"/>
              </w:rPr>
            </w:pPr>
            <w:r>
              <w:rPr>
                <w:rFonts w:hint="eastAsia"/>
                <w:sz w:val="28"/>
                <w:szCs w:val="28"/>
              </w:rPr>
              <w:t>模拟食品玩具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sz w:val="28"/>
                <w:szCs w:val="28"/>
              </w:rPr>
            </w:pPr>
            <w:r>
              <w:rPr>
                <w:rFonts w:hint="eastAsia" w:cs="仿宋_GB2312"/>
                <w:b/>
                <w:sz w:val="28"/>
                <w:szCs w:val="28"/>
              </w:rPr>
              <w:t>二、易燃性能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一般要求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头戴玩具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FZHTK--GBK1-0"/>
                <w:sz w:val="28"/>
                <w:szCs w:val="28"/>
              </w:rPr>
              <w:t>玩具化装服饰和供儿童玩耍时穿着的玩具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供儿童进入的玩具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FZHTK--GBK1-0"/>
                <w:sz w:val="28"/>
                <w:szCs w:val="28"/>
              </w:rPr>
              <w:t>软体填充玩具</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cs="仿宋_GB2312"/>
                <w:sz w:val="28"/>
                <w:szCs w:val="28"/>
              </w:rPr>
            </w:pPr>
            <w:r>
              <w:rPr>
                <w:rFonts w:hint="eastAsia" w:cs="仿宋_GB2312"/>
                <w:b/>
                <w:sz w:val="28"/>
                <w:szCs w:val="28"/>
              </w:rPr>
              <w:t>三、化学性能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可迁移元素的最大限量要求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6675.4—2025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可触及塑化材料中增塑剂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5650" w:type="dxa"/>
            <w:tcBorders>
              <w:top w:val="single" w:color="auto" w:sz="4" w:space="0"/>
              <w:left w:val="nil"/>
              <w:bottom w:val="single" w:color="auto" w:sz="4" w:space="0"/>
              <w:right w:val="single" w:color="auto" w:sz="4" w:space="0"/>
            </w:tcBorders>
            <w:vAlign w:val="center"/>
          </w:tcPr>
          <w:p>
            <w:pPr>
              <w:spacing w:line="360" w:lineRule="exact"/>
              <w:jc w:val="center"/>
              <w:rPr>
                <w:rFonts w:cs="仿宋_GB2312"/>
                <w:sz w:val="28"/>
                <w:szCs w:val="28"/>
              </w:rPr>
            </w:pPr>
            <w:r>
              <w:rPr>
                <w:rFonts w:hint="eastAsia" w:cs="仿宋_GB2312"/>
                <w:sz w:val="28"/>
                <w:szCs w:val="28"/>
              </w:rPr>
              <w:t>甲醛</w:t>
            </w:r>
          </w:p>
        </w:tc>
        <w:tc>
          <w:tcPr>
            <w:tcW w:w="2676" w:type="dxa"/>
            <w:tcBorders>
              <w:top w:val="single" w:color="auto" w:sz="4" w:space="0"/>
              <w:left w:val="nil"/>
              <w:bottom w:val="single" w:color="auto" w:sz="4" w:space="0"/>
              <w:right w:val="single" w:color="auto" w:sz="4" w:space="0"/>
            </w:tcBorders>
            <w:vAlign w:val="center"/>
          </w:tcPr>
          <w:p>
            <w:pPr>
              <w:spacing w:line="360" w:lineRule="exact"/>
              <w:jc w:val="center"/>
              <w:rPr>
                <w:rFonts w:cs="仿宋_GB2312"/>
                <w:sz w:val="28"/>
                <w:szCs w:val="28"/>
              </w:rPr>
            </w:pPr>
            <w:r>
              <w:rPr>
                <w:rFonts w:hint="eastAsia" w:cs="仿宋_GB2312"/>
                <w:sz w:val="28"/>
                <w:szCs w:val="28"/>
              </w:rPr>
              <w:t>GB/T 2912.1—2009</w:t>
            </w:r>
          </w:p>
          <w:p>
            <w:pPr>
              <w:spacing w:line="360" w:lineRule="exact"/>
              <w:jc w:val="center"/>
              <w:rPr>
                <w:rFonts w:cs="仿宋_GB2312"/>
                <w:sz w:val="28"/>
                <w:szCs w:val="28"/>
              </w:rPr>
            </w:pPr>
            <w:r>
              <w:rPr>
                <w:rFonts w:hint="eastAsia" w:cs="仿宋_GB2312"/>
                <w:sz w:val="28"/>
                <w:szCs w:val="28"/>
              </w:rPr>
              <w:t>GB/T 19941.1—2019或GB/T 19941.2—2019</w:t>
            </w:r>
          </w:p>
          <w:p>
            <w:pPr>
              <w:spacing w:line="360" w:lineRule="exact"/>
              <w:jc w:val="center"/>
              <w:rPr>
                <w:rFonts w:cs="仿宋_GB2312"/>
                <w:sz w:val="28"/>
                <w:szCs w:val="28"/>
              </w:rPr>
            </w:pPr>
            <w:r>
              <w:rPr>
                <w:rFonts w:hint="eastAsia" w:cs="仿宋_GB2312"/>
                <w:sz w:val="28"/>
                <w:szCs w:val="28"/>
              </w:rPr>
              <w:t>GB/T 34448—2017</w:t>
            </w:r>
          </w:p>
          <w:p>
            <w:pPr>
              <w:spacing w:line="360" w:lineRule="exact"/>
              <w:jc w:val="center"/>
              <w:rPr>
                <w:rFonts w:cs="仿宋_GB2312"/>
                <w:sz w:val="28"/>
                <w:szCs w:val="28"/>
              </w:rPr>
            </w:pPr>
            <w:r>
              <w:rPr>
                <w:rFonts w:hint="eastAsia" w:cs="仿宋_GB2312"/>
                <w:sz w:val="28"/>
                <w:szCs w:val="28"/>
              </w:rPr>
              <w:t>GB/T 46510—2025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有害芳香胺</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17592—2024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多环芳烃</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29614—2021方法B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可迁移</w:t>
            </w:r>
            <w:r>
              <w:rPr>
                <w:rFonts w:hint="eastAsia" w:cs="仿宋_GB2312"/>
                <w:i/>
                <w:sz w:val="28"/>
                <w:szCs w:val="28"/>
              </w:rPr>
              <w:t>N</w:t>
            </w:r>
            <w:r>
              <w:rPr>
                <w:rFonts w:hint="eastAsia" w:cs="仿宋_GB2312"/>
                <w:sz w:val="28"/>
                <w:szCs w:val="28"/>
              </w:rPr>
              <w:t>-亚硝胺及</w:t>
            </w:r>
            <w:r>
              <w:rPr>
                <w:rFonts w:hint="eastAsia" w:cs="仿宋_GB2312"/>
                <w:i/>
                <w:sz w:val="28"/>
                <w:szCs w:val="28"/>
              </w:rPr>
              <w:t>N</w:t>
            </w:r>
            <w:r>
              <w:rPr>
                <w:rFonts w:hint="eastAsia" w:cs="仿宋_GB2312"/>
                <w:sz w:val="28"/>
                <w:szCs w:val="28"/>
              </w:rPr>
              <w:t>-亚硝胺前体物</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41413—2022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甲酰胺</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34436—2023</w:t>
            </w:r>
          </w:p>
          <w:p>
            <w:pPr>
              <w:spacing w:line="560" w:lineRule="exact"/>
              <w:jc w:val="center"/>
              <w:rPr>
                <w:rFonts w:cs="仿宋_GB2312"/>
                <w:sz w:val="28"/>
                <w:szCs w:val="28"/>
              </w:rPr>
            </w:pPr>
            <w:r>
              <w:rPr>
                <w:rFonts w:hint="eastAsia" w:cs="仿宋_GB2312"/>
                <w:sz w:val="28"/>
                <w:szCs w:val="28"/>
              </w:rPr>
              <w:t>GB/T 43276—2023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短链氯化石蜡</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41524—2022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9</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甲醛、苯、甲苯、二甲苯和TVOC的释放量</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46509—2025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10</w:t>
            </w:r>
          </w:p>
        </w:tc>
        <w:tc>
          <w:tcPr>
            <w:tcW w:w="5650"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致敏性芳香剂</w:t>
            </w:r>
          </w:p>
        </w:tc>
        <w:tc>
          <w:tcPr>
            <w:tcW w:w="267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38424—2019</w:t>
            </w:r>
          </w:p>
        </w:tc>
      </w:tr>
    </w:tbl>
    <w:p>
      <w:pPr>
        <w:spacing w:line="560" w:lineRule="exact"/>
        <w:jc w:val="center"/>
        <w:rPr>
          <w:rFonts w:hint="eastAsia" w:cs="仿宋_GB2312"/>
          <w:b/>
          <w:sz w:val="28"/>
          <w:szCs w:val="28"/>
        </w:rPr>
      </w:pPr>
    </w:p>
    <w:p>
      <w:pPr>
        <w:spacing w:line="560" w:lineRule="exact"/>
        <w:jc w:val="center"/>
        <w:rPr>
          <w:rFonts w:cs="仿宋_GB2312"/>
          <w:b/>
          <w:sz w:val="28"/>
          <w:szCs w:val="28"/>
        </w:rPr>
      </w:pPr>
      <w:r>
        <w:rPr>
          <w:rFonts w:hint="eastAsia" w:cs="仿宋_GB2312"/>
          <w:b/>
          <w:sz w:val="28"/>
          <w:szCs w:val="28"/>
        </w:rPr>
        <w:t>表3 玩具电性能（GB 19865—2005）</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4474"/>
        <w:gridCol w:w="3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序号</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检验项目</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标识和说明</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输入功率</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发热和非正常工作</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19865—2005（含第1号修改单）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工作温度下的电气强度</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耐潮湿</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室温下的电气强度</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机械强度</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结构</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9</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软线和电线的保护</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10</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螺钉和连接</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11</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电气间隙和爬电距离</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12</w:t>
            </w:r>
          </w:p>
        </w:tc>
        <w:tc>
          <w:tcPr>
            <w:tcW w:w="4474"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耐热和耐燃</w:t>
            </w:r>
          </w:p>
        </w:tc>
        <w:tc>
          <w:tcPr>
            <w:tcW w:w="3537"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 19865—2005</w:t>
            </w:r>
          </w:p>
        </w:tc>
      </w:tr>
    </w:tbl>
    <w:p>
      <w:pPr>
        <w:spacing w:line="560" w:lineRule="exact"/>
        <w:jc w:val="center"/>
        <w:rPr>
          <w:rFonts w:hint="eastAsia" w:cs="仿宋_GB2312"/>
          <w:b/>
          <w:sz w:val="28"/>
          <w:szCs w:val="28"/>
        </w:rPr>
      </w:pPr>
    </w:p>
    <w:p>
      <w:pPr>
        <w:spacing w:line="560" w:lineRule="exact"/>
        <w:jc w:val="center"/>
        <w:rPr>
          <w:rFonts w:cs="仿宋_GB2312"/>
          <w:b/>
          <w:szCs w:val="40"/>
        </w:rPr>
      </w:pPr>
      <w:r>
        <w:rPr>
          <w:rFonts w:hint="eastAsia" w:cs="仿宋_GB2312"/>
          <w:b/>
          <w:sz w:val="28"/>
          <w:szCs w:val="28"/>
        </w:rPr>
        <w:t>表4 玩具电</w:t>
      </w:r>
      <w:r>
        <w:rPr>
          <w:rFonts w:cs="仿宋_GB2312"/>
          <w:b/>
          <w:sz w:val="28"/>
          <w:szCs w:val="28"/>
        </w:rPr>
        <w:t>性能</w:t>
      </w:r>
      <w:r>
        <w:rPr>
          <w:rFonts w:hint="eastAsia" w:cs="仿宋_GB2312"/>
          <w:b/>
          <w:sz w:val="28"/>
          <w:szCs w:val="28"/>
        </w:rPr>
        <w:t>（GB</w:t>
      </w:r>
      <w:r>
        <w:rPr>
          <w:rFonts w:cs="仿宋_GB2312"/>
          <w:b/>
          <w:sz w:val="28"/>
          <w:szCs w:val="28"/>
        </w:rPr>
        <w:t>/T</w:t>
      </w:r>
      <w:r>
        <w:rPr>
          <w:rFonts w:hint="eastAsia" w:cs="仿宋_GB2312"/>
          <w:b/>
          <w:sz w:val="28"/>
          <w:szCs w:val="28"/>
        </w:rPr>
        <w:t xml:space="preserve"> 19865—2024）</w:t>
      </w:r>
    </w:p>
    <w:tbl>
      <w:tblPr>
        <w:tblStyle w:val="5"/>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4485"/>
        <w:gridCol w:w="3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序号</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检验项目</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b/>
                <w:bCs/>
                <w:sz w:val="28"/>
                <w:szCs w:val="28"/>
              </w:rPr>
            </w:pPr>
            <w:r>
              <w:rPr>
                <w:rFonts w:hint="eastAsia" w:cs="仿宋_GB2312"/>
                <w:b/>
                <w:bCs/>
                <w:sz w:val="28"/>
                <w:szCs w:val="2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标识和说明</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2</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输入功率</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3</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发热和非正常工作</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4</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电气强度</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5</w:t>
            </w:r>
          </w:p>
        </w:tc>
        <w:tc>
          <w:tcPr>
            <w:tcW w:w="4485" w:type="dxa"/>
            <w:tcBorders>
              <w:top w:val="single" w:color="auto" w:sz="4" w:space="0"/>
              <w:left w:val="nil"/>
              <w:bottom w:val="single" w:color="auto" w:sz="4" w:space="0"/>
              <w:right w:val="single" w:color="auto" w:sz="4" w:space="0"/>
            </w:tcBorders>
            <w:vAlign w:val="center"/>
          </w:tcPr>
          <w:p>
            <w:pPr>
              <w:spacing w:line="400" w:lineRule="exact"/>
              <w:jc w:val="center"/>
              <w:rPr>
                <w:rFonts w:cs="仿宋_GB2312"/>
                <w:sz w:val="28"/>
                <w:szCs w:val="28"/>
              </w:rPr>
            </w:pPr>
            <w:r>
              <w:rPr>
                <w:rFonts w:hint="eastAsia" w:cs="仿宋_GB2312"/>
                <w:sz w:val="28"/>
                <w:szCs w:val="28"/>
              </w:rPr>
              <w:t>在水中使用的电玩具、使用液体的电玩具和用液体清洁的电玩具</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6</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机械强度</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7</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结构</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8</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软线和电线的保护</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9</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螺钉和连接</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10</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电气间隙和爬电距离</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11</w:t>
            </w:r>
          </w:p>
        </w:tc>
        <w:tc>
          <w:tcPr>
            <w:tcW w:w="4485"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耐热和耐燃</w:t>
            </w:r>
          </w:p>
        </w:tc>
        <w:tc>
          <w:tcPr>
            <w:tcW w:w="3526" w:type="dxa"/>
            <w:tcBorders>
              <w:top w:val="single" w:color="auto" w:sz="4" w:space="0"/>
              <w:left w:val="nil"/>
              <w:bottom w:val="single" w:color="auto" w:sz="4" w:space="0"/>
              <w:right w:val="single" w:color="auto" w:sz="4" w:space="0"/>
            </w:tcBorders>
            <w:vAlign w:val="center"/>
          </w:tcPr>
          <w:p>
            <w:pPr>
              <w:spacing w:line="560" w:lineRule="exact"/>
              <w:jc w:val="center"/>
              <w:rPr>
                <w:rFonts w:cs="仿宋_GB2312"/>
                <w:sz w:val="28"/>
                <w:szCs w:val="28"/>
              </w:rPr>
            </w:pPr>
            <w:r>
              <w:rPr>
                <w:rFonts w:hint="eastAsia" w:cs="仿宋_GB2312"/>
                <w:sz w:val="28"/>
                <w:szCs w:val="28"/>
              </w:rPr>
              <w:t>GB/T 19865—2024</w:t>
            </w:r>
          </w:p>
        </w:tc>
      </w:tr>
    </w:tbl>
    <w:p>
      <w:pPr>
        <w:spacing w:line="560" w:lineRule="exact"/>
        <w:ind w:firstLine="560" w:firstLineChars="200"/>
        <w:rPr>
          <w:rFonts w:cs="仿宋_GB2312"/>
          <w:sz w:val="28"/>
          <w:szCs w:val="36"/>
        </w:rPr>
      </w:pPr>
      <w:r>
        <w:rPr>
          <w:rFonts w:hint="eastAsia" w:cs="仿宋_GB2312"/>
          <w:sz w:val="28"/>
          <w:szCs w:val="36"/>
        </w:rPr>
        <w:t>备注：</w:t>
      </w:r>
    </w:p>
    <w:p>
      <w:pPr>
        <w:spacing w:line="560" w:lineRule="exact"/>
        <w:ind w:firstLine="560" w:firstLineChars="200"/>
        <w:rPr>
          <w:rFonts w:cs="仿宋_GB2312"/>
          <w:sz w:val="28"/>
          <w:szCs w:val="36"/>
        </w:rPr>
      </w:pPr>
      <w:r>
        <w:rPr>
          <w:rFonts w:hint="eastAsia" w:cs="仿宋_GB2312"/>
          <w:sz w:val="28"/>
          <w:szCs w:val="36"/>
        </w:rPr>
        <w:t>1.若被检产品未标注执行标准的年代号，根据产品标注的生产日期确定执行标准。生产日期在当前有效的标准实施之后，按当前有效的标准执行，反之，按前一版本标准执行。若被检产品未标注生产日期，按当前有效的标准执行。当前有效的标准指已发布并实施的最新标准。</w:t>
      </w:r>
    </w:p>
    <w:p>
      <w:pPr>
        <w:spacing w:line="560" w:lineRule="exact"/>
        <w:ind w:firstLine="560" w:firstLineChars="200"/>
        <w:rPr>
          <w:rFonts w:cs="仿宋_GB2312"/>
          <w:sz w:val="28"/>
          <w:szCs w:val="36"/>
        </w:rPr>
      </w:pPr>
      <w:r>
        <w:rPr>
          <w:rFonts w:hint="eastAsia" w:cs="仿宋_GB2312"/>
          <w:sz w:val="28"/>
          <w:szCs w:val="36"/>
        </w:rPr>
        <w:t>2.进行GB 19865—2005和GB</w:t>
      </w:r>
      <w:r>
        <w:rPr>
          <w:rFonts w:cs="仿宋_GB2312"/>
          <w:sz w:val="28"/>
          <w:szCs w:val="36"/>
        </w:rPr>
        <w:t>/T</w:t>
      </w:r>
      <w:r>
        <w:rPr>
          <w:rFonts w:hint="eastAsia" w:cs="仿宋_GB2312"/>
          <w:sz w:val="28"/>
          <w:szCs w:val="36"/>
        </w:rPr>
        <w:t xml:space="preserve"> 19865—20</w:t>
      </w:r>
      <w:r>
        <w:rPr>
          <w:rFonts w:cs="仿宋_GB2312"/>
          <w:sz w:val="28"/>
          <w:szCs w:val="36"/>
        </w:rPr>
        <w:t>24</w:t>
      </w:r>
      <w:r>
        <w:rPr>
          <w:rFonts w:hint="eastAsia" w:cs="仿宋_GB2312"/>
          <w:sz w:val="28"/>
          <w:szCs w:val="36"/>
        </w:rPr>
        <w:t>测试前应按标准第5章进行预处理。</w:t>
      </w:r>
    </w:p>
    <w:p>
      <w:pPr>
        <w:spacing w:line="560" w:lineRule="exact"/>
        <w:ind w:firstLine="560" w:firstLineChars="200"/>
        <w:rPr>
          <w:rFonts w:cs="仿宋_GB2312"/>
          <w:sz w:val="28"/>
          <w:szCs w:val="36"/>
        </w:rPr>
      </w:pPr>
      <w:r>
        <w:rPr>
          <w:rFonts w:hint="eastAsia" w:cs="仿宋_GB2312"/>
          <w:sz w:val="28"/>
          <w:szCs w:val="36"/>
        </w:rPr>
        <w:t>3.儿童泳圈按《广东省儿童水上器材产品质量监督抽查实施细则》进行检测。</w:t>
      </w:r>
    </w:p>
    <w:p>
      <w:pPr>
        <w:spacing w:line="560" w:lineRule="exact"/>
        <w:ind w:firstLine="560" w:firstLineChars="200"/>
        <w:rPr>
          <w:rFonts w:cs="仿宋_GB2312"/>
          <w:sz w:val="28"/>
          <w:szCs w:val="36"/>
        </w:rPr>
      </w:pPr>
      <w:r>
        <w:rPr>
          <w:rFonts w:hint="eastAsia" w:cs="仿宋_GB2312"/>
          <w:sz w:val="28"/>
          <w:szCs w:val="36"/>
        </w:rPr>
        <w:t>4.若产品存在</w:t>
      </w:r>
      <w:r>
        <w:rPr>
          <w:rFonts w:cs="仿宋_GB2312"/>
          <w:sz w:val="28"/>
          <w:szCs w:val="36"/>
        </w:rPr>
        <w:t>多</w:t>
      </w:r>
      <w:r>
        <w:rPr>
          <w:rFonts w:hint="eastAsia" w:cs="仿宋_GB2312"/>
          <w:sz w:val="28"/>
          <w:szCs w:val="36"/>
        </w:rPr>
        <w:t>功能</w:t>
      </w:r>
      <w:r>
        <w:rPr>
          <w:rFonts w:cs="仿宋_GB2312"/>
          <w:sz w:val="28"/>
          <w:szCs w:val="36"/>
        </w:rPr>
        <w:t>模式时，应符合</w:t>
      </w:r>
      <w:r>
        <w:rPr>
          <w:rFonts w:hint="eastAsia" w:cs="仿宋_GB2312"/>
          <w:sz w:val="28"/>
          <w:szCs w:val="36"/>
        </w:rPr>
        <w:t>相应模式</w:t>
      </w:r>
      <w:r>
        <w:rPr>
          <w:rFonts w:cs="仿宋_GB2312"/>
          <w:sz w:val="28"/>
          <w:szCs w:val="36"/>
        </w:rPr>
        <w:t>的细则要求</w:t>
      </w:r>
      <w:r>
        <w:rPr>
          <w:rFonts w:hint="eastAsia" w:cs="仿宋_GB2312"/>
          <w:sz w:val="28"/>
          <w:szCs w:val="36"/>
        </w:rPr>
        <w:t>（如玩具产品同时有</w:t>
      </w:r>
      <w:r>
        <w:rPr>
          <w:rFonts w:cs="仿宋_GB2312"/>
          <w:sz w:val="28"/>
          <w:szCs w:val="36"/>
        </w:rPr>
        <w:t>助步车</w:t>
      </w:r>
      <w:r>
        <w:rPr>
          <w:rFonts w:hint="eastAsia" w:cs="仿宋_GB2312"/>
          <w:sz w:val="28"/>
          <w:szCs w:val="36"/>
        </w:rPr>
        <w:t>模式</w:t>
      </w:r>
      <w:r>
        <w:rPr>
          <w:rFonts w:cs="仿宋_GB2312"/>
          <w:sz w:val="28"/>
          <w:szCs w:val="36"/>
        </w:rPr>
        <w:t>和</w:t>
      </w:r>
      <w:r>
        <w:rPr>
          <w:rFonts w:hint="eastAsia" w:cs="仿宋_GB2312"/>
          <w:sz w:val="28"/>
          <w:szCs w:val="36"/>
        </w:rPr>
        <w:t>儿童三轮车</w:t>
      </w:r>
      <w:r>
        <w:rPr>
          <w:rFonts w:cs="仿宋_GB2312"/>
          <w:sz w:val="28"/>
          <w:szCs w:val="36"/>
        </w:rPr>
        <w:t>模式</w:t>
      </w:r>
      <w:r>
        <w:rPr>
          <w:rFonts w:hint="eastAsia" w:cs="仿宋_GB2312"/>
          <w:sz w:val="28"/>
          <w:szCs w:val="36"/>
        </w:rPr>
        <w:t>，</w:t>
      </w:r>
      <w:r>
        <w:rPr>
          <w:rFonts w:cs="仿宋_GB2312"/>
          <w:sz w:val="28"/>
          <w:szCs w:val="36"/>
        </w:rPr>
        <w:t>应分别符合玩具细则和童车细则）</w:t>
      </w:r>
      <w:r>
        <w:rPr>
          <w:rFonts w:hint="eastAsia" w:cs="仿宋_GB2312"/>
          <w:sz w:val="28"/>
          <w:szCs w:val="36"/>
        </w:rPr>
        <w:t>。</w:t>
      </w:r>
    </w:p>
    <w:p>
      <w:pPr>
        <w:spacing w:line="560" w:lineRule="exact"/>
        <w:ind w:firstLine="560" w:firstLineChars="200"/>
        <w:rPr>
          <w:rFonts w:cs="仿宋_GB2312"/>
          <w:sz w:val="28"/>
          <w:szCs w:val="36"/>
        </w:rPr>
      </w:pPr>
      <w:r>
        <w:rPr>
          <w:rFonts w:hint="eastAsia" w:cs="仿宋_GB2312"/>
          <w:sz w:val="28"/>
          <w:szCs w:val="36"/>
        </w:rPr>
        <w:t>5.本细则所指的玩具为塑胶玩具、弹射玩具、毛绒布制玩具、电玩具、儿童地垫、泡泡水、玩具</w:t>
      </w:r>
      <w:r>
        <w:rPr>
          <w:rFonts w:cs="仿宋_GB2312"/>
          <w:sz w:val="28"/>
          <w:szCs w:val="36"/>
        </w:rPr>
        <w:t>滑板车、儿童</w:t>
      </w:r>
      <w:r>
        <w:rPr>
          <w:rFonts w:hint="eastAsia" w:cs="仿宋_GB2312"/>
          <w:sz w:val="28"/>
          <w:szCs w:val="36"/>
        </w:rPr>
        <w:t>乘骑车辆玩具（包括电动童车）、充气水上玩具（除儿童泳圈）、磁性玩具、儿童爬行地垫、金属玩具、木制玩具、泥类玩具、娃娃玩具、造型粘土、纸质玩具等。</w:t>
      </w:r>
    </w:p>
    <w:p>
      <w:pPr>
        <w:spacing w:line="560" w:lineRule="exact"/>
        <w:ind w:firstLine="640" w:firstLineChars="200"/>
        <w:rPr>
          <w:rFonts w:cs="仿宋_GB2312"/>
          <w:szCs w:val="40"/>
        </w:rPr>
      </w:pPr>
      <w:r>
        <w:rPr>
          <w:rFonts w:hint="eastAsia" w:cs="仿宋_GB2312"/>
          <w:szCs w:val="40"/>
        </w:rPr>
        <w:t>执行企业标准、团体标准、地方标准的产品，检验项目参照上述内容执行。</w:t>
      </w:r>
    </w:p>
    <w:p>
      <w:pPr>
        <w:spacing w:line="560" w:lineRule="exact"/>
        <w:ind w:firstLine="547" w:firstLineChars="171"/>
        <w:rPr>
          <w:rFonts w:cs="仿宋_GB2312"/>
          <w:szCs w:val="32"/>
        </w:rPr>
      </w:pPr>
      <w:r>
        <w:rPr>
          <w:szCs w:val="32"/>
        </w:rPr>
        <w:t>凡是注日期的文件，其随后所有的修改单（不包括勘误的内容）或修订版不适用于本细则。凡是不注日期的文件，其最新版本适用于本细则。</w:t>
      </w:r>
    </w:p>
    <w:p>
      <w:pPr>
        <w:autoSpaceDE w:val="0"/>
        <w:spacing w:line="560" w:lineRule="exact"/>
        <w:ind w:firstLine="640" w:firstLineChars="200"/>
        <w:rPr>
          <w:szCs w:val="32"/>
        </w:rPr>
      </w:pPr>
      <w:r>
        <w:rPr>
          <w:rFonts w:eastAsia="黑体"/>
          <w:szCs w:val="32"/>
        </w:rPr>
        <w:t xml:space="preserve">3 </w:t>
      </w:r>
      <w:r>
        <w:rPr>
          <w:rFonts w:hint="eastAsia" w:eastAsia="黑体" w:cs="黑体"/>
          <w:szCs w:val="32"/>
        </w:rPr>
        <w:t>判定规则</w:t>
      </w:r>
      <w:bookmarkStart w:id="0" w:name="_GoBack"/>
      <w:bookmarkEnd w:id="0"/>
    </w:p>
    <w:p>
      <w:pPr>
        <w:spacing w:line="560" w:lineRule="exact"/>
        <w:ind w:firstLine="640" w:firstLineChars="200"/>
        <w:rPr>
          <w:rFonts w:eastAsia="楷体_GB2312" w:cs="楷体_GB2312"/>
          <w:szCs w:val="40"/>
        </w:rPr>
      </w:pPr>
      <w:r>
        <w:rPr>
          <w:rFonts w:hint="eastAsia" w:eastAsia="楷体_GB2312" w:cs="楷体_GB2312"/>
          <w:szCs w:val="40"/>
        </w:rPr>
        <w:t>3.1 依据标准</w:t>
      </w:r>
    </w:p>
    <w:p>
      <w:pPr>
        <w:spacing w:line="560" w:lineRule="exact"/>
        <w:ind w:firstLine="640" w:firstLineChars="200"/>
        <w:rPr>
          <w:rFonts w:cs="仿宋_GB2312"/>
          <w:szCs w:val="40"/>
        </w:rPr>
      </w:pPr>
      <w:r>
        <w:rPr>
          <w:rFonts w:hint="eastAsia" w:cs="仿宋_GB2312"/>
          <w:szCs w:val="40"/>
        </w:rPr>
        <w:t>GB 6675.1—2014《玩具安全第1部分：基本规范》</w:t>
      </w:r>
    </w:p>
    <w:p>
      <w:pPr>
        <w:spacing w:line="560" w:lineRule="exact"/>
        <w:ind w:firstLine="640" w:firstLineChars="200"/>
        <w:rPr>
          <w:rFonts w:cs="仿宋_GB2312"/>
          <w:szCs w:val="40"/>
        </w:rPr>
      </w:pPr>
      <w:r>
        <w:rPr>
          <w:rFonts w:cs="仿宋_GB2312"/>
          <w:szCs w:val="40"/>
        </w:rPr>
        <w:t>GB 6675.1</w:t>
      </w:r>
      <w:r>
        <w:rPr>
          <w:rFonts w:hint="eastAsia" w:cs="仿宋_GB2312"/>
          <w:szCs w:val="40"/>
        </w:rPr>
        <w:t>—</w:t>
      </w:r>
      <w:r>
        <w:rPr>
          <w:rFonts w:cs="仿宋_GB2312"/>
          <w:szCs w:val="40"/>
        </w:rPr>
        <w:t>2025</w:t>
      </w:r>
      <w:r>
        <w:rPr>
          <w:rFonts w:hint="eastAsia" w:cs="仿宋_GB2312"/>
          <w:szCs w:val="40"/>
        </w:rPr>
        <w:t>《玩具安全第</w:t>
      </w:r>
      <w:r>
        <w:rPr>
          <w:rFonts w:cs="仿宋_GB2312"/>
          <w:szCs w:val="40"/>
        </w:rPr>
        <w:t>1</w:t>
      </w:r>
      <w:r>
        <w:rPr>
          <w:rFonts w:hint="eastAsia" w:cs="仿宋_GB2312"/>
          <w:szCs w:val="40"/>
        </w:rPr>
        <w:t>部分：基本规范》</w:t>
      </w:r>
    </w:p>
    <w:p>
      <w:pPr>
        <w:spacing w:line="560" w:lineRule="exact"/>
        <w:ind w:firstLine="640" w:firstLineChars="200"/>
        <w:rPr>
          <w:rFonts w:cs="仿宋_GB2312"/>
          <w:szCs w:val="40"/>
        </w:rPr>
      </w:pPr>
      <w:r>
        <w:rPr>
          <w:rFonts w:hint="eastAsia" w:cs="仿宋_GB2312"/>
          <w:szCs w:val="40"/>
        </w:rPr>
        <w:t>GB 6675.2—2014《玩具安全第2部分：机械与物理性能》（含第1号修改单）</w:t>
      </w:r>
    </w:p>
    <w:p>
      <w:pPr>
        <w:spacing w:line="560" w:lineRule="exact"/>
        <w:ind w:firstLine="640" w:firstLineChars="200"/>
        <w:rPr>
          <w:rFonts w:cs="仿宋_GB2312"/>
          <w:szCs w:val="40"/>
        </w:rPr>
      </w:pPr>
      <w:r>
        <w:rPr>
          <w:rFonts w:hint="eastAsia" w:cs="仿宋_GB2312"/>
          <w:szCs w:val="40"/>
        </w:rPr>
        <w:t>GB 6675.2—20</w:t>
      </w:r>
      <w:r>
        <w:rPr>
          <w:rFonts w:cs="仿宋_GB2312"/>
          <w:szCs w:val="40"/>
        </w:rPr>
        <w:t>25</w:t>
      </w:r>
      <w:r>
        <w:rPr>
          <w:rFonts w:hint="eastAsia" w:cs="仿宋_GB2312"/>
          <w:szCs w:val="40"/>
        </w:rPr>
        <w:t>《玩具安全第2部分：机械与物理性能》</w:t>
      </w:r>
    </w:p>
    <w:p>
      <w:pPr>
        <w:spacing w:line="560" w:lineRule="exact"/>
        <w:ind w:firstLine="640" w:firstLineChars="200"/>
        <w:rPr>
          <w:rFonts w:cs="仿宋_GB2312"/>
          <w:szCs w:val="40"/>
        </w:rPr>
      </w:pPr>
      <w:r>
        <w:rPr>
          <w:rFonts w:hint="eastAsia" w:cs="仿宋_GB2312"/>
          <w:szCs w:val="40"/>
        </w:rPr>
        <w:t>GB 6675.3—2014《玩具安全第3部分：易燃性能》</w:t>
      </w:r>
    </w:p>
    <w:p>
      <w:pPr>
        <w:spacing w:line="560" w:lineRule="exact"/>
        <w:ind w:firstLine="640" w:firstLineChars="200"/>
        <w:rPr>
          <w:rFonts w:cs="仿宋_GB2312"/>
          <w:szCs w:val="40"/>
        </w:rPr>
      </w:pPr>
      <w:r>
        <w:rPr>
          <w:rFonts w:hint="eastAsia" w:cs="仿宋_GB2312"/>
          <w:szCs w:val="40"/>
        </w:rPr>
        <w:t>GB 6675.3—20</w:t>
      </w:r>
      <w:r>
        <w:rPr>
          <w:rFonts w:cs="仿宋_GB2312"/>
          <w:szCs w:val="40"/>
        </w:rPr>
        <w:t>25</w:t>
      </w:r>
      <w:r>
        <w:rPr>
          <w:rFonts w:hint="eastAsia" w:cs="仿宋_GB2312"/>
          <w:szCs w:val="40"/>
        </w:rPr>
        <w:t>《玩具安全第3部分：易燃性能》</w:t>
      </w:r>
    </w:p>
    <w:p>
      <w:pPr>
        <w:spacing w:line="560" w:lineRule="exact"/>
        <w:ind w:firstLine="640" w:firstLineChars="200"/>
        <w:rPr>
          <w:rFonts w:cs="仿宋_GB2312"/>
          <w:szCs w:val="40"/>
        </w:rPr>
      </w:pPr>
      <w:r>
        <w:rPr>
          <w:rFonts w:cs="仿宋_GB2312"/>
          <w:szCs w:val="40"/>
        </w:rPr>
        <w:t>GB 6675.4</w:t>
      </w:r>
      <w:r>
        <w:rPr>
          <w:rFonts w:hint="eastAsia" w:cs="仿宋_GB2312"/>
          <w:szCs w:val="40"/>
        </w:rPr>
        <w:t>—</w:t>
      </w:r>
      <w:r>
        <w:rPr>
          <w:rFonts w:cs="仿宋_GB2312"/>
          <w:szCs w:val="40"/>
        </w:rPr>
        <w:t>2014</w:t>
      </w:r>
      <w:r>
        <w:rPr>
          <w:rFonts w:hint="eastAsia" w:cs="仿宋_GB2312"/>
          <w:szCs w:val="40"/>
        </w:rPr>
        <w:t>《玩具安全第</w:t>
      </w:r>
      <w:r>
        <w:rPr>
          <w:rFonts w:cs="仿宋_GB2312"/>
          <w:szCs w:val="40"/>
        </w:rPr>
        <w:t>4</w:t>
      </w:r>
      <w:r>
        <w:rPr>
          <w:rFonts w:hint="eastAsia" w:cs="仿宋_GB2312"/>
          <w:szCs w:val="40"/>
        </w:rPr>
        <w:t>部分：特定元素的迁移》</w:t>
      </w:r>
    </w:p>
    <w:p>
      <w:pPr>
        <w:spacing w:line="560" w:lineRule="exact"/>
        <w:ind w:firstLine="640" w:firstLineChars="200"/>
        <w:rPr>
          <w:rFonts w:cs="仿宋_GB2312"/>
          <w:szCs w:val="40"/>
        </w:rPr>
      </w:pPr>
      <w:r>
        <w:rPr>
          <w:rFonts w:cs="仿宋_GB2312"/>
          <w:szCs w:val="40"/>
        </w:rPr>
        <w:t>GB 6675.4</w:t>
      </w:r>
      <w:r>
        <w:rPr>
          <w:rFonts w:hint="eastAsia" w:cs="仿宋_GB2312"/>
          <w:szCs w:val="40"/>
        </w:rPr>
        <w:t>—</w:t>
      </w:r>
      <w:r>
        <w:rPr>
          <w:rFonts w:cs="仿宋_GB2312"/>
          <w:szCs w:val="40"/>
        </w:rPr>
        <w:t>2025</w:t>
      </w:r>
      <w:r>
        <w:rPr>
          <w:rFonts w:hint="eastAsia" w:cs="仿宋_GB2312"/>
          <w:szCs w:val="40"/>
        </w:rPr>
        <w:t>《玩具安全第</w:t>
      </w:r>
      <w:r>
        <w:rPr>
          <w:rFonts w:cs="仿宋_GB2312"/>
          <w:szCs w:val="40"/>
        </w:rPr>
        <w:t>4</w:t>
      </w:r>
      <w:r>
        <w:rPr>
          <w:rFonts w:hint="eastAsia" w:cs="仿宋_GB2312"/>
          <w:szCs w:val="40"/>
        </w:rPr>
        <w:t>部分：特定元素的迁移》</w:t>
      </w:r>
    </w:p>
    <w:p>
      <w:pPr>
        <w:spacing w:line="560" w:lineRule="exact"/>
        <w:ind w:firstLine="640" w:firstLineChars="200"/>
        <w:rPr>
          <w:rFonts w:cs="仿宋_GB2312"/>
          <w:szCs w:val="40"/>
        </w:rPr>
      </w:pPr>
      <w:r>
        <w:rPr>
          <w:rFonts w:hint="eastAsia" w:cs="仿宋_GB2312"/>
          <w:szCs w:val="40"/>
        </w:rPr>
        <w:t>GB 19865—2005《电玩具的安全》（含第1号修改单）</w:t>
      </w:r>
    </w:p>
    <w:p>
      <w:pPr>
        <w:spacing w:line="560" w:lineRule="exact"/>
        <w:ind w:firstLine="640" w:firstLineChars="200"/>
        <w:rPr>
          <w:rFonts w:cs="仿宋_GB2312"/>
          <w:szCs w:val="40"/>
        </w:rPr>
      </w:pPr>
      <w:r>
        <w:rPr>
          <w:rFonts w:hint="eastAsia" w:cs="仿宋_GB2312"/>
          <w:szCs w:val="40"/>
        </w:rPr>
        <w:t>GB</w:t>
      </w:r>
      <w:r>
        <w:rPr>
          <w:rFonts w:cs="仿宋_GB2312"/>
          <w:szCs w:val="40"/>
        </w:rPr>
        <w:t>/T</w:t>
      </w:r>
      <w:r>
        <w:rPr>
          <w:rFonts w:hint="eastAsia" w:cs="仿宋_GB2312"/>
          <w:szCs w:val="40"/>
        </w:rPr>
        <w:t xml:space="preserve"> 19865—20</w:t>
      </w:r>
      <w:r>
        <w:rPr>
          <w:rFonts w:cs="仿宋_GB2312"/>
          <w:szCs w:val="40"/>
        </w:rPr>
        <w:t>24</w:t>
      </w:r>
      <w:r>
        <w:rPr>
          <w:rFonts w:hint="eastAsia" w:cs="仿宋_GB2312"/>
          <w:szCs w:val="40"/>
        </w:rPr>
        <w:t>《电玩具的安全》</w:t>
      </w:r>
    </w:p>
    <w:p>
      <w:pPr>
        <w:spacing w:line="560" w:lineRule="exact"/>
        <w:ind w:firstLine="640" w:firstLineChars="200"/>
        <w:rPr>
          <w:rFonts w:cs="仿宋_GB2312"/>
          <w:szCs w:val="40"/>
        </w:rPr>
      </w:pPr>
      <w:r>
        <w:rPr>
          <w:rFonts w:hint="eastAsia" w:cs="仿宋_GB2312"/>
          <w:szCs w:val="40"/>
        </w:rPr>
        <w:t>现行有效的企业标准、团体标准、地方标准及产品明示质量要求</w:t>
      </w:r>
    </w:p>
    <w:p>
      <w:pPr>
        <w:spacing w:line="560" w:lineRule="exact"/>
        <w:ind w:firstLine="640" w:firstLineChars="200"/>
        <w:rPr>
          <w:rFonts w:eastAsia="楷体_GB2312" w:cs="楷体_GB2312"/>
          <w:szCs w:val="40"/>
        </w:rPr>
      </w:pPr>
      <w:r>
        <w:rPr>
          <w:rFonts w:hint="eastAsia" w:eastAsia="楷体_GB2312" w:cs="楷体_GB2312"/>
          <w:szCs w:val="40"/>
        </w:rPr>
        <w:t>3.2 判定原则</w:t>
      </w:r>
    </w:p>
    <w:p>
      <w:pPr>
        <w:spacing w:line="560" w:lineRule="exact"/>
        <w:ind w:firstLine="640" w:firstLineChars="200"/>
        <w:rPr>
          <w:rFonts w:cs="仿宋_GB2312"/>
          <w:szCs w:val="40"/>
        </w:rPr>
      </w:pPr>
      <w:r>
        <w:rPr>
          <w:rFonts w:hint="eastAsia" w:cs="仿宋_GB2312"/>
          <w:szCs w:val="40"/>
        </w:rPr>
        <w:t>经检验，检验项目全部合格，判定为被抽查产品所检项目未发现不合格；检验项目中任一项或一项以上不合格，判定为被抽查产品不合格。</w:t>
      </w:r>
    </w:p>
    <w:p>
      <w:pPr>
        <w:spacing w:line="560" w:lineRule="exact"/>
        <w:ind w:firstLine="640" w:firstLineChars="200"/>
        <w:rPr>
          <w:rFonts w:cs="仿宋_GB2312"/>
          <w:szCs w:val="40"/>
        </w:rPr>
      </w:pPr>
      <w:r>
        <w:rPr>
          <w:rFonts w:hint="eastAsia" w:cs="仿宋_GB2312"/>
          <w:szCs w:val="40"/>
        </w:rPr>
        <w:t>若被检产品明示的质量要求高于本细则中检验项目依据的标准要求时，应按被检产品明示的质量要求判定。</w:t>
      </w:r>
    </w:p>
    <w:p>
      <w:pPr>
        <w:spacing w:line="560" w:lineRule="exact"/>
        <w:ind w:firstLine="640" w:firstLineChars="200"/>
        <w:rPr>
          <w:rFonts w:cs="仿宋_GB2312"/>
          <w:szCs w:val="40"/>
        </w:rPr>
      </w:pPr>
      <w:r>
        <w:rPr>
          <w:rFonts w:hint="eastAsia" w:cs="仿宋_GB2312"/>
          <w:szCs w:val="40"/>
        </w:rPr>
        <w:t>若被检产品明示的质量要求低于本细则中检验项目依据的强制性标准要求时，应按照强制性标准要求判定。</w:t>
      </w:r>
    </w:p>
    <w:p>
      <w:pPr>
        <w:spacing w:line="560" w:lineRule="exact"/>
        <w:ind w:firstLine="640" w:firstLineChars="200"/>
        <w:rPr>
          <w:rFonts w:cs="仿宋_GB2312"/>
          <w:szCs w:val="40"/>
        </w:rPr>
      </w:pPr>
      <w:r>
        <w:rPr>
          <w:rFonts w:hint="eastAsia" w:cs="仿宋_GB2312"/>
          <w:szCs w:val="40"/>
        </w:rPr>
        <w:t>若被检产品明示的质量要求低于或包含本细则中检验项目依据的推荐性标准要求时，应以被检产品明示的质量要求判定。</w:t>
      </w:r>
    </w:p>
    <w:p>
      <w:pPr>
        <w:spacing w:line="560" w:lineRule="exact"/>
        <w:ind w:firstLine="640" w:firstLineChars="200"/>
        <w:rPr>
          <w:rFonts w:cs="仿宋_GB2312"/>
          <w:szCs w:val="40"/>
        </w:rPr>
      </w:pPr>
      <w:r>
        <w:rPr>
          <w:rFonts w:hint="eastAsia" w:cs="仿宋_GB2312"/>
          <w:szCs w:val="40"/>
        </w:rPr>
        <w:t>若被检产品明示的质量要求缺少本细则中检验项目依据的强制性标准要求时，应按照强制性标准要求判定。</w:t>
      </w:r>
    </w:p>
    <w:p>
      <w:pPr>
        <w:spacing w:line="560" w:lineRule="exact"/>
        <w:ind w:firstLine="640" w:firstLineChars="200"/>
        <w:rPr>
          <w:rFonts w:cs="仿宋_GB2312"/>
          <w:szCs w:val="40"/>
        </w:rPr>
      </w:pPr>
      <w:r>
        <w:rPr>
          <w:rFonts w:hint="eastAsia" w:cs="仿宋_GB2312"/>
          <w:szCs w:val="40"/>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ZHTK--GBK1-0">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C7127A"/>
    <w:rsid w:val="000A0492"/>
    <w:rsid w:val="002A3EE5"/>
    <w:rsid w:val="00817951"/>
    <w:rsid w:val="00A9173D"/>
    <w:rsid w:val="00AE28C7"/>
    <w:rsid w:val="00B27545"/>
    <w:rsid w:val="00EC4D28"/>
    <w:rsid w:val="00F65AA8"/>
    <w:rsid w:val="0BB73F9B"/>
    <w:rsid w:val="24C7127A"/>
    <w:rsid w:val="274C29F2"/>
    <w:rsid w:val="2C2A6820"/>
    <w:rsid w:val="66F100BA"/>
    <w:rsid w:val="741A3A0E"/>
    <w:rsid w:val="79322DF5"/>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eastAsia="仿宋_GB2312"/>
      <w:kern w:val="2"/>
      <w:sz w:val="18"/>
      <w:szCs w:val="18"/>
    </w:rPr>
  </w:style>
  <w:style w:type="character" w:customStyle="1" w:styleId="8">
    <w:name w:val="页脚 Char"/>
    <w:basedOn w:val="6"/>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14</Pages>
  <Words>4160</Words>
  <Characters>4327</Characters>
  <Lines>721</Lines>
  <Paragraphs>771</Paragraphs>
  <TotalTime>10</TotalTime>
  <ScaleCrop>false</ScaleCrop>
  <LinksUpToDate>false</LinksUpToDate>
  <CharactersWithSpaces>7716</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2026-09-08T06:29:00Z</dcterms:created>
  <dc:creator>YWB</dc:creator>
  <cp:lastModifiedBy>廖梓婷</cp:lastModifiedBy>
  <dcterms:modified xsi:type="dcterms:W3CDTF">2026-10-09T02:26:17Z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