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bookmarkStart w:id="1" w:name="_GoBack"/>
      <w:r>
        <w:rPr>
          <w:rFonts w:hint="eastAsia" w:eastAsia="方正小标宋简体" w:cs="方正小标宋简体"/>
          <w:color w:val="auto"/>
          <w:sz w:val="44"/>
          <w:szCs w:val="44"/>
          <w:highlight w:val="none"/>
          <w:lang w:eastAsia="zh-CN"/>
        </w:rPr>
        <w:t>佛冈县</w:t>
      </w:r>
      <w:r>
        <w:rPr>
          <w:rFonts w:hint="eastAsia" w:ascii="Times New Roman" w:hAnsi="Times New Roman" w:eastAsia="方正小标宋简体" w:cs="方正小标宋简体"/>
          <w:color w:val="auto"/>
          <w:sz w:val="44"/>
          <w:szCs w:val="44"/>
          <w:highlight w:val="none"/>
          <w:lang w:val="en-US" w:eastAsia="zh-CN"/>
        </w:rPr>
        <w:t>燃气用具</w:t>
      </w:r>
      <w:r>
        <w:rPr>
          <w:rFonts w:hint="eastAsia" w:ascii="Times New Roman" w:hAnsi="Times New Roman" w:eastAsia="方正小标宋简体" w:cs="方正小标宋简体"/>
          <w:color w:val="auto"/>
          <w:sz w:val="44"/>
          <w:szCs w:val="44"/>
          <w:highlight w:val="none"/>
        </w:rPr>
        <w:t>产品质量监督抽查实施</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细则</w:t>
      </w:r>
    </w:p>
    <w:bookmarkEnd w:id="1"/>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（202</w:t>
      </w:r>
      <w:r>
        <w:rPr>
          <w:rFonts w:hint="eastAsia" w:ascii="Times New Roman" w:hAnsi="Times New Roman" w:eastAsia="楷体_GB2312" w:cs="楷体_GB2312"/>
          <w:color w:val="auto"/>
          <w:sz w:val="32"/>
          <w:szCs w:val="40"/>
          <w:highlight w:val="none"/>
          <w:lang w:val="en-US" w:eastAsia="zh-CN"/>
        </w:rPr>
        <w:t>6</w:t>
      </w:r>
      <w:r>
        <w:rPr>
          <w:rFonts w:hint="eastAsia" w:ascii="Times New Roman" w:hAnsi="Times New Roman" w:eastAsia="楷体_GB2312" w:cs="楷体_GB2312"/>
          <w:color w:val="auto"/>
          <w:sz w:val="32"/>
          <w:szCs w:val="40"/>
          <w:highlight w:val="none"/>
        </w:rPr>
        <w:t>年版）</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pPr>
        <w:keepNext w:val="0"/>
        <w:keepLines w:val="0"/>
        <w:pageBreakBefore w:val="0"/>
        <w:widowControl/>
        <w:kinsoku/>
        <w:wordWrap/>
        <w:overflowPunct/>
        <w:topLinePunct w:val="0"/>
        <w:autoSpaceDE/>
        <w:autoSpaceDN/>
        <w:bidi w:val="0"/>
        <w:spacing w:after="0" w:line="560" w:lineRule="exact"/>
        <w:ind w:firstLine="640" w:firstLineChars="200"/>
        <w:jc w:val="both"/>
        <w:textAlignment w:val="auto"/>
        <w:rPr>
          <w:rFonts w:hint="default" w:ascii="Times New Roman" w:hAnsi="Times New Roman" w:eastAsia="黑体" w:cs="Times New Roman"/>
          <w:color w:val="auto"/>
          <w:kern w:val="2"/>
          <w:sz w:val="32"/>
          <w:szCs w:val="32"/>
          <w:highlight w:val="none"/>
          <w:lang w:val="en-US" w:eastAsia="zh-CN" w:bidi="ar-SA"/>
        </w:rPr>
      </w:pPr>
      <w:r>
        <w:rPr>
          <w:rFonts w:hint="default" w:ascii="Times New Roman" w:hAnsi="Times New Roman" w:eastAsia="黑体" w:cs="Times New Roman"/>
          <w:color w:val="auto"/>
          <w:kern w:val="2"/>
          <w:sz w:val="32"/>
          <w:szCs w:val="32"/>
          <w:highlight w:val="none"/>
          <w:lang w:val="en-US" w:eastAsia="zh-CN" w:bidi="ar-SA"/>
        </w:rPr>
        <w:t xml:space="preserve">1 </w:t>
      </w:r>
      <w:r>
        <w:rPr>
          <w:rFonts w:hint="eastAsia" w:ascii="Times New Roman" w:hAnsi="Times New Roman" w:eastAsia="黑体" w:cs="Times New Roman"/>
          <w:color w:val="auto"/>
          <w:kern w:val="2"/>
          <w:sz w:val="32"/>
          <w:szCs w:val="32"/>
          <w:highlight w:val="none"/>
          <w:lang w:val="en-US" w:eastAsia="zh-CN" w:bidi="ar-SA"/>
        </w:rPr>
        <w:t>抽样方法</w:t>
      </w:r>
    </w:p>
    <w:p>
      <w:pPr>
        <w:keepNext w:val="0"/>
        <w:keepLines w:val="0"/>
        <w:pageBreakBefore w:val="0"/>
        <w:kinsoku/>
        <w:wordWrap/>
        <w:overflowPunct/>
        <w:topLinePunct w:val="0"/>
        <w:autoSpaceDE/>
        <w:autoSpaceDN/>
        <w:bidi w:val="0"/>
        <w:snapToGrid w:val="0"/>
        <w:spacing w:after="0" w:line="560" w:lineRule="exact"/>
        <w:ind w:firstLine="640" w:firstLineChars="200"/>
        <w:textAlignment w:val="auto"/>
        <w:rPr>
          <w:rFonts w:ascii="Times New Roman" w:hAnsi="Times New Roman" w:eastAsia="宋体" w:cs="Times New Roman"/>
          <w:color w:val="auto"/>
          <w:sz w:val="21"/>
          <w:szCs w:val="32"/>
          <w:highlight w:val="none"/>
        </w:rPr>
      </w:pPr>
      <w:r>
        <w:rPr>
          <w:rFonts w:hint="eastAsia" w:ascii="Times New Roman" w:hAnsi="Times New Roman" w:eastAsia="仿宋_GB2312" w:cs="仿宋_GB2312"/>
          <w:color w:val="auto"/>
          <w:sz w:val="32"/>
          <w:szCs w:val="32"/>
          <w:highlight w:val="none"/>
          <w:lang w:bidi="ar"/>
        </w:rPr>
        <w:t>以随机抽样的方式在被抽样生产者、销售者的待销产品中抽取。</w:t>
      </w:r>
    </w:p>
    <w:p>
      <w:pPr>
        <w:keepNext w:val="0"/>
        <w:keepLines w:val="0"/>
        <w:pageBreakBefore w:val="0"/>
        <w:kinsoku/>
        <w:wordWrap/>
        <w:overflowPunct/>
        <w:topLinePunct w:val="0"/>
        <w:autoSpaceDE/>
        <w:autoSpaceDN/>
        <w:bidi w:val="0"/>
        <w:snapToGrid w:val="0"/>
        <w:spacing w:after="0" w:line="560" w:lineRule="exact"/>
        <w:ind w:firstLine="640" w:firstLineChars="200"/>
        <w:textAlignment w:val="auto"/>
        <w:rPr>
          <w:rFonts w:ascii="Times New Roman" w:hAnsi="Times New Roman" w:eastAsia="宋体" w:cs="Times New Roman"/>
          <w:color w:val="auto"/>
          <w:sz w:val="21"/>
          <w:szCs w:val="32"/>
          <w:highlight w:val="none"/>
        </w:rPr>
      </w:pPr>
      <w:r>
        <w:rPr>
          <w:rFonts w:hint="eastAsia" w:ascii="Times New Roman" w:hAnsi="Times New Roman" w:eastAsia="仿宋_GB2312" w:cs="仿宋_GB2312"/>
          <w:color w:val="auto"/>
          <w:sz w:val="32"/>
          <w:szCs w:val="32"/>
          <w:highlight w:val="none"/>
          <w:lang w:bidi="ar"/>
        </w:rPr>
        <w:t>随机数一般可使用随机数表等方法产生。</w:t>
      </w:r>
    </w:p>
    <w:p>
      <w:pPr>
        <w:keepNext w:val="0"/>
        <w:keepLines w:val="0"/>
        <w:pageBreakBefore w:val="0"/>
        <w:kinsoku/>
        <w:wordWrap/>
        <w:overflowPunct/>
        <w:topLinePunct w:val="0"/>
        <w:autoSpaceDE/>
        <w:autoSpaceDN/>
        <w:bidi w:val="0"/>
        <w:snapToGrid w:val="0"/>
        <w:spacing w:after="0" w:line="560" w:lineRule="exact"/>
        <w:ind w:firstLine="640" w:firstLineChars="200"/>
        <w:textAlignment w:val="auto"/>
        <w:rPr>
          <w:rFonts w:hint="eastAsia" w:ascii="Times New Roman" w:hAnsi="Times New Roman" w:eastAsia="仿宋_GB2312" w:cs="仿宋_GB2312"/>
          <w:color w:val="auto"/>
          <w:sz w:val="32"/>
          <w:szCs w:val="32"/>
          <w:highlight w:val="none"/>
          <w:lang w:bidi="ar"/>
        </w:rPr>
      </w:pPr>
      <w:r>
        <w:rPr>
          <w:rFonts w:hint="eastAsia" w:ascii="Times New Roman" w:hAnsi="Times New Roman" w:eastAsia="仿宋_GB2312" w:cs="仿宋_GB2312"/>
          <w:color w:val="auto"/>
          <w:sz w:val="32"/>
          <w:szCs w:val="32"/>
          <w:highlight w:val="none"/>
          <w:lang w:bidi="ar"/>
        </w:rPr>
        <w:t>每批次产品抽取</w:t>
      </w:r>
      <w:r>
        <w:rPr>
          <w:rFonts w:ascii="Times New Roman" w:hAnsi="Times New Roman" w:eastAsia="仿宋_GB2312" w:cs="Times New Roman"/>
          <w:color w:val="auto"/>
          <w:sz w:val="32"/>
          <w:szCs w:val="32"/>
          <w:highlight w:val="none"/>
          <w:lang w:bidi="ar"/>
        </w:rPr>
        <w:t>2</w:t>
      </w:r>
      <w:r>
        <w:rPr>
          <w:rFonts w:hint="eastAsia" w:ascii="Times New Roman" w:hAnsi="Times New Roman" w:eastAsia="仿宋_GB2312" w:cs="仿宋_GB2312"/>
          <w:color w:val="auto"/>
          <w:sz w:val="32"/>
          <w:szCs w:val="32"/>
          <w:highlight w:val="none"/>
          <w:lang w:bidi="ar"/>
        </w:rPr>
        <w:t>组样本，第</w:t>
      </w:r>
      <w:r>
        <w:rPr>
          <w:rFonts w:ascii="Times New Roman" w:hAnsi="Times New Roman" w:eastAsia="仿宋_GB2312" w:cs="Times New Roman"/>
          <w:color w:val="auto"/>
          <w:sz w:val="32"/>
          <w:szCs w:val="32"/>
          <w:highlight w:val="none"/>
          <w:lang w:bidi="ar"/>
        </w:rPr>
        <w:t>1</w:t>
      </w:r>
      <w:r>
        <w:rPr>
          <w:rFonts w:hint="eastAsia" w:ascii="Times New Roman" w:hAnsi="Times New Roman" w:eastAsia="仿宋_GB2312" w:cs="仿宋_GB2312"/>
          <w:color w:val="auto"/>
          <w:sz w:val="32"/>
          <w:szCs w:val="32"/>
          <w:highlight w:val="none"/>
          <w:lang w:bidi="ar"/>
        </w:rPr>
        <w:t>组用于检验，第</w:t>
      </w:r>
      <w:r>
        <w:rPr>
          <w:rFonts w:ascii="Times New Roman" w:hAnsi="Times New Roman" w:eastAsia="仿宋_GB2312" w:cs="Times New Roman"/>
          <w:color w:val="auto"/>
          <w:sz w:val="32"/>
          <w:szCs w:val="32"/>
          <w:highlight w:val="none"/>
          <w:lang w:bidi="ar"/>
        </w:rPr>
        <w:t>2</w:t>
      </w:r>
      <w:r>
        <w:rPr>
          <w:rFonts w:hint="eastAsia" w:ascii="Times New Roman" w:hAnsi="Times New Roman" w:eastAsia="仿宋_GB2312" w:cs="仿宋_GB2312"/>
          <w:color w:val="auto"/>
          <w:sz w:val="32"/>
          <w:szCs w:val="32"/>
          <w:highlight w:val="none"/>
          <w:lang w:bidi="ar"/>
        </w:rPr>
        <w:t>组用于备样。</w:t>
      </w:r>
    </w:p>
    <w:p>
      <w:pPr>
        <w:keepNext w:val="0"/>
        <w:keepLines w:val="0"/>
        <w:pageBreakBefore w:val="0"/>
        <w:kinsoku/>
        <w:wordWrap/>
        <w:overflowPunct/>
        <w:topLinePunct w:val="0"/>
        <w:autoSpaceDE/>
        <w:autoSpaceDN/>
        <w:bidi w:val="0"/>
        <w:snapToGrid w:val="0"/>
        <w:spacing w:after="0" w:line="560" w:lineRule="exact"/>
        <w:ind w:firstLine="640" w:firstLineChars="200"/>
        <w:textAlignment w:val="auto"/>
        <w:rPr>
          <w:rFonts w:ascii="Times New Roman" w:hAnsi="Times New Roman" w:eastAsia="宋体" w:cs="Times New Roman"/>
          <w:color w:val="auto"/>
          <w:sz w:val="21"/>
          <w:szCs w:val="32"/>
          <w:highlight w:val="none"/>
        </w:rPr>
      </w:pPr>
      <w:r>
        <w:rPr>
          <w:rFonts w:hint="eastAsia" w:ascii="Times New Roman" w:hAnsi="Times New Roman" w:eastAsia="仿宋_GB2312" w:cs="仿宋_GB2312"/>
          <w:color w:val="auto"/>
          <w:sz w:val="32"/>
          <w:szCs w:val="32"/>
          <w:highlight w:val="none"/>
          <w:lang w:bidi="ar"/>
        </w:rPr>
        <w:t>具体抽样数量和方法如下：</w:t>
      </w:r>
    </w:p>
    <w:tbl>
      <w:tblPr>
        <w:tblStyle w:val="3"/>
        <w:tblW w:w="919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7"/>
        <w:gridCol w:w="1307"/>
        <w:gridCol w:w="3129"/>
        <w:gridCol w:w="1965"/>
        <w:gridCol w:w="17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序号</w:t>
            </w:r>
          </w:p>
        </w:tc>
        <w:tc>
          <w:tcPr>
            <w:tcW w:w="443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产品名称</w:t>
            </w:r>
          </w:p>
        </w:tc>
        <w:tc>
          <w:tcPr>
            <w:tcW w:w="19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第1组数量</w:t>
            </w:r>
          </w:p>
        </w:tc>
        <w:tc>
          <w:tcPr>
            <w:tcW w:w="17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第2组数量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w:t>
            </w:r>
          </w:p>
        </w:tc>
        <w:tc>
          <w:tcPr>
            <w:tcW w:w="443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bookmarkStart w:id="0" w:name="_Hlk32954213"/>
            <w:r>
              <w:rPr>
                <w:rFonts w:hint="eastAsia" w:ascii="Times New Roman" w:hAnsi="Times New Roman" w:eastAsia="仿宋_GB2312" w:cs="仿宋_GB2312"/>
                <w:color w:val="auto"/>
                <w:sz w:val="28"/>
                <w:szCs w:val="28"/>
                <w:highlight w:val="none"/>
              </w:rPr>
              <w:t>家用燃气快速热水器</w:t>
            </w:r>
            <w:bookmarkEnd w:id="0"/>
          </w:p>
        </w:tc>
        <w:tc>
          <w:tcPr>
            <w:tcW w:w="19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1台</w:t>
            </w:r>
          </w:p>
        </w:tc>
        <w:tc>
          <w:tcPr>
            <w:tcW w:w="17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2</w:t>
            </w:r>
          </w:p>
        </w:tc>
        <w:tc>
          <w:tcPr>
            <w:tcW w:w="443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家用燃气灶</w:t>
            </w:r>
          </w:p>
        </w:tc>
        <w:tc>
          <w:tcPr>
            <w:tcW w:w="19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1台</w:t>
            </w:r>
          </w:p>
        </w:tc>
        <w:tc>
          <w:tcPr>
            <w:tcW w:w="17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3</w:t>
            </w:r>
          </w:p>
        </w:tc>
        <w:tc>
          <w:tcPr>
            <w:tcW w:w="443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燃气采暖热水炉</w:t>
            </w:r>
          </w:p>
        </w:tc>
        <w:tc>
          <w:tcPr>
            <w:tcW w:w="19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1台</w:t>
            </w:r>
          </w:p>
        </w:tc>
        <w:tc>
          <w:tcPr>
            <w:tcW w:w="17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4</w:t>
            </w:r>
          </w:p>
        </w:tc>
        <w:tc>
          <w:tcPr>
            <w:tcW w:w="443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商用燃气灶</w:t>
            </w:r>
          </w:p>
        </w:tc>
        <w:tc>
          <w:tcPr>
            <w:tcW w:w="19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1台</w:t>
            </w:r>
          </w:p>
        </w:tc>
        <w:tc>
          <w:tcPr>
            <w:tcW w:w="17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5</w:t>
            </w:r>
          </w:p>
        </w:tc>
        <w:tc>
          <w:tcPr>
            <w:tcW w:w="443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家用瓶装液化石油气调压器</w:t>
            </w:r>
          </w:p>
        </w:tc>
        <w:tc>
          <w:tcPr>
            <w:tcW w:w="19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3只</w:t>
            </w:r>
          </w:p>
        </w:tc>
        <w:tc>
          <w:tcPr>
            <w:tcW w:w="17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3只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6</w:t>
            </w:r>
          </w:p>
        </w:tc>
        <w:tc>
          <w:tcPr>
            <w:tcW w:w="1307"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softHyphen/>
            </w:r>
            <w:r>
              <w:rPr>
                <w:rFonts w:hint="eastAsia" w:ascii="Times New Roman" w:hAnsi="Times New Roman" w:eastAsia="仿宋_GB2312" w:cs="仿宋_GB2312"/>
                <w:color w:val="auto"/>
                <w:sz w:val="28"/>
                <w:szCs w:val="28"/>
                <w:highlight w:val="none"/>
              </w:rPr>
              <w:t>燃气用具连接用软管</w:t>
            </w:r>
          </w:p>
        </w:tc>
        <w:tc>
          <w:tcPr>
            <w:tcW w:w="312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燃气用不锈钢波纹软管</w:t>
            </w:r>
          </w:p>
        </w:tc>
        <w:tc>
          <w:tcPr>
            <w:tcW w:w="19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3根</w:t>
            </w:r>
          </w:p>
        </w:tc>
        <w:tc>
          <w:tcPr>
            <w:tcW w:w="17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3根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7</w:t>
            </w:r>
          </w:p>
        </w:tc>
        <w:tc>
          <w:tcPr>
            <w:tcW w:w="1307"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312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燃气用金属包覆软管</w:t>
            </w:r>
          </w:p>
        </w:tc>
        <w:tc>
          <w:tcPr>
            <w:tcW w:w="19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3根</w:t>
            </w:r>
          </w:p>
        </w:tc>
        <w:tc>
          <w:tcPr>
            <w:tcW w:w="17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3根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8</w:t>
            </w:r>
          </w:p>
        </w:tc>
        <w:tc>
          <w:tcPr>
            <w:tcW w:w="443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电磁式燃气紧急切断阀</w:t>
            </w:r>
          </w:p>
        </w:tc>
        <w:tc>
          <w:tcPr>
            <w:tcW w:w="196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1只</w:t>
            </w:r>
          </w:p>
        </w:tc>
        <w:tc>
          <w:tcPr>
            <w:tcW w:w="17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备注：</w:t>
            </w:r>
          </w:p>
        </w:tc>
        <w:tc>
          <w:tcPr>
            <w:tcW w:w="8197"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1799"/>
                <w:tab w:val="center" w:pos="4007"/>
              </w:tabs>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w:t>
            </w:r>
          </w:p>
        </w:tc>
      </w:tr>
    </w:tbl>
    <w:p>
      <w:pPr>
        <w:keepNext w:val="0"/>
        <w:keepLines w:val="0"/>
        <w:pageBreakBefore w:val="0"/>
        <w:widowControl/>
        <w:kinsoku/>
        <w:wordWrap/>
        <w:overflowPunct/>
        <w:topLinePunct w:val="0"/>
        <w:autoSpaceDE/>
        <w:autoSpaceDN/>
        <w:bidi w:val="0"/>
        <w:spacing w:after="0" w:line="560" w:lineRule="exact"/>
        <w:ind w:firstLine="640" w:firstLineChars="200"/>
        <w:jc w:val="both"/>
        <w:textAlignment w:val="auto"/>
        <w:rPr>
          <w:rFonts w:hint="default" w:ascii="Times New Roman" w:hAnsi="Times New Roman" w:eastAsia="黑体" w:cs="Times New Roman"/>
          <w:color w:val="auto"/>
          <w:kern w:val="2"/>
          <w:sz w:val="32"/>
          <w:szCs w:val="32"/>
          <w:highlight w:val="none"/>
          <w:lang w:val="en-US" w:eastAsia="zh-CN" w:bidi="ar-SA"/>
        </w:rPr>
      </w:pPr>
      <w:r>
        <w:rPr>
          <w:rFonts w:hint="default" w:ascii="Times New Roman" w:hAnsi="Times New Roman" w:eastAsia="黑体" w:cs="Times New Roman"/>
          <w:color w:val="auto"/>
          <w:kern w:val="2"/>
          <w:sz w:val="32"/>
          <w:szCs w:val="32"/>
          <w:highlight w:val="none"/>
          <w:lang w:val="en-US" w:eastAsia="zh-CN" w:bidi="ar-SA"/>
        </w:rPr>
        <w:t xml:space="preserve">2 </w:t>
      </w:r>
      <w:r>
        <w:rPr>
          <w:rFonts w:hint="eastAsia" w:ascii="Times New Roman" w:hAnsi="Times New Roman" w:eastAsia="黑体" w:cs="Times New Roman"/>
          <w:color w:val="auto"/>
          <w:kern w:val="2"/>
          <w:sz w:val="32"/>
          <w:szCs w:val="32"/>
          <w:highlight w:val="none"/>
          <w:lang w:val="en-US" w:eastAsia="zh-CN" w:bidi="ar-SA"/>
        </w:rPr>
        <w:t>检验依据</w:t>
      </w:r>
    </w:p>
    <w:p>
      <w:pPr>
        <w:keepNext w:val="0"/>
        <w:keepLines w:val="0"/>
        <w:pageBreakBefore w:val="0"/>
        <w:kinsoku/>
        <w:wordWrap/>
        <w:overflowPunct/>
        <w:topLinePunct w:val="0"/>
        <w:autoSpaceDE/>
        <w:autoSpaceDN/>
        <w:bidi w:val="0"/>
        <w:adjustRightInd w:val="0"/>
        <w:snapToGrid w:val="0"/>
        <w:spacing w:after="0" w:line="560" w:lineRule="exact"/>
        <w:jc w:val="center"/>
        <w:textAlignment w:val="auto"/>
        <w:rPr>
          <w:rFonts w:ascii="Times New Roman" w:hAnsi="Times New Roman" w:eastAsia="宋体" w:cs="Times New Roman"/>
          <w:color w:val="auto"/>
          <w:sz w:val="21"/>
          <w:szCs w:val="32"/>
          <w:highlight w:val="none"/>
        </w:rPr>
      </w:pPr>
      <w:r>
        <w:rPr>
          <w:rFonts w:hint="eastAsia" w:ascii="Times New Roman" w:hAnsi="Times New Roman" w:eastAsia="仿宋_GB2312" w:cs="仿宋_GB2312"/>
          <w:color w:val="auto"/>
          <w:sz w:val="32"/>
          <w:szCs w:val="32"/>
          <w:highlight w:val="none"/>
          <w:lang w:bidi="ar"/>
        </w:rPr>
        <w:t>表</w:t>
      </w:r>
      <w:r>
        <w:rPr>
          <w:rFonts w:ascii="Times New Roman" w:hAnsi="Times New Roman" w:eastAsia="仿宋_GB2312" w:cs="Times New Roman"/>
          <w:color w:val="auto"/>
          <w:sz w:val="32"/>
          <w:szCs w:val="32"/>
          <w:highlight w:val="none"/>
          <w:lang w:bidi="ar"/>
        </w:rPr>
        <w:t xml:space="preserve">1 </w:t>
      </w:r>
      <w:r>
        <w:rPr>
          <w:rFonts w:hint="eastAsia" w:ascii="Times New Roman" w:hAnsi="Times New Roman" w:eastAsia="仿宋_GB2312" w:cs="仿宋_GB2312"/>
          <w:color w:val="auto"/>
          <w:sz w:val="32"/>
          <w:szCs w:val="32"/>
          <w:highlight w:val="none"/>
          <w:lang w:bidi="ar"/>
        </w:rPr>
        <w:t>家用燃气快速热水器</w:t>
      </w:r>
    </w:p>
    <w:tbl>
      <w:tblPr>
        <w:tblStyle w:val="3"/>
        <w:tblW w:w="917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
        <w:gridCol w:w="1815"/>
        <w:gridCol w:w="4300"/>
        <w:gridCol w:w="21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tblHeader/>
          <w:jc w:val="center"/>
        </w:trPr>
        <w:tc>
          <w:tcPr>
            <w:tcW w:w="8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序号</w:t>
            </w:r>
          </w:p>
        </w:tc>
        <w:tc>
          <w:tcPr>
            <w:tcW w:w="611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检验项目</w:t>
            </w:r>
          </w:p>
        </w:tc>
        <w:tc>
          <w:tcPr>
            <w:tcW w:w="21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8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w:t>
            </w:r>
          </w:p>
        </w:tc>
        <w:tc>
          <w:tcPr>
            <w:tcW w:w="611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燃气系统气密性</w:t>
            </w:r>
          </w:p>
        </w:tc>
        <w:tc>
          <w:tcPr>
            <w:tcW w:w="21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6932—2015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8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2</w:t>
            </w:r>
          </w:p>
        </w:tc>
        <w:tc>
          <w:tcPr>
            <w:tcW w:w="181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燃烧工况—无风状态</w:t>
            </w:r>
          </w:p>
        </w:tc>
        <w:tc>
          <w:tcPr>
            <w:tcW w:w="43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火焰稳定性</w:t>
            </w:r>
          </w:p>
        </w:tc>
        <w:tc>
          <w:tcPr>
            <w:tcW w:w="21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6932—2015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8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3</w:t>
            </w:r>
          </w:p>
        </w:tc>
        <w:tc>
          <w:tcPr>
            <w:tcW w:w="181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43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燃烧噪声</w:t>
            </w:r>
          </w:p>
        </w:tc>
        <w:tc>
          <w:tcPr>
            <w:tcW w:w="21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6932—2015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8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4</w:t>
            </w:r>
          </w:p>
        </w:tc>
        <w:tc>
          <w:tcPr>
            <w:tcW w:w="181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43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熄火噪声</w:t>
            </w:r>
          </w:p>
        </w:tc>
        <w:tc>
          <w:tcPr>
            <w:tcW w:w="21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6932—2015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8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5</w:t>
            </w:r>
          </w:p>
        </w:tc>
        <w:tc>
          <w:tcPr>
            <w:tcW w:w="181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43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烟气中CO含量</w:t>
            </w:r>
          </w:p>
        </w:tc>
        <w:tc>
          <w:tcPr>
            <w:tcW w:w="21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6932—2015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8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6</w:t>
            </w:r>
          </w:p>
        </w:tc>
        <w:tc>
          <w:tcPr>
            <w:tcW w:w="181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安全装置</w:t>
            </w:r>
          </w:p>
        </w:tc>
        <w:tc>
          <w:tcPr>
            <w:tcW w:w="43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熄火保护装置</w:t>
            </w:r>
          </w:p>
        </w:tc>
        <w:tc>
          <w:tcPr>
            <w:tcW w:w="21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6932—2015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8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仿宋_GB2312"/>
                <w:color w:val="auto"/>
                <w:sz w:val="28"/>
                <w:szCs w:val="28"/>
                <w:highlight w:val="none"/>
              </w:rPr>
            </w:pPr>
            <w:r>
              <w:rPr>
                <w:rFonts w:hint="default" w:ascii="Times New Roman" w:hAnsi="Times New Roman" w:eastAsia="仿宋_GB2312" w:cs="仿宋_GB2312"/>
                <w:color w:val="auto"/>
                <w:sz w:val="28"/>
                <w:szCs w:val="28"/>
                <w:highlight w:val="none"/>
              </w:rPr>
              <w:t>7</w:t>
            </w:r>
          </w:p>
        </w:tc>
        <w:tc>
          <w:tcPr>
            <w:tcW w:w="181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43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烟道堵塞安全装置（强制排气式）</w:t>
            </w:r>
          </w:p>
        </w:tc>
        <w:tc>
          <w:tcPr>
            <w:tcW w:w="21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6932—2015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8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仿宋_GB2312"/>
                <w:color w:val="auto"/>
                <w:sz w:val="28"/>
                <w:szCs w:val="28"/>
                <w:highlight w:val="none"/>
              </w:rPr>
            </w:pPr>
            <w:r>
              <w:rPr>
                <w:rFonts w:hint="default" w:ascii="Times New Roman" w:hAnsi="Times New Roman" w:eastAsia="仿宋_GB2312" w:cs="仿宋_GB2312"/>
                <w:color w:val="auto"/>
                <w:sz w:val="28"/>
                <w:szCs w:val="28"/>
                <w:highlight w:val="none"/>
              </w:rPr>
              <w:t>8</w:t>
            </w:r>
          </w:p>
        </w:tc>
        <w:tc>
          <w:tcPr>
            <w:tcW w:w="181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43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风压过大安全装置（强制排气式）</w:t>
            </w:r>
          </w:p>
        </w:tc>
        <w:tc>
          <w:tcPr>
            <w:tcW w:w="21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6932—2015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8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仿宋_GB2312"/>
                <w:color w:val="auto"/>
                <w:sz w:val="28"/>
                <w:szCs w:val="28"/>
                <w:highlight w:val="none"/>
              </w:rPr>
            </w:pPr>
            <w:r>
              <w:rPr>
                <w:rFonts w:hint="default" w:ascii="Times New Roman" w:hAnsi="Times New Roman" w:eastAsia="仿宋_GB2312" w:cs="仿宋_GB2312"/>
                <w:color w:val="auto"/>
                <w:sz w:val="28"/>
                <w:szCs w:val="28"/>
                <w:highlight w:val="none"/>
              </w:rPr>
              <w:t>9</w:t>
            </w:r>
          </w:p>
        </w:tc>
        <w:tc>
          <w:tcPr>
            <w:tcW w:w="181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43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防干烧安全装置</w:t>
            </w:r>
          </w:p>
        </w:tc>
        <w:tc>
          <w:tcPr>
            <w:tcW w:w="21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6932—2015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8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仿宋_GB2312"/>
                <w:color w:val="auto"/>
                <w:sz w:val="28"/>
                <w:szCs w:val="28"/>
                <w:highlight w:val="none"/>
              </w:rPr>
            </w:pPr>
            <w:r>
              <w:rPr>
                <w:rFonts w:hint="default" w:ascii="Times New Roman" w:hAnsi="Times New Roman" w:eastAsia="仿宋_GB2312" w:cs="仿宋_GB2312"/>
                <w:color w:val="auto"/>
                <w:sz w:val="28"/>
                <w:szCs w:val="28"/>
                <w:highlight w:val="none"/>
              </w:rPr>
              <w:t>10</w:t>
            </w:r>
          </w:p>
        </w:tc>
        <w:tc>
          <w:tcPr>
            <w:tcW w:w="181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43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防止不完全燃烧安全装置（自然排气式）</w:t>
            </w:r>
          </w:p>
        </w:tc>
        <w:tc>
          <w:tcPr>
            <w:tcW w:w="21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6932—2015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8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仿宋_GB2312"/>
                <w:color w:val="auto"/>
                <w:sz w:val="28"/>
                <w:szCs w:val="28"/>
                <w:highlight w:val="none"/>
              </w:rPr>
            </w:pPr>
            <w:r>
              <w:rPr>
                <w:rFonts w:hint="default" w:ascii="Times New Roman" w:hAnsi="Times New Roman" w:eastAsia="仿宋_GB2312" w:cs="仿宋_GB2312"/>
                <w:color w:val="auto"/>
                <w:sz w:val="28"/>
                <w:szCs w:val="28"/>
                <w:highlight w:val="none"/>
              </w:rPr>
              <w:t>11</w:t>
            </w:r>
          </w:p>
        </w:tc>
        <w:tc>
          <w:tcPr>
            <w:tcW w:w="18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热水性能</w:t>
            </w:r>
          </w:p>
        </w:tc>
        <w:tc>
          <w:tcPr>
            <w:tcW w:w="43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热水产率</w:t>
            </w:r>
          </w:p>
        </w:tc>
        <w:tc>
          <w:tcPr>
            <w:tcW w:w="21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6932—2015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8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仿宋_GB2312"/>
                <w:color w:val="auto"/>
                <w:sz w:val="28"/>
                <w:szCs w:val="28"/>
                <w:highlight w:val="none"/>
              </w:rPr>
            </w:pPr>
            <w:r>
              <w:rPr>
                <w:rFonts w:hint="default" w:ascii="Times New Roman" w:hAnsi="Times New Roman" w:eastAsia="仿宋_GB2312" w:cs="仿宋_GB2312"/>
                <w:color w:val="auto"/>
                <w:sz w:val="28"/>
                <w:szCs w:val="28"/>
                <w:highlight w:val="none"/>
              </w:rPr>
              <w:t>12</w:t>
            </w:r>
          </w:p>
        </w:tc>
        <w:tc>
          <w:tcPr>
            <w:tcW w:w="6115"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热效率</w:t>
            </w:r>
          </w:p>
        </w:tc>
        <w:tc>
          <w:tcPr>
            <w:tcW w:w="21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20665—2015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8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仿宋_GB2312"/>
                <w:color w:val="auto"/>
                <w:sz w:val="28"/>
                <w:szCs w:val="28"/>
                <w:highlight w:val="none"/>
              </w:rPr>
            </w:pPr>
            <w:r>
              <w:rPr>
                <w:rFonts w:hint="default" w:ascii="Times New Roman" w:hAnsi="Times New Roman" w:eastAsia="仿宋_GB2312" w:cs="仿宋_GB2312"/>
                <w:color w:val="auto"/>
                <w:sz w:val="28"/>
                <w:szCs w:val="28"/>
                <w:highlight w:val="none"/>
              </w:rPr>
              <w:t>13</w:t>
            </w:r>
          </w:p>
        </w:tc>
        <w:tc>
          <w:tcPr>
            <w:tcW w:w="181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电气部分（使用交流电源）—电气安全</w:t>
            </w:r>
          </w:p>
        </w:tc>
        <w:tc>
          <w:tcPr>
            <w:tcW w:w="43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接地措施</w:t>
            </w:r>
          </w:p>
        </w:tc>
        <w:tc>
          <w:tcPr>
            <w:tcW w:w="21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6932—2015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87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仿宋_GB2312"/>
                <w:color w:val="auto"/>
                <w:sz w:val="28"/>
                <w:szCs w:val="28"/>
                <w:highlight w:val="none"/>
              </w:rPr>
            </w:pPr>
            <w:r>
              <w:rPr>
                <w:rFonts w:hint="default" w:ascii="Times New Roman" w:hAnsi="Times New Roman" w:eastAsia="仿宋_GB2312" w:cs="仿宋_GB2312"/>
                <w:color w:val="auto"/>
                <w:sz w:val="28"/>
                <w:szCs w:val="28"/>
                <w:highlight w:val="none"/>
              </w:rPr>
              <w:t>14</w:t>
            </w:r>
          </w:p>
        </w:tc>
        <w:tc>
          <w:tcPr>
            <w:tcW w:w="181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Times New Roman" w:hAnsi="Times New Roman" w:eastAsia="仿宋_GB2312" w:cs="仿宋_GB2312"/>
                <w:color w:val="auto"/>
                <w:sz w:val="28"/>
                <w:szCs w:val="28"/>
                <w:highlight w:val="none"/>
              </w:rPr>
            </w:pPr>
          </w:p>
        </w:tc>
        <w:tc>
          <w:tcPr>
            <w:tcW w:w="43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电气强度</w:t>
            </w:r>
          </w:p>
        </w:tc>
        <w:tc>
          <w:tcPr>
            <w:tcW w:w="21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6932—2015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 w:hRule="atLeast"/>
          <w:jc w:val="center"/>
        </w:trPr>
        <w:tc>
          <w:tcPr>
            <w:tcW w:w="9172"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4"/>
                <w:szCs w:val="24"/>
                <w:highlight w:val="none"/>
              </w:rPr>
              <w:t>注：除第3、4项外，其他检验项目针对标准中强制性条文要求。</w:t>
            </w:r>
          </w:p>
        </w:tc>
      </w:tr>
    </w:tbl>
    <w:p>
      <w:pPr>
        <w:keepNext w:val="0"/>
        <w:keepLines w:val="0"/>
        <w:pageBreakBefore w:val="0"/>
        <w:kinsoku/>
        <w:wordWrap/>
        <w:overflowPunct/>
        <w:topLinePunct w:val="0"/>
        <w:autoSpaceDE/>
        <w:autoSpaceDN/>
        <w:bidi w:val="0"/>
        <w:adjustRightInd w:val="0"/>
        <w:snapToGrid w:val="0"/>
        <w:spacing w:after="0" w:line="560" w:lineRule="exact"/>
        <w:jc w:val="center"/>
        <w:textAlignment w:val="auto"/>
        <w:rPr>
          <w:rFonts w:ascii="Times New Roman" w:hAnsi="Times New Roman" w:eastAsia="宋体" w:cs="Times New Roman"/>
          <w:color w:val="auto"/>
          <w:sz w:val="21"/>
          <w:szCs w:val="32"/>
          <w:highlight w:val="none"/>
        </w:rPr>
      </w:pPr>
      <w:r>
        <w:rPr>
          <w:rFonts w:hint="eastAsia" w:ascii="Times New Roman" w:hAnsi="Times New Roman" w:eastAsia="仿宋_GB2312" w:cs="仿宋_GB2312"/>
          <w:color w:val="auto"/>
          <w:sz w:val="32"/>
          <w:szCs w:val="32"/>
          <w:highlight w:val="none"/>
          <w:lang w:bidi="ar"/>
        </w:rPr>
        <w:t>表</w:t>
      </w:r>
      <w:r>
        <w:rPr>
          <w:rFonts w:ascii="Times New Roman" w:hAnsi="Times New Roman" w:eastAsia="仿宋_GB2312" w:cs="Times New Roman"/>
          <w:color w:val="auto"/>
          <w:sz w:val="32"/>
          <w:szCs w:val="32"/>
          <w:highlight w:val="none"/>
          <w:lang w:bidi="ar"/>
        </w:rPr>
        <w:t xml:space="preserve">2 </w:t>
      </w:r>
      <w:r>
        <w:rPr>
          <w:rFonts w:hint="eastAsia" w:ascii="Times New Roman" w:hAnsi="Times New Roman" w:eastAsia="仿宋_GB2312" w:cs="仿宋_GB2312"/>
          <w:color w:val="auto"/>
          <w:sz w:val="32"/>
          <w:szCs w:val="32"/>
          <w:highlight w:val="none"/>
          <w:lang w:bidi="ar"/>
        </w:rPr>
        <w:t>家用燃气灶</w:t>
      </w:r>
    </w:p>
    <w:tbl>
      <w:tblPr>
        <w:tblStyle w:val="3"/>
        <w:tblW w:w="916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1445"/>
        <w:gridCol w:w="4505"/>
        <w:gridCol w:w="23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blHeader/>
          <w:jc w:val="center"/>
        </w:trPr>
        <w:tc>
          <w:tcPr>
            <w:tcW w:w="8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序号</w:t>
            </w:r>
          </w:p>
        </w:tc>
        <w:tc>
          <w:tcPr>
            <w:tcW w:w="595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检验项目</w:t>
            </w:r>
          </w:p>
        </w:tc>
        <w:tc>
          <w:tcPr>
            <w:tcW w:w="2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8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w:t>
            </w:r>
          </w:p>
        </w:tc>
        <w:tc>
          <w:tcPr>
            <w:tcW w:w="595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气密性</w:t>
            </w:r>
          </w:p>
        </w:tc>
        <w:tc>
          <w:tcPr>
            <w:tcW w:w="2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16410—2020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8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2</w:t>
            </w:r>
          </w:p>
        </w:tc>
        <w:tc>
          <w:tcPr>
            <w:tcW w:w="595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热负荷</w:t>
            </w:r>
          </w:p>
        </w:tc>
        <w:tc>
          <w:tcPr>
            <w:tcW w:w="2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16410—2020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8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3</w:t>
            </w:r>
          </w:p>
        </w:tc>
        <w:tc>
          <w:tcPr>
            <w:tcW w:w="144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燃烧工况</w:t>
            </w:r>
          </w:p>
        </w:tc>
        <w:tc>
          <w:tcPr>
            <w:tcW w:w="45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离焰</w:t>
            </w:r>
          </w:p>
        </w:tc>
        <w:tc>
          <w:tcPr>
            <w:tcW w:w="2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16410—2020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8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4</w:t>
            </w:r>
          </w:p>
        </w:tc>
        <w:tc>
          <w:tcPr>
            <w:tcW w:w="144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45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熄火</w:t>
            </w:r>
          </w:p>
        </w:tc>
        <w:tc>
          <w:tcPr>
            <w:tcW w:w="2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16410—2020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8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5</w:t>
            </w:r>
          </w:p>
        </w:tc>
        <w:tc>
          <w:tcPr>
            <w:tcW w:w="144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45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回火</w:t>
            </w:r>
          </w:p>
        </w:tc>
        <w:tc>
          <w:tcPr>
            <w:tcW w:w="2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16410—2020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8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6</w:t>
            </w:r>
          </w:p>
        </w:tc>
        <w:tc>
          <w:tcPr>
            <w:tcW w:w="144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45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燃烧噪声</w:t>
            </w:r>
          </w:p>
        </w:tc>
        <w:tc>
          <w:tcPr>
            <w:tcW w:w="2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16410—2020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8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7</w:t>
            </w:r>
          </w:p>
        </w:tc>
        <w:tc>
          <w:tcPr>
            <w:tcW w:w="144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45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熄火噪声</w:t>
            </w:r>
          </w:p>
        </w:tc>
        <w:tc>
          <w:tcPr>
            <w:tcW w:w="2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16410—2020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8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8</w:t>
            </w:r>
          </w:p>
        </w:tc>
        <w:tc>
          <w:tcPr>
            <w:tcW w:w="144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45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干烟气中CO浓度（室内型）</w:t>
            </w:r>
          </w:p>
        </w:tc>
        <w:tc>
          <w:tcPr>
            <w:tcW w:w="2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16410—2020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8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9</w:t>
            </w:r>
          </w:p>
        </w:tc>
        <w:tc>
          <w:tcPr>
            <w:tcW w:w="595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温升</w:t>
            </w:r>
          </w:p>
        </w:tc>
        <w:tc>
          <w:tcPr>
            <w:tcW w:w="2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16410—2020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8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10</w:t>
            </w:r>
          </w:p>
        </w:tc>
        <w:tc>
          <w:tcPr>
            <w:tcW w:w="595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熄火保护装置</w:t>
            </w:r>
          </w:p>
        </w:tc>
        <w:tc>
          <w:tcPr>
            <w:tcW w:w="2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16410—2020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8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11</w:t>
            </w:r>
          </w:p>
        </w:tc>
        <w:tc>
          <w:tcPr>
            <w:tcW w:w="144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结构的一般要求</w:t>
            </w:r>
          </w:p>
        </w:tc>
        <w:tc>
          <w:tcPr>
            <w:tcW w:w="45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燃气导管</w:t>
            </w:r>
          </w:p>
        </w:tc>
        <w:tc>
          <w:tcPr>
            <w:tcW w:w="2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16410—2020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8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12</w:t>
            </w:r>
          </w:p>
        </w:tc>
        <w:tc>
          <w:tcPr>
            <w:tcW w:w="144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45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燃烧器的熄火保护装置</w:t>
            </w:r>
          </w:p>
        </w:tc>
        <w:tc>
          <w:tcPr>
            <w:tcW w:w="2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16410—2020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8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13</w:t>
            </w:r>
          </w:p>
        </w:tc>
        <w:tc>
          <w:tcPr>
            <w:tcW w:w="595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热效率</w:t>
            </w:r>
          </w:p>
        </w:tc>
        <w:tc>
          <w:tcPr>
            <w:tcW w:w="2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rPr>
              <w:t>GB 30720—20</w:t>
            </w:r>
            <w:r>
              <w:rPr>
                <w:rFonts w:hint="eastAsia" w:ascii="Times New Roman" w:hAnsi="Times New Roman" w:eastAsia="仿宋_GB2312" w:cs="仿宋_GB2312"/>
                <w:color w:val="auto"/>
                <w:sz w:val="28"/>
                <w:szCs w:val="28"/>
                <w:highlight w:val="none"/>
                <w:lang w:val="en-US" w:eastAsia="zh-CN"/>
              </w:rPr>
              <w:t>25</w:t>
            </w:r>
          </w:p>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16410—2020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8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14</w:t>
            </w:r>
          </w:p>
        </w:tc>
        <w:tc>
          <w:tcPr>
            <w:tcW w:w="595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耐热冲击</w:t>
            </w:r>
          </w:p>
        </w:tc>
        <w:tc>
          <w:tcPr>
            <w:tcW w:w="2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16410—2020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8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15</w:t>
            </w:r>
          </w:p>
        </w:tc>
        <w:tc>
          <w:tcPr>
            <w:tcW w:w="595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耐重力冲击</w:t>
            </w:r>
          </w:p>
        </w:tc>
        <w:tc>
          <w:tcPr>
            <w:tcW w:w="23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16410—2020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9167"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注：1</w:t>
            </w:r>
            <w:r>
              <w:rPr>
                <w:rFonts w:hint="eastAsia" w:ascii="Times New Roman" w:hAnsi="Times New Roman" w:eastAsia="仿宋_GB2312" w:cs="仿宋_GB2312"/>
                <w:color w:val="auto"/>
                <w:sz w:val="28"/>
                <w:szCs w:val="28"/>
                <w:highlight w:val="none"/>
                <w:lang w:val="en-US" w:eastAsia="zh-CN"/>
              </w:rPr>
              <w:t>.</w:t>
            </w:r>
            <w:r>
              <w:rPr>
                <w:rFonts w:hint="eastAsia" w:ascii="Times New Roman" w:hAnsi="Times New Roman" w:eastAsia="仿宋_GB2312" w:cs="仿宋_GB2312"/>
                <w:color w:val="auto"/>
                <w:sz w:val="28"/>
                <w:szCs w:val="28"/>
                <w:highlight w:val="none"/>
              </w:rPr>
              <w:t>“温升”的检验项目为GB 16410—2020中表3序号1；</w:t>
            </w:r>
          </w:p>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lang w:val="en-US" w:eastAsia="zh-CN"/>
              </w:rPr>
              <w:t xml:space="preserve"> </w:t>
            </w:r>
            <w:r>
              <w:rPr>
                <w:rFonts w:hint="eastAsia" w:ascii="Times New Roman" w:hAnsi="Times New Roman" w:eastAsia="仿宋_GB2312" w:cs="仿宋_GB2312"/>
                <w:color w:val="auto"/>
                <w:sz w:val="28"/>
                <w:szCs w:val="28"/>
                <w:highlight w:val="none"/>
              </w:rPr>
              <w:t>2</w:t>
            </w:r>
            <w:r>
              <w:rPr>
                <w:rFonts w:hint="eastAsia" w:ascii="Times New Roman" w:hAnsi="Times New Roman" w:eastAsia="仿宋_GB2312" w:cs="仿宋_GB2312"/>
                <w:color w:val="auto"/>
                <w:sz w:val="28"/>
                <w:szCs w:val="28"/>
                <w:highlight w:val="none"/>
                <w:lang w:eastAsia="zh-CN"/>
              </w:rPr>
              <w:t>.</w:t>
            </w:r>
            <w:r>
              <w:rPr>
                <w:rFonts w:hint="eastAsia" w:ascii="Times New Roman" w:hAnsi="Times New Roman" w:eastAsia="仿宋_GB2312" w:cs="仿宋_GB2312"/>
                <w:color w:val="auto"/>
                <w:sz w:val="28"/>
                <w:szCs w:val="28"/>
                <w:highlight w:val="none"/>
              </w:rPr>
              <w:t>“熄火保护装置”的检验项目为GB 16410—2020中5.2.8.1 b）。</w:t>
            </w:r>
          </w:p>
        </w:tc>
      </w:tr>
    </w:tbl>
    <w:p>
      <w:pPr>
        <w:keepNext w:val="0"/>
        <w:keepLines w:val="0"/>
        <w:pageBreakBefore w:val="0"/>
        <w:kinsoku/>
        <w:wordWrap/>
        <w:overflowPunct/>
        <w:topLinePunct w:val="0"/>
        <w:autoSpaceDE/>
        <w:autoSpaceDN/>
        <w:bidi w:val="0"/>
        <w:adjustRightInd w:val="0"/>
        <w:snapToGrid w:val="0"/>
        <w:spacing w:after="0" w:line="560" w:lineRule="exact"/>
        <w:jc w:val="center"/>
        <w:textAlignment w:val="auto"/>
        <w:rPr>
          <w:rFonts w:ascii="Times New Roman" w:hAnsi="Times New Roman" w:eastAsia="宋体" w:cs="Times New Roman"/>
          <w:color w:val="auto"/>
          <w:sz w:val="21"/>
          <w:szCs w:val="32"/>
          <w:highlight w:val="none"/>
        </w:rPr>
      </w:pPr>
      <w:r>
        <w:rPr>
          <w:rFonts w:hint="eastAsia" w:ascii="Times New Roman" w:hAnsi="Times New Roman" w:eastAsia="仿宋_GB2312" w:cs="仿宋_GB2312"/>
          <w:color w:val="auto"/>
          <w:sz w:val="32"/>
          <w:szCs w:val="32"/>
          <w:highlight w:val="none"/>
          <w:lang w:bidi="ar"/>
        </w:rPr>
        <w:t>表</w:t>
      </w:r>
      <w:r>
        <w:rPr>
          <w:rFonts w:ascii="Times New Roman" w:hAnsi="Times New Roman" w:eastAsia="仿宋_GB2312" w:cs="Times New Roman"/>
          <w:color w:val="auto"/>
          <w:sz w:val="32"/>
          <w:szCs w:val="32"/>
          <w:highlight w:val="none"/>
          <w:lang w:bidi="ar"/>
        </w:rPr>
        <w:t xml:space="preserve">3 </w:t>
      </w:r>
      <w:r>
        <w:rPr>
          <w:rFonts w:hint="eastAsia" w:ascii="Times New Roman" w:hAnsi="Times New Roman" w:eastAsia="仿宋_GB2312" w:cs="仿宋_GB2312"/>
          <w:color w:val="auto"/>
          <w:sz w:val="32"/>
          <w:szCs w:val="32"/>
          <w:highlight w:val="none"/>
          <w:lang w:bidi="ar"/>
        </w:rPr>
        <w:t>燃气采暖热水炉</w:t>
      </w:r>
    </w:p>
    <w:tbl>
      <w:tblPr>
        <w:tblStyle w:val="3"/>
        <w:tblW w:w="9130" w:type="dxa"/>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5960"/>
        <w:gridCol w:w="23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blHeader/>
        </w:trPr>
        <w:tc>
          <w:tcPr>
            <w:tcW w:w="8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序号</w:t>
            </w:r>
          </w:p>
        </w:tc>
        <w:tc>
          <w:tcPr>
            <w:tcW w:w="5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检验项目</w:t>
            </w:r>
          </w:p>
        </w:tc>
        <w:tc>
          <w:tcPr>
            <w:tcW w:w="23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8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rPr>
              <w:t>1</w:t>
            </w:r>
          </w:p>
        </w:tc>
        <w:tc>
          <w:tcPr>
            <w:tcW w:w="5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电源运行安全性</w:t>
            </w:r>
          </w:p>
        </w:tc>
        <w:tc>
          <w:tcPr>
            <w:tcW w:w="23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25034—2020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8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rPr>
              <w:t>2</w:t>
            </w:r>
          </w:p>
        </w:tc>
        <w:tc>
          <w:tcPr>
            <w:tcW w:w="5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燃气系统密封性</w:t>
            </w:r>
          </w:p>
        </w:tc>
        <w:tc>
          <w:tcPr>
            <w:tcW w:w="23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25034—2020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8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rPr>
              <w:t>3</w:t>
            </w:r>
          </w:p>
        </w:tc>
        <w:tc>
          <w:tcPr>
            <w:tcW w:w="5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采暖额定热输出或带有额定热负荷调节装置的最大热输出</w:t>
            </w:r>
          </w:p>
        </w:tc>
        <w:tc>
          <w:tcPr>
            <w:tcW w:w="23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25034—2020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8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rPr>
              <w:t>4</w:t>
            </w:r>
          </w:p>
        </w:tc>
        <w:tc>
          <w:tcPr>
            <w:tcW w:w="5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采暖额定冷凝热输出或带有额定热负荷调节装置的最大冷凝热输出</w:t>
            </w:r>
          </w:p>
        </w:tc>
        <w:tc>
          <w:tcPr>
            <w:tcW w:w="23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25034—2020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8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rPr>
              <w:t>5</w:t>
            </w:r>
          </w:p>
        </w:tc>
        <w:tc>
          <w:tcPr>
            <w:tcW w:w="5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热效率</w:t>
            </w:r>
          </w:p>
        </w:tc>
        <w:tc>
          <w:tcPr>
            <w:tcW w:w="23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20665—2015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8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rPr>
              <w:t>6</w:t>
            </w:r>
          </w:p>
        </w:tc>
        <w:tc>
          <w:tcPr>
            <w:tcW w:w="5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额定热负荷时CO含量</w:t>
            </w:r>
          </w:p>
        </w:tc>
        <w:tc>
          <w:tcPr>
            <w:tcW w:w="23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25034—2020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8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rPr>
              <w:t>7</w:t>
            </w:r>
          </w:p>
        </w:tc>
        <w:tc>
          <w:tcPr>
            <w:tcW w:w="5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采暖系统水温限制装置/功能</w:t>
            </w:r>
          </w:p>
        </w:tc>
        <w:tc>
          <w:tcPr>
            <w:tcW w:w="23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25034—2020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8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rPr>
              <w:t>8</w:t>
            </w:r>
          </w:p>
        </w:tc>
        <w:tc>
          <w:tcPr>
            <w:tcW w:w="5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生活热水水温限温装置/功能</w:t>
            </w:r>
          </w:p>
        </w:tc>
        <w:tc>
          <w:tcPr>
            <w:tcW w:w="23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25034—2020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8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rPr>
              <w:t>9</w:t>
            </w:r>
          </w:p>
        </w:tc>
        <w:tc>
          <w:tcPr>
            <w:tcW w:w="5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噪声</w:t>
            </w:r>
          </w:p>
        </w:tc>
        <w:tc>
          <w:tcPr>
            <w:tcW w:w="23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25034—2020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8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rPr>
              <w:t>10</w:t>
            </w:r>
          </w:p>
        </w:tc>
        <w:tc>
          <w:tcPr>
            <w:tcW w:w="5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接地措施</w:t>
            </w:r>
          </w:p>
        </w:tc>
        <w:tc>
          <w:tcPr>
            <w:tcW w:w="23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25034—2020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84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rPr>
              <w:t>11</w:t>
            </w:r>
          </w:p>
        </w:tc>
        <w:tc>
          <w:tcPr>
            <w:tcW w:w="5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工作温度下的泄漏电流和电气强度</w:t>
            </w:r>
          </w:p>
        </w:tc>
        <w:tc>
          <w:tcPr>
            <w:tcW w:w="233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25034—2020</w:t>
            </w:r>
          </w:p>
        </w:tc>
      </w:tr>
    </w:tbl>
    <w:p>
      <w:pPr>
        <w:keepNext w:val="0"/>
        <w:keepLines w:val="0"/>
        <w:pageBreakBefore w:val="0"/>
        <w:kinsoku/>
        <w:wordWrap/>
        <w:overflowPunct/>
        <w:topLinePunct w:val="0"/>
        <w:autoSpaceDE/>
        <w:autoSpaceDN/>
        <w:bidi w:val="0"/>
        <w:adjustRightInd w:val="0"/>
        <w:snapToGrid w:val="0"/>
        <w:spacing w:after="0" w:line="560" w:lineRule="exact"/>
        <w:jc w:val="center"/>
        <w:textAlignment w:val="auto"/>
        <w:rPr>
          <w:rFonts w:ascii="Times New Roman" w:hAnsi="Times New Roman" w:eastAsia="宋体" w:cs="Times New Roman"/>
          <w:color w:val="auto"/>
          <w:sz w:val="21"/>
          <w:szCs w:val="32"/>
          <w:highlight w:val="none"/>
        </w:rPr>
      </w:pPr>
      <w:r>
        <w:rPr>
          <w:rFonts w:hint="eastAsia" w:ascii="Times New Roman" w:hAnsi="Times New Roman" w:eastAsia="仿宋_GB2312" w:cs="仿宋_GB2312"/>
          <w:color w:val="auto"/>
          <w:sz w:val="32"/>
          <w:szCs w:val="32"/>
          <w:highlight w:val="none"/>
          <w:lang w:bidi="ar"/>
        </w:rPr>
        <w:t>表</w:t>
      </w:r>
      <w:r>
        <w:rPr>
          <w:rFonts w:ascii="Times New Roman" w:hAnsi="Times New Roman" w:eastAsia="仿宋_GB2312" w:cs="Times New Roman"/>
          <w:color w:val="auto"/>
          <w:sz w:val="32"/>
          <w:szCs w:val="32"/>
          <w:highlight w:val="none"/>
          <w:lang w:bidi="ar"/>
        </w:rPr>
        <w:t xml:space="preserve">4 </w:t>
      </w:r>
      <w:r>
        <w:rPr>
          <w:rFonts w:hint="eastAsia" w:ascii="Times New Roman" w:hAnsi="Times New Roman" w:eastAsia="仿宋_GB2312" w:cs="仿宋_GB2312"/>
          <w:color w:val="auto"/>
          <w:sz w:val="32"/>
          <w:szCs w:val="32"/>
          <w:highlight w:val="none"/>
          <w:lang w:bidi="ar"/>
        </w:rPr>
        <w:t>商用燃气灶</w:t>
      </w:r>
    </w:p>
    <w:tbl>
      <w:tblPr>
        <w:tblStyle w:val="3"/>
        <w:tblW w:w="933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473"/>
        <w:gridCol w:w="1424"/>
        <w:gridCol w:w="1299"/>
        <w:gridCol w:w="894"/>
        <w:gridCol w:w="2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jc w:val="center"/>
        </w:trPr>
        <w:tc>
          <w:tcPr>
            <w:tcW w:w="840" w:type="dxa"/>
            <w:noWrap w:val="0"/>
            <w:vAlign w:val="top"/>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序号</w:t>
            </w:r>
          </w:p>
        </w:tc>
        <w:tc>
          <w:tcPr>
            <w:tcW w:w="6090" w:type="dxa"/>
            <w:gridSpan w:val="4"/>
            <w:noWrap w:val="0"/>
            <w:vAlign w:val="top"/>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检验项目</w:t>
            </w:r>
          </w:p>
        </w:tc>
        <w:tc>
          <w:tcPr>
            <w:tcW w:w="2403" w:type="dxa"/>
            <w:noWrap w:val="0"/>
            <w:vAlign w:val="top"/>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w:t>
            </w:r>
          </w:p>
        </w:tc>
        <w:tc>
          <w:tcPr>
            <w:tcW w:w="247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通用结构</w:t>
            </w:r>
          </w:p>
        </w:tc>
        <w:tc>
          <w:tcPr>
            <w:tcW w:w="361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一般要求</w:t>
            </w:r>
          </w:p>
        </w:tc>
        <w:tc>
          <w:tcPr>
            <w:tcW w:w="240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35848—2024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2</w:t>
            </w:r>
          </w:p>
        </w:tc>
        <w:tc>
          <w:tcPr>
            <w:tcW w:w="24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361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lang w:val="en-US" w:eastAsia="zh-CN"/>
              </w:rPr>
              <w:t>燃气管路</w:t>
            </w:r>
          </w:p>
        </w:tc>
        <w:tc>
          <w:tcPr>
            <w:tcW w:w="240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35848—2024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3</w:t>
            </w:r>
          </w:p>
        </w:tc>
        <w:tc>
          <w:tcPr>
            <w:tcW w:w="24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361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电气系统</w:t>
            </w:r>
          </w:p>
        </w:tc>
        <w:tc>
          <w:tcPr>
            <w:tcW w:w="240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35848—2024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4</w:t>
            </w:r>
          </w:p>
        </w:tc>
        <w:tc>
          <w:tcPr>
            <w:tcW w:w="247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rPr>
              <w:t>燃气系统零部件</w:t>
            </w:r>
          </w:p>
        </w:tc>
        <w:tc>
          <w:tcPr>
            <w:tcW w:w="361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rPr>
              <w:t>一般要求</w:t>
            </w:r>
          </w:p>
        </w:tc>
        <w:tc>
          <w:tcPr>
            <w:tcW w:w="240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35848—2024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lang w:val="en-US" w:eastAsia="zh-CN"/>
              </w:rPr>
              <w:t>5</w:t>
            </w:r>
          </w:p>
        </w:tc>
        <w:tc>
          <w:tcPr>
            <w:tcW w:w="24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p>
        </w:tc>
        <w:tc>
          <w:tcPr>
            <w:tcW w:w="1424"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lang w:val="en-US" w:eastAsia="zh-CN"/>
              </w:rPr>
              <w:t>安全装置</w:t>
            </w:r>
          </w:p>
        </w:tc>
        <w:tc>
          <w:tcPr>
            <w:tcW w:w="1299"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熄火保护装置</w:t>
            </w:r>
          </w:p>
        </w:tc>
        <w:tc>
          <w:tcPr>
            <w:tcW w:w="894"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一般要求</w:t>
            </w:r>
          </w:p>
        </w:tc>
        <w:tc>
          <w:tcPr>
            <w:tcW w:w="240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35848—2024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lang w:val="en-US" w:eastAsia="zh-CN"/>
              </w:rPr>
              <w:t>6</w:t>
            </w:r>
          </w:p>
        </w:tc>
        <w:tc>
          <w:tcPr>
            <w:tcW w:w="6090" w:type="dxa"/>
            <w:gridSpan w:val="4"/>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燃气系统密封性</w:t>
            </w:r>
          </w:p>
        </w:tc>
        <w:tc>
          <w:tcPr>
            <w:tcW w:w="240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35848—2024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lang w:val="en-US" w:eastAsia="zh-CN"/>
              </w:rPr>
              <w:t>7</w:t>
            </w:r>
          </w:p>
        </w:tc>
        <w:tc>
          <w:tcPr>
            <w:tcW w:w="6090" w:type="dxa"/>
            <w:gridSpan w:val="4"/>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热负荷准确度</w:t>
            </w:r>
          </w:p>
        </w:tc>
        <w:tc>
          <w:tcPr>
            <w:tcW w:w="240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35848—2024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lang w:val="en-US" w:eastAsia="zh-CN"/>
              </w:rPr>
              <w:t>8</w:t>
            </w:r>
          </w:p>
        </w:tc>
        <w:tc>
          <w:tcPr>
            <w:tcW w:w="247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燃烧工况</w:t>
            </w:r>
          </w:p>
        </w:tc>
        <w:tc>
          <w:tcPr>
            <w:tcW w:w="361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运行噪声</w:t>
            </w:r>
          </w:p>
        </w:tc>
        <w:tc>
          <w:tcPr>
            <w:tcW w:w="240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35848—2024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lang w:val="en-US" w:eastAsia="zh-CN"/>
              </w:rPr>
              <w:t>9</w:t>
            </w:r>
          </w:p>
        </w:tc>
        <w:tc>
          <w:tcPr>
            <w:tcW w:w="24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361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熄火噪声</w:t>
            </w:r>
          </w:p>
        </w:tc>
        <w:tc>
          <w:tcPr>
            <w:tcW w:w="240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35848—2024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lang w:val="en-US" w:eastAsia="zh-CN"/>
              </w:rPr>
              <w:t>10</w:t>
            </w:r>
          </w:p>
        </w:tc>
        <w:tc>
          <w:tcPr>
            <w:tcW w:w="24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3617" w:type="dxa"/>
            <w:gridSpan w:val="3"/>
            <w:noWrap w:val="0"/>
            <w:vAlign w:val="center"/>
          </w:tcPr>
          <w:p>
            <w:pPr>
              <w:keepNext w:val="0"/>
              <w:keepLines w:val="0"/>
              <w:pageBreakBefore w:val="0"/>
              <w:kinsoku/>
              <w:wordWrap/>
              <w:overflowPunct/>
              <w:topLinePunct w:val="0"/>
              <w:autoSpaceDE/>
              <w:autoSpaceDN/>
              <w:bidi w:val="0"/>
              <w:snapToGrid w:val="0"/>
              <w:spacing w:after="0" w:line="560" w:lineRule="exact"/>
              <w:jc w:val="center"/>
              <w:textAlignment w:val="auto"/>
              <w:rPr>
                <w:rFonts w:ascii="Times New Roman" w:hAnsi="Times New Roman" w:eastAsia="宋体" w:cs="宋体"/>
                <w:color w:val="auto"/>
                <w:sz w:val="21"/>
                <w:szCs w:val="21"/>
                <w:highlight w:val="none"/>
                <w:lang w:bidi="ar"/>
              </w:rPr>
            </w:pPr>
            <w:r>
              <w:rPr>
                <w:rFonts w:hint="eastAsia" w:ascii="Times New Roman" w:hAnsi="Times New Roman" w:eastAsia="仿宋_GB2312" w:cs="仿宋_GB2312"/>
                <w:color w:val="auto"/>
                <w:sz w:val="28"/>
                <w:szCs w:val="28"/>
                <w:highlight w:val="none"/>
                <w:lang w:bidi="ar"/>
              </w:rPr>
              <w:t>干烟气中CO</w:t>
            </w:r>
            <w:r>
              <w:rPr>
                <w:rFonts w:hint="eastAsia" w:ascii="Times New Roman" w:hAnsi="Times New Roman" w:eastAsia="仿宋_GB2312" w:cs="仿宋_GB2312"/>
                <w:color w:val="auto"/>
                <w:sz w:val="28"/>
                <w:szCs w:val="28"/>
                <w:highlight w:val="none"/>
                <w:vertAlign w:val="subscript"/>
                <w:lang w:bidi="ar"/>
              </w:rPr>
              <w:t>（α=1）</w:t>
            </w:r>
            <w:r>
              <w:rPr>
                <w:rFonts w:hint="eastAsia" w:ascii="Times New Roman" w:hAnsi="Times New Roman" w:eastAsia="仿宋_GB2312" w:cs="仿宋_GB2312"/>
                <w:color w:val="auto"/>
                <w:sz w:val="28"/>
                <w:szCs w:val="28"/>
                <w:highlight w:val="none"/>
                <w:lang w:bidi="ar"/>
              </w:rPr>
              <w:t>含量</w:t>
            </w:r>
          </w:p>
        </w:tc>
        <w:tc>
          <w:tcPr>
            <w:tcW w:w="240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35848—2024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仿宋_GB2312"/>
                <w:color w:val="auto"/>
                <w:kern w:val="2"/>
                <w:sz w:val="28"/>
                <w:szCs w:val="28"/>
                <w:highlight w:val="none"/>
                <w:lang w:val="en-US" w:eastAsia="zh-CN" w:bidi="ar-SA"/>
              </w:rPr>
            </w:pPr>
            <w:r>
              <w:rPr>
                <w:rFonts w:hint="eastAsia" w:ascii="Times New Roman" w:hAnsi="Times New Roman" w:eastAsia="仿宋_GB2312" w:cs="仿宋_GB2312"/>
                <w:color w:val="auto"/>
                <w:sz w:val="28"/>
                <w:szCs w:val="28"/>
                <w:highlight w:val="none"/>
                <w:lang w:val="en-US" w:eastAsia="zh-CN"/>
              </w:rPr>
              <w:t>11</w:t>
            </w:r>
          </w:p>
        </w:tc>
        <w:tc>
          <w:tcPr>
            <w:tcW w:w="247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特殊要求</w:t>
            </w:r>
          </w:p>
        </w:tc>
        <w:tc>
          <w:tcPr>
            <w:tcW w:w="3617" w:type="dxa"/>
            <w:gridSpan w:val="3"/>
            <w:noWrap w:val="0"/>
            <w:vAlign w:val="center"/>
          </w:tcPr>
          <w:p>
            <w:pPr>
              <w:keepNext w:val="0"/>
              <w:keepLines w:val="0"/>
              <w:pageBreakBefore w:val="0"/>
              <w:kinsoku/>
              <w:wordWrap/>
              <w:overflowPunct/>
              <w:topLinePunct w:val="0"/>
              <w:autoSpaceDE/>
              <w:autoSpaceDN/>
              <w:bidi w:val="0"/>
              <w:snapToGrid w:val="0"/>
              <w:spacing w:after="0" w:line="560" w:lineRule="exact"/>
              <w:jc w:val="center"/>
              <w:textAlignment w:val="auto"/>
              <w:rPr>
                <w:rFonts w:hint="eastAsia" w:ascii="Times New Roman" w:hAnsi="Times New Roman" w:eastAsia="仿宋_GB2312" w:cs="仿宋_GB2312"/>
                <w:color w:val="auto"/>
                <w:sz w:val="28"/>
                <w:szCs w:val="28"/>
                <w:highlight w:val="none"/>
                <w:lang w:bidi="ar"/>
              </w:rPr>
            </w:pPr>
            <w:r>
              <w:rPr>
                <w:rFonts w:hint="eastAsia" w:ascii="Times New Roman" w:hAnsi="Times New Roman" w:eastAsia="仿宋_GB2312" w:cs="仿宋_GB2312"/>
                <w:color w:val="auto"/>
                <w:sz w:val="28"/>
                <w:szCs w:val="28"/>
                <w:highlight w:val="none"/>
                <w:lang w:val="en-US" w:eastAsia="zh-CN"/>
              </w:rPr>
              <w:t>烤箱</w:t>
            </w:r>
            <w:r>
              <w:rPr>
                <w:rFonts w:hint="eastAsia" w:ascii="Times New Roman" w:hAnsi="Times New Roman" w:eastAsia="仿宋_GB2312" w:cs="仿宋_GB2312"/>
                <w:color w:val="auto"/>
                <w:sz w:val="28"/>
                <w:szCs w:val="28"/>
                <w:highlight w:val="none"/>
                <w:lang w:bidi="ar"/>
              </w:rPr>
              <w:t>干烟气中CO</w:t>
            </w:r>
            <w:r>
              <w:rPr>
                <w:rFonts w:hint="eastAsia" w:ascii="Times New Roman" w:hAnsi="Times New Roman" w:eastAsia="仿宋_GB2312" w:cs="仿宋_GB2312"/>
                <w:color w:val="auto"/>
                <w:sz w:val="28"/>
                <w:szCs w:val="28"/>
                <w:highlight w:val="none"/>
                <w:vertAlign w:val="subscript"/>
                <w:lang w:bidi="ar"/>
              </w:rPr>
              <w:t>（α=1）</w:t>
            </w:r>
            <w:r>
              <w:rPr>
                <w:rFonts w:hint="eastAsia" w:ascii="Times New Roman" w:hAnsi="Times New Roman" w:eastAsia="仿宋_GB2312" w:cs="仿宋_GB2312"/>
                <w:color w:val="auto"/>
                <w:sz w:val="28"/>
                <w:szCs w:val="28"/>
                <w:highlight w:val="none"/>
                <w:lang w:bidi="ar"/>
              </w:rPr>
              <w:t>含量</w:t>
            </w:r>
          </w:p>
        </w:tc>
        <w:tc>
          <w:tcPr>
            <w:tcW w:w="240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35848—2024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12</w:t>
            </w:r>
          </w:p>
        </w:tc>
        <w:tc>
          <w:tcPr>
            <w:tcW w:w="6090" w:type="dxa"/>
            <w:gridSpan w:val="4"/>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熄火保护装置</w:t>
            </w:r>
          </w:p>
        </w:tc>
        <w:tc>
          <w:tcPr>
            <w:tcW w:w="240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35848—2024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rPr>
              <w:t>1</w:t>
            </w:r>
            <w:r>
              <w:rPr>
                <w:rFonts w:hint="eastAsia" w:ascii="Times New Roman" w:hAnsi="Times New Roman" w:eastAsia="仿宋_GB2312" w:cs="仿宋_GB2312"/>
                <w:color w:val="auto"/>
                <w:sz w:val="28"/>
                <w:szCs w:val="28"/>
                <w:highlight w:val="none"/>
                <w:lang w:val="en-US" w:eastAsia="zh-CN"/>
              </w:rPr>
              <w:t>3</w:t>
            </w:r>
          </w:p>
        </w:tc>
        <w:tc>
          <w:tcPr>
            <w:tcW w:w="6090" w:type="dxa"/>
            <w:gridSpan w:val="4"/>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能源合理利用</w:t>
            </w:r>
          </w:p>
        </w:tc>
        <w:tc>
          <w:tcPr>
            <w:tcW w:w="240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35848—2024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14</w:t>
            </w:r>
          </w:p>
        </w:tc>
        <w:tc>
          <w:tcPr>
            <w:tcW w:w="6090" w:type="dxa"/>
            <w:gridSpan w:val="4"/>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能效等级</w:t>
            </w:r>
          </w:p>
        </w:tc>
        <w:tc>
          <w:tcPr>
            <w:tcW w:w="240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GB 30720-2025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rPr>
              <w:t>1</w:t>
            </w:r>
            <w:r>
              <w:rPr>
                <w:rFonts w:hint="eastAsia" w:ascii="Times New Roman" w:hAnsi="Times New Roman" w:eastAsia="仿宋_GB2312" w:cs="仿宋_GB2312"/>
                <w:color w:val="auto"/>
                <w:sz w:val="28"/>
                <w:szCs w:val="28"/>
                <w:highlight w:val="none"/>
                <w:lang w:val="en-US" w:eastAsia="zh-CN"/>
              </w:rPr>
              <w:t>5</w:t>
            </w:r>
          </w:p>
        </w:tc>
        <w:tc>
          <w:tcPr>
            <w:tcW w:w="2473"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电气性能</w:t>
            </w:r>
          </w:p>
        </w:tc>
        <w:tc>
          <w:tcPr>
            <w:tcW w:w="361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标志</w:t>
            </w:r>
          </w:p>
        </w:tc>
        <w:tc>
          <w:tcPr>
            <w:tcW w:w="240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35848—2024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rPr>
              <w:t>1</w:t>
            </w:r>
            <w:r>
              <w:rPr>
                <w:rFonts w:hint="eastAsia" w:ascii="Times New Roman" w:hAnsi="Times New Roman" w:eastAsia="仿宋_GB2312" w:cs="仿宋_GB2312"/>
                <w:color w:val="auto"/>
                <w:sz w:val="28"/>
                <w:szCs w:val="28"/>
                <w:highlight w:val="none"/>
                <w:lang w:val="en-US" w:eastAsia="zh-CN"/>
              </w:rPr>
              <w:t>6</w:t>
            </w:r>
          </w:p>
        </w:tc>
        <w:tc>
          <w:tcPr>
            <w:tcW w:w="24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361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接地措施</w:t>
            </w:r>
          </w:p>
        </w:tc>
        <w:tc>
          <w:tcPr>
            <w:tcW w:w="240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35848—2024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840"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lang w:eastAsia="zh-CN"/>
              </w:rPr>
            </w:pPr>
            <w:r>
              <w:rPr>
                <w:rFonts w:hint="eastAsia" w:ascii="Times New Roman" w:hAnsi="Times New Roman" w:eastAsia="仿宋_GB2312" w:cs="仿宋_GB2312"/>
                <w:color w:val="auto"/>
                <w:sz w:val="28"/>
                <w:szCs w:val="28"/>
                <w:highlight w:val="none"/>
              </w:rPr>
              <w:t>1</w:t>
            </w:r>
            <w:r>
              <w:rPr>
                <w:rFonts w:hint="eastAsia" w:ascii="Times New Roman" w:hAnsi="Times New Roman" w:eastAsia="仿宋_GB2312" w:cs="仿宋_GB2312"/>
                <w:color w:val="auto"/>
                <w:sz w:val="28"/>
                <w:szCs w:val="28"/>
                <w:highlight w:val="none"/>
                <w:lang w:val="en-US" w:eastAsia="zh-CN"/>
              </w:rPr>
              <w:t>7</w:t>
            </w:r>
          </w:p>
        </w:tc>
        <w:tc>
          <w:tcPr>
            <w:tcW w:w="247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3617" w:type="dxa"/>
            <w:gridSpan w:val="3"/>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工作温度下的泄漏电流和电气强度</w:t>
            </w:r>
          </w:p>
        </w:tc>
        <w:tc>
          <w:tcPr>
            <w:tcW w:w="240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35848—2024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8" w:hRule="atLeast"/>
          <w:jc w:val="center"/>
        </w:trPr>
        <w:tc>
          <w:tcPr>
            <w:tcW w:w="9333" w:type="dxa"/>
            <w:gridSpan w:val="6"/>
            <w:noWrap w:val="0"/>
            <w:vAlign w:val="center"/>
          </w:tcPr>
          <w:p>
            <w:pPr>
              <w:keepNext w:val="0"/>
              <w:keepLines w:val="0"/>
              <w:pageBreakBefore w:val="0"/>
              <w:kinsoku/>
              <w:wordWrap/>
              <w:overflowPunct/>
              <w:topLinePunct w:val="0"/>
              <w:autoSpaceDE/>
              <w:autoSpaceDN/>
              <w:bidi w:val="0"/>
              <w:snapToGrid w:val="0"/>
              <w:spacing w:after="0" w:line="560" w:lineRule="exact"/>
              <w:jc w:val="left"/>
              <w:textAlignment w:val="auto"/>
              <w:rPr>
                <w:rFonts w:hint="eastAsia" w:ascii="Times New Roman" w:hAnsi="Times New Roman" w:eastAsia="仿宋_GB2312" w:cs="仿宋_GB2312"/>
                <w:color w:val="auto"/>
                <w:kern w:val="0"/>
                <w:sz w:val="22"/>
                <w:szCs w:val="22"/>
                <w:highlight w:val="none"/>
                <w:lang w:bidi="ar"/>
              </w:rPr>
            </w:pPr>
            <w:r>
              <w:rPr>
                <w:rFonts w:hint="eastAsia" w:ascii="Times New Roman" w:hAnsi="Times New Roman" w:eastAsia="仿宋_GB2312" w:cs="仿宋_GB2312"/>
                <w:color w:val="auto"/>
                <w:sz w:val="22"/>
                <w:szCs w:val="28"/>
                <w:highlight w:val="none"/>
              </w:rPr>
              <w:t>注：</w:t>
            </w:r>
            <w:r>
              <w:rPr>
                <w:rFonts w:hint="eastAsia" w:ascii="Times New Roman" w:hAnsi="Times New Roman" w:eastAsia="仿宋_GB2312" w:cs="仿宋_GB2312"/>
                <w:color w:val="auto"/>
                <w:sz w:val="22"/>
                <w:szCs w:val="22"/>
                <w:highlight w:val="none"/>
              </w:rPr>
              <w:t>1. “</w:t>
            </w:r>
            <w:r>
              <w:rPr>
                <w:rFonts w:hint="eastAsia" w:ascii="Times New Roman" w:hAnsi="Times New Roman" w:eastAsia="仿宋_GB2312" w:cs="仿宋_GB2312"/>
                <w:color w:val="auto"/>
                <w:sz w:val="22"/>
                <w:szCs w:val="28"/>
                <w:highlight w:val="none"/>
              </w:rPr>
              <w:t>通用结构—一般要求”的检验项目为</w:t>
            </w:r>
            <w:r>
              <w:rPr>
                <w:rFonts w:hint="eastAsia" w:ascii="Times New Roman" w:hAnsi="Times New Roman" w:eastAsia="仿宋_GB2312" w:cs="仿宋_GB2312"/>
                <w:color w:val="auto"/>
                <w:kern w:val="0"/>
                <w:sz w:val="22"/>
                <w:szCs w:val="22"/>
                <w:highlight w:val="none"/>
                <w:lang w:bidi="ar"/>
              </w:rPr>
              <w:t>GB 35848—2024中5.2.1.13；</w:t>
            </w:r>
          </w:p>
          <w:p>
            <w:pPr>
              <w:keepNext w:val="0"/>
              <w:keepLines w:val="0"/>
              <w:pageBreakBefore w:val="0"/>
              <w:kinsoku/>
              <w:wordWrap/>
              <w:overflowPunct/>
              <w:topLinePunct w:val="0"/>
              <w:autoSpaceDE/>
              <w:autoSpaceDN/>
              <w:bidi w:val="0"/>
              <w:snapToGrid w:val="0"/>
              <w:spacing w:after="0" w:line="560" w:lineRule="exact"/>
              <w:ind w:firstLine="440" w:firstLineChars="200"/>
              <w:jc w:val="left"/>
              <w:textAlignment w:val="auto"/>
              <w:rPr>
                <w:rFonts w:hint="eastAsia" w:ascii="Times New Roman" w:hAnsi="Times New Roman" w:eastAsia="仿宋_GB2312" w:cs="仿宋_GB2312"/>
                <w:color w:val="auto"/>
                <w:kern w:val="0"/>
                <w:sz w:val="22"/>
                <w:szCs w:val="22"/>
                <w:highlight w:val="none"/>
                <w:lang w:bidi="ar"/>
              </w:rPr>
            </w:pPr>
            <w:r>
              <w:rPr>
                <w:rFonts w:hint="eastAsia" w:ascii="Times New Roman" w:hAnsi="Times New Roman" w:eastAsia="仿宋_GB2312" w:cs="仿宋_GB2312"/>
                <w:color w:val="auto"/>
                <w:kern w:val="0"/>
                <w:sz w:val="22"/>
                <w:szCs w:val="22"/>
                <w:highlight w:val="none"/>
                <w:lang w:bidi="ar"/>
              </w:rPr>
              <w:t>2. “通用结构—</w:t>
            </w:r>
            <w:r>
              <w:rPr>
                <w:rFonts w:hint="eastAsia" w:ascii="Times New Roman" w:hAnsi="Times New Roman" w:eastAsia="仿宋_GB2312" w:cs="仿宋_GB2312"/>
                <w:color w:val="auto"/>
                <w:kern w:val="0"/>
                <w:sz w:val="22"/>
                <w:szCs w:val="22"/>
                <w:highlight w:val="none"/>
                <w:lang w:val="en-US" w:eastAsia="zh-CN" w:bidi="ar"/>
              </w:rPr>
              <w:t>燃气管路</w:t>
            </w:r>
            <w:r>
              <w:rPr>
                <w:rFonts w:hint="eastAsia" w:ascii="Times New Roman" w:hAnsi="Times New Roman" w:eastAsia="仿宋_GB2312" w:cs="仿宋_GB2312"/>
                <w:color w:val="auto"/>
                <w:kern w:val="0"/>
                <w:sz w:val="22"/>
                <w:szCs w:val="22"/>
                <w:highlight w:val="none"/>
                <w:lang w:bidi="ar"/>
              </w:rPr>
              <w:t>”的检验项目为GB 35848—2024中5.2.</w:t>
            </w:r>
            <w:r>
              <w:rPr>
                <w:rFonts w:hint="eastAsia" w:ascii="Times New Roman" w:hAnsi="Times New Roman" w:eastAsia="仿宋_GB2312" w:cs="仿宋_GB2312"/>
                <w:color w:val="auto"/>
                <w:kern w:val="0"/>
                <w:sz w:val="22"/>
                <w:szCs w:val="22"/>
                <w:highlight w:val="none"/>
                <w:lang w:val="en-US" w:eastAsia="zh-CN" w:bidi="ar"/>
              </w:rPr>
              <w:t>2</w:t>
            </w:r>
            <w:r>
              <w:rPr>
                <w:rFonts w:hint="eastAsia" w:ascii="Times New Roman" w:hAnsi="Times New Roman" w:eastAsia="仿宋_GB2312" w:cs="仿宋_GB2312"/>
                <w:color w:val="auto"/>
                <w:kern w:val="0"/>
                <w:sz w:val="22"/>
                <w:szCs w:val="22"/>
                <w:highlight w:val="none"/>
                <w:lang w:bidi="ar"/>
              </w:rPr>
              <w:t>.</w:t>
            </w:r>
            <w:r>
              <w:rPr>
                <w:rFonts w:hint="eastAsia" w:ascii="Times New Roman" w:hAnsi="Times New Roman" w:eastAsia="仿宋_GB2312" w:cs="仿宋_GB2312"/>
                <w:color w:val="auto"/>
                <w:kern w:val="0"/>
                <w:sz w:val="22"/>
                <w:szCs w:val="22"/>
                <w:highlight w:val="none"/>
                <w:lang w:val="en-US" w:eastAsia="zh-CN" w:bidi="ar"/>
              </w:rPr>
              <w:t>2</w:t>
            </w:r>
            <w:r>
              <w:rPr>
                <w:rFonts w:hint="eastAsia" w:ascii="Times New Roman" w:hAnsi="Times New Roman" w:eastAsia="仿宋_GB2312" w:cs="仿宋_GB2312"/>
                <w:color w:val="auto"/>
                <w:kern w:val="0"/>
                <w:sz w:val="22"/>
                <w:szCs w:val="22"/>
                <w:highlight w:val="none"/>
                <w:lang w:bidi="ar"/>
              </w:rPr>
              <w:t>；</w:t>
            </w:r>
          </w:p>
          <w:p>
            <w:pPr>
              <w:keepNext w:val="0"/>
              <w:keepLines w:val="0"/>
              <w:pageBreakBefore w:val="0"/>
              <w:kinsoku/>
              <w:wordWrap/>
              <w:overflowPunct/>
              <w:topLinePunct w:val="0"/>
              <w:autoSpaceDE/>
              <w:autoSpaceDN/>
              <w:bidi w:val="0"/>
              <w:snapToGrid w:val="0"/>
              <w:spacing w:after="0" w:line="560" w:lineRule="exact"/>
              <w:ind w:firstLine="440" w:firstLineChars="200"/>
              <w:jc w:val="left"/>
              <w:textAlignment w:val="auto"/>
              <w:rPr>
                <w:rFonts w:hint="default" w:ascii="Times New Roman" w:hAnsi="Times New Roman" w:eastAsia="仿宋_GB2312" w:cs="仿宋_GB2312"/>
                <w:color w:val="auto"/>
                <w:kern w:val="0"/>
                <w:sz w:val="22"/>
                <w:szCs w:val="22"/>
                <w:highlight w:val="none"/>
                <w:lang w:val="en-US" w:eastAsia="zh-CN" w:bidi="ar"/>
              </w:rPr>
            </w:pPr>
            <w:r>
              <w:rPr>
                <w:rFonts w:hint="eastAsia" w:ascii="Times New Roman" w:hAnsi="Times New Roman" w:eastAsia="仿宋_GB2312" w:cs="仿宋_GB2312"/>
                <w:color w:val="auto"/>
                <w:kern w:val="0"/>
                <w:sz w:val="22"/>
                <w:szCs w:val="22"/>
                <w:highlight w:val="none"/>
                <w:lang w:val="en-US" w:eastAsia="zh-CN" w:bidi="ar"/>
              </w:rPr>
              <w:t xml:space="preserve">3. </w:t>
            </w:r>
            <w:r>
              <w:rPr>
                <w:rFonts w:hint="eastAsia" w:ascii="Times New Roman" w:hAnsi="Times New Roman" w:eastAsia="仿宋_GB2312" w:cs="仿宋_GB2312"/>
                <w:color w:val="auto"/>
                <w:kern w:val="0"/>
                <w:sz w:val="22"/>
                <w:szCs w:val="22"/>
                <w:highlight w:val="none"/>
                <w:lang w:bidi="ar"/>
              </w:rPr>
              <w:t>“通用结构—电气系统”的检验项目为GB 35848—2024中5.2.4.5；</w:t>
            </w:r>
          </w:p>
          <w:p>
            <w:pPr>
              <w:keepNext w:val="0"/>
              <w:keepLines w:val="0"/>
              <w:pageBreakBefore w:val="0"/>
              <w:kinsoku/>
              <w:wordWrap/>
              <w:overflowPunct/>
              <w:topLinePunct w:val="0"/>
              <w:autoSpaceDE/>
              <w:autoSpaceDN/>
              <w:bidi w:val="0"/>
              <w:snapToGrid w:val="0"/>
              <w:spacing w:after="0" w:line="560" w:lineRule="exact"/>
              <w:ind w:firstLine="440" w:firstLineChars="200"/>
              <w:jc w:val="left"/>
              <w:textAlignment w:val="auto"/>
              <w:rPr>
                <w:rFonts w:hint="eastAsia" w:ascii="Times New Roman" w:hAnsi="Times New Roman" w:eastAsia="仿宋_GB2312" w:cs="仿宋_GB2312"/>
                <w:color w:val="auto"/>
                <w:kern w:val="0"/>
                <w:sz w:val="22"/>
                <w:szCs w:val="22"/>
                <w:highlight w:val="none"/>
                <w:lang w:bidi="ar"/>
              </w:rPr>
            </w:pPr>
            <w:r>
              <w:rPr>
                <w:rFonts w:hint="eastAsia" w:ascii="Times New Roman" w:hAnsi="Times New Roman" w:eastAsia="仿宋_GB2312" w:cs="仿宋_GB2312"/>
                <w:color w:val="auto"/>
                <w:kern w:val="0"/>
                <w:sz w:val="22"/>
                <w:szCs w:val="22"/>
                <w:highlight w:val="none"/>
                <w:lang w:val="en-US" w:eastAsia="zh-CN" w:bidi="ar"/>
              </w:rPr>
              <w:t>4</w:t>
            </w:r>
            <w:r>
              <w:rPr>
                <w:rFonts w:hint="eastAsia" w:ascii="Times New Roman" w:hAnsi="Times New Roman" w:eastAsia="仿宋_GB2312" w:cs="仿宋_GB2312"/>
                <w:color w:val="auto"/>
                <w:kern w:val="0"/>
                <w:sz w:val="22"/>
                <w:szCs w:val="22"/>
                <w:highlight w:val="none"/>
                <w:lang w:bidi="ar"/>
              </w:rPr>
              <w:t>. “燃气系统零部件—一般要求” 的检验项目为GB 35848—2024中5.3.1.15；</w:t>
            </w:r>
          </w:p>
          <w:p>
            <w:pPr>
              <w:keepNext w:val="0"/>
              <w:keepLines w:val="0"/>
              <w:pageBreakBefore w:val="0"/>
              <w:kinsoku/>
              <w:wordWrap/>
              <w:overflowPunct/>
              <w:topLinePunct w:val="0"/>
              <w:autoSpaceDE/>
              <w:autoSpaceDN/>
              <w:bidi w:val="0"/>
              <w:snapToGrid w:val="0"/>
              <w:spacing w:after="0" w:line="560" w:lineRule="exact"/>
              <w:ind w:firstLine="440" w:firstLineChars="200"/>
              <w:jc w:val="left"/>
              <w:textAlignment w:val="auto"/>
              <w:rPr>
                <w:rFonts w:hint="default" w:ascii="Times New Roman" w:hAnsi="Times New Roman" w:eastAsia="仿宋_GB2312" w:cs="仿宋_GB2312"/>
                <w:color w:val="auto"/>
                <w:kern w:val="0"/>
                <w:sz w:val="22"/>
                <w:szCs w:val="22"/>
                <w:highlight w:val="none"/>
                <w:lang w:val="en-US" w:eastAsia="zh-CN" w:bidi="ar"/>
              </w:rPr>
            </w:pPr>
            <w:r>
              <w:rPr>
                <w:rFonts w:hint="eastAsia" w:ascii="Times New Roman" w:hAnsi="Times New Roman" w:eastAsia="仿宋_GB2312" w:cs="仿宋_GB2312"/>
                <w:color w:val="auto"/>
                <w:kern w:val="0"/>
                <w:sz w:val="22"/>
                <w:szCs w:val="22"/>
                <w:highlight w:val="none"/>
                <w:lang w:val="en-US" w:eastAsia="zh-CN" w:bidi="ar"/>
              </w:rPr>
              <w:t>5.</w:t>
            </w:r>
            <w:r>
              <w:rPr>
                <w:rFonts w:hint="eastAsia" w:ascii="Times New Roman" w:hAnsi="Times New Roman" w:eastAsia="仿宋_GB2312" w:cs="仿宋_GB2312"/>
                <w:color w:val="auto"/>
                <w:kern w:val="0"/>
                <w:sz w:val="22"/>
                <w:szCs w:val="22"/>
                <w:highlight w:val="none"/>
                <w:lang w:bidi="ar"/>
              </w:rPr>
              <w:t>“熄火保护装置”的检验项目为GB 35848—2024中5.5.5。</w:t>
            </w:r>
          </w:p>
        </w:tc>
      </w:tr>
    </w:tbl>
    <w:p>
      <w:pPr>
        <w:keepNext w:val="0"/>
        <w:keepLines w:val="0"/>
        <w:pageBreakBefore w:val="0"/>
        <w:kinsoku/>
        <w:wordWrap/>
        <w:overflowPunct/>
        <w:topLinePunct w:val="0"/>
        <w:autoSpaceDE/>
        <w:autoSpaceDN/>
        <w:bidi w:val="0"/>
        <w:adjustRightInd w:val="0"/>
        <w:snapToGrid w:val="0"/>
        <w:spacing w:after="0" w:line="560" w:lineRule="exact"/>
        <w:jc w:val="center"/>
        <w:textAlignment w:val="auto"/>
        <w:rPr>
          <w:rFonts w:ascii="Times New Roman" w:hAnsi="Times New Roman" w:eastAsia="宋体" w:cs="Times New Roman"/>
          <w:color w:val="auto"/>
          <w:kern w:val="0"/>
          <w:sz w:val="21"/>
          <w:szCs w:val="32"/>
          <w:highlight w:val="none"/>
        </w:rPr>
      </w:pPr>
      <w:r>
        <w:rPr>
          <w:rFonts w:hint="eastAsia" w:ascii="Times New Roman" w:hAnsi="Times New Roman" w:eastAsia="仿宋_GB2312" w:cs="仿宋_GB2312"/>
          <w:color w:val="auto"/>
          <w:sz w:val="32"/>
          <w:szCs w:val="32"/>
          <w:highlight w:val="none"/>
          <w:lang w:bidi="ar"/>
        </w:rPr>
        <w:t>表</w:t>
      </w:r>
      <w:r>
        <w:rPr>
          <w:rFonts w:ascii="Times New Roman" w:hAnsi="Times New Roman" w:eastAsia="仿宋_GB2312" w:cs="Times New Roman"/>
          <w:color w:val="auto"/>
          <w:sz w:val="32"/>
          <w:szCs w:val="32"/>
          <w:highlight w:val="none"/>
          <w:lang w:bidi="ar"/>
        </w:rPr>
        <w:t xml:space="preserve">5 </w:t>
      </w:r>
      <w:r>
        <w:rPr>
          <w:rFonts w:hint="eastAsia" w:ascii="Times New Roman" w:hAnsi="Times New Roman" w:eastAsia="仿宋_GB2312" w:cs="仿宋_GB2312"/>
          <w:color w:val="auto"/>
          <w:sz w:val="32"/>
          <w:szCs w:val="32"/>
          <w:highlight w:val="none"/>
          <w:lang w:bidi="ar"/>
        </w:rPr>
        <w:t>家用瓶装液化石油气调压器</w:t>
      </w:r>
    </w:p>
    <w:tbl>
      <w:tblPr>
        <w:tblStyle w:val="3"/>
        <w:tblW w:w="9167"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2"/>
        <w:gridCol w:w="928"/>
        <w:gridCol w:w="5004"/>
        <w:gridCol w:w="23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tblHeader/>
          <w:jc w:val="center"/>
        </w:trPr>
        <w:tc>
          <w:tcPr>
            <w:tcW w:w="8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序号</w:t>
            </w:r>
          </w:p>
        </w:tc>
        <w:tc>
          <w:tcPr>
            <w:tcW w:w="5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检验项目</w:t>
            </w:r>
          </w:p>
        </w:tc>
        <w:tc>
          <w:tcPr>
            <w:tcW w:w="23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检验方法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jc w:val="center"/>
        </w:trPr>
        <w:tc>
          <w:tcPr>
            <w:tcW w:w="8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w:t>
            </w:r>
          </w:p>
        </w:tc>
        <w:tc>
          <w:tcPr>
            <w:tcW w:w="928" w:type="dxa"/>
            <w:vMerge w:val="restart"/>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结构</w:t>
            </w:r>
          </w:p>
        </w:tc>
        <w:tc>
          <w:tcPr>
            <w:tcW w:w="5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一般要求</w:t>
            </w:r>
          </w:p>
        </w:tc>
        <w:tc>
          <w:tcPr>
            <w:tcW w:w="23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35844—2018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jc w:val="center"/>
        </w:trPr>
        <w:tc>
          <w:tcPr>
            <w:tcW w:w="8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2</w:t>
            </w:r>
          </w:p>
        </w:tc>
        <w:tc>
          <w:tcPr>
            <w:tcW w:w="928" w:type="dxa"/>
            <w:vMerge w:val="continue"/>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5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调压器的接头组件</w:t>
            </w:r>
          </w:p>
        </w:tc>
        <w:tc>
          <w:tcPr>
            <w:tcW w:w="23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35844—2018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jc w:val="center"/>
        </w:trPr>
        <w:tc>
          <w:tcPr>
            <w:tcW w:w="8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3</w:t>
            </w:r>
          </w:p>
        </w:tc>
        <w:tc>
          <w:tcPr>
            <w:tcW w:w="928" w:type="dxa"/>
            <w:vMerge w:val="continue"/>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50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压力或流量安全装置</w:t>
            </w:r>
          </w:p>
        </w:tc>
        <w:tc>
          <w:tcPr>
            <w:tcW w:w="23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35844—2018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 w:hRule="atLeast"/>
          <w:jc w:val="center"/>
        </w:trPr>
        <w:tc>
          <w:tcPr>
            <w:tcW w:w="8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4</w:t>
            </w:r>
          </w:p>
        </w:tc>
        <w:tc>
          <w:tcPr>
            <w:tcW w:w="5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气密性</w:t>
            </w:r>
          </w:p>
        </w:tc>
        <w:tc>
          <w:tcPr>
            <w:tcW w:w="23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35844—2018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jc w:val="center"/>
        </w:trPr>
        <w:tc>
          <w:tcPr>
            <w:tcW w:w="8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5</w:t>
            </w:r>
          </w:p>
        </w:tc>
        <w:tc>
          <w:tcPr>
            <w:tcW w:w="5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调压静特性</w:t>
            </w:r>
          </w:p>
        </w:tc>
        <w:tc>
          <w:tcPr>
            <w:tcW w:w="236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35844—2018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jc w:val="center"/>
        </w:trPr>
        <w:tc>
          <w:tcPr>
            <w:tcW w:w="8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6</w:t>
            </w:r>
          </w:p>
        </w:tc>
        <w:tc>
          <w:tcPr>
            <w:tcW w:w="5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耐冲击性</w:t>
            </w:r>
          </w:p>
        </w:tc>
        <w:tc>
          <w:tcPr>
            <w:tcW w:w="2363"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35844—2018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jc w:val="center"/>
        </w:trPr>
        <w:tc>
          <w:tcPr>
            <w:tcW w:w="8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7</w:t>
            </w:r>
          </w:p>
        </w:tc>
        <w:tc>
          <w:tcPr>
            <w:tcW w:w="5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连接接头机械强度</w:t>
            </w:r>
          </w:p>
        </w:tc>
        <w:tc>
          <w:tcPr>
            <w:tcW w:w="2363"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35844—2018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 w:hRule="atLeast"/>
          <w:jc w:val="center"/>
        </w:trPr>
        <w:tc>
          <w:tcPr>
            <w:tcW w:w="8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8</w:t>
            </w:r>
          </w:p>
        </w:tc>
        <w:tc>
          <w:tcPr>
            <w:tcW w:w="59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材料</w:t>
            </w:r>
          </w:p>
        </w:tc>
        <w:tc>
          <w:tcPr>
            <w:tcW w:w="2363"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35844—2018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255" w:hRule="atLeast"/>
          <w:jc w:val="center"/>
        </w:trPr>
        <w:tc>
          <w:tcPr>
            <w:tcW w:w="9167" w:type="dxa"/>
            <w:gridSpan w:val="4"/>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left"/>
              <w:textAlignment w:val="auto"/>
              <w:rPr>
                <w:rFonts w:hint="eastAsia" w:ascii="Times New Roman" w:hAnsi="Times New Roman" w:eastAsia="仿宋_GB2312" w:cs="仿宋_GB2312"/>
                <w:color w:val="auto"/>
                <w:sz w:val="22"/>
                <w:szCs w:val="22"/>
                <w:highlight w:val="none"/>
              </w:rPr>
            </w:pPr>
            <w:r>
              <w:rPr>
                <w:rFonts w:hint="eastAsia" w:ascii="Times New Roman" w:hAnsi="Times New Roman" w:eastAsia="仿宋_GB2312" w:cs="仿宋_GB2312"/>
                <w:color w:val="auto"/>
                <w:sz w:val="22"/>
                <w:szCs w:val="22"/>
                <w:highlight w:val="none"/>
              </w:rPr>
              <w:t>注：1. “一般要求”的检验项目为GB 35844—2018中5.2.1.3；</w:t>
            </w:r>
          </w:p>
          <w:p>
            <w:pPr>
              <w:keepNext w:val="0"/>
              <w:keepLines w:val="0"/>
              <w:pageBreakBefore w:val="0"/>
              <w:widowControl w:val="0"/>
              <w:kinsoku/>
              <w:wordWrap/>
              <w:overflowPunct/>
              <w:topLinePunct w:val="0"/>
              <w:autoSpaceDE/>
              <w:autoSpaceDN/>
              <w:bidi w:val="0"/>
              <w:adjustRightInd/>
              <w:snapToGrid/>
              <w:spacing w:after="0" w:line="560" w:lineRule="exact"/>
              <w:ind w:firstLine="440" w:firstLineChars="200"/>
              <w:jc w:val="left"/>
              <w:textAlignment w:val="auto"/>
              <w:rPr>
                <w:rFonts w:hint="eastAsia" w:ascii="Times New Roman" w:hAnsi="Times New Roman" w:eastAsia="仿宋_GB2312" w:cs="仿宋_GB2312"/>
                <w:color w:val="auto"/>
                <w:sz w:val="22"/>
                <w:szCs w:val="22"/>
                <w:highlight w:val="none"/>
              </w:rPr>
            </w:pPr>
            <w:r>
              <w:rPr>
                <w:rFonts w:hint="eastAsia" w:ascii="Times New Roman" w:hAnsi="Times New Roman" w:eastAsia="仿宋_GB2312" w:cs="仿宋_GB2312"/>
                <w:color w:val="auto"/>
                <w:sz w:val="22"/>
                <w:szCs w:val="22"/>
                <w:highlight w:val="none"/>
              </w:rPr>
              <w:t>2. “调压器的接头组件”的检验项目为GB 35844—2018中5.2.5.2“手轮外径和宽度”、5.2.5.3“软管连接接头外径”、5.2.5.4；</w:t>
            </w:r>
          </w:p>
          <w:p>
            <w:pPr>
              <w:keepNext w:val="0"/>
              <w:keepLines w:val="0"/>
              <w:pageBreakBefore w:val="0"/>
              <w:widowControl w:val="0"/>
              <w:kinsoku/>
              <w:wordWrap/>
              <w:overflowPunct/>
              <w:topLinePunct w:val="0"/>
              <w:autoSpaceDE/>
              <w:autoSpaceDN/>
              <w:bidi w:val="0"/>
              <w:adjustRightInd/>
              <w:snapToGrid/>
              <w:spacing w:after="0" w:line="560" w:lineRule="exact"/>
              <w:ind w:firstLine="440" w:firstLineChars="200"/>
              <w:jc w:val="left"/>
              <w:textAlignment w:val="auto"/>
              <w:rPr>
                <w:rFonts w:hint="eastAsia" w:ascii="Times New Roman" w:hAnsi="Times New Roman" w:eastAsia="仿宋_GB2312" w:cs="仿宋_GB2312"/>
                <w:color w:val="auto"/>
                <w:sz w:val="22"/>
                <w:szCs w:val="22"/>
                <w:highlight w:val="none"/>
              </w:rPr>
            </w:pPr>
            <w:r>
              <w:rPr>
                <w:rFonts w:hint="eastAsia" w:ascii="Times New Roman" w:hAnsi="Times New Roman" w:eastAsia="仿宋_GB2312" w:cs="仿宋_GB2312"/>
                <w:color w:val="auto"/>
                <w:sz w:val="22"/>
                <w:szCs w:val="22"/>
                <w:highlight w:val="none"/>
              </w:rPr>
              <w:t>3. “压力或流量安全装置”的检验项目为GB 35844—2018中附录C.3.2、C.3.3；</w:t>
            </w:r>
          </w:p>
          <w:p>
            <w:pPr>
              <w:keepNext w:val="0"/>
              <w:keepLines w:val="0"/>
              <w:pageBreakBefore w:val="0"/>
              <w:widowControl w:val="0"/>
              <w:kinsoku/>
              <w:wordWrap/>
              <w:overflowPunct/>
              <w:topLinePunct w:val="0"/>
              <w:autoSpaceDE/>
              <w:autoSpaceDN/>
              <w:bidi w:val="0"/>
              <w:adjustRightInd/>
              <w:snapToGrid/>
              <w:spacing w:after="0" w:line="560" w:lineRule="exact"/>
              <w:ind w:firstLine="440" w:firstLineChars="200"/>
              <w:jc w:val="left"/>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2"/>
                <w:szCs w:val="22"/>
                <w:highlight w:val="none"/>
              </w:rPr>
              <w:t>4. “材料”的检验项目为GB 35844—2018中5.1.3.2“膜片试样耐液化石油气性能”。</w:t>
            </w:r>
          </w:p>
        </w:tc>
      </w:tr>
    </w:tbl>
    <w:p>
      <w:pPr>
        <w:keepNext w:val="0"/>
        <w:keepLines w:val="0"/>
        <w:pageBreakBefore w:val="0"/>
        <w:kinsoku/>
        <w:wordWrap/>
        <w:overflowPunct/>
        <w:topLinePunct w:val="0"/>
        <w:autoSpaceDE/>
        <w:autoSpaceDN/>
        <w:bidi w:val="0"/>
        <w:adjustRightInd w:val="0"/>
        <w:snapToGrid w:val="0"/>
        <w:spacing w:after="0" w:line="560" w:lineRule="exact"/>
        <w:jc w:val="center"/>
        <w:textAlignment w:val="auto"/>
        <w:rPr>
          <w:rFonts w:ascii="Times New Roman" w:hAnsi="Times New Roman" w:eastAsia="宋体" w:cs="Times New Roman"/>
          <w:color w:val="auto"/>
          <w:sz w:val="21"/>
          <w:szCs w:val="32"/>
          <w:highlight w:val="none"/>
        </w:rPr>
      </w:pPr>
      <w:r>
        <w:rPr>
          <w:rFonts w:hint="eastAsia" w:ascii="Times New Roman" w:hAnsi="Times New Roman" w:eastAsia="仿宋_GB2312" w:cs="仿宋_GB2312"/>
          <w:color w:val="auto"/>
          <w:sz w:val="32"/>
          <w:szCs w:val="32"/>
          <w:highlight w:val="none"/>
          <w:lang w:bidi="ar"/>
        </w:rPr>
        <w:t>表</w:t>
      </w:r>
      <w:r>
        <w:rPr>
          <w:rFonts w:ascii="Times New Roman" w:hAnsi="Times New Roman" w:eastAsia="仿宋_GB2312" w:cs="Times New Roman"/>
          <w:color w:val="auto"/>
          <w:sz w:val="32"/>
          <w:szCs w:val="32"/>
          <w:highlight w:val="none"/>
          <w:lang w:bidi="ar"/>
        </w:rPr>
        <w:t xml:space="preserve">6 </w:t>
      </w:r>
      <w:r>
        <w:rPr>
          <w:rFonts w:hint="eastAsia" w:ascii="Times New Roman" w:hAnsi="Times New Roman" w:eastAsia="仿宋_GB2312" w:cs="仿宋_GB2312"/>
          <w:color w:val="auto"/>
          <w:sz w:val="32"/>
          <w:szCs w:val="32"/>
          <w:highlight w:val="none"/>
          <w:lang w:bidi="ar"/>
        </w:rPr>
        <w:t>燃气用不锈钢波纹软管</w:t>
      </w:r>
    </w:p>
    <w:tbl>
      <w:tblPr>
        <w:tblStyle w:val="3"/>
        <w:tblW w:w="9167"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0"/>
        <w:gridCol w:w="5154"/>
        <w:gridCol w:w="31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23" w:hRule="atLeast"/>
          <w:tblHeader/>
          <w:jc w:val="center"/>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序号</w:t>
            </w:r>
          </w:p>
        </w:tc>
        <w:tc>
          <w:tcPr>
            <w:tcW w:w="51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检验项目</w:t>
            </w:r>
          </w:p>
        </w:tc>
        <w:tc>
          <w:tcPr>
            <w:tcW w:w="31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检验方法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23" w:hRule="atLeast"/>
          <w:jc w:val="center"/>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w:t>
            </w:r>
          </w:p>
        </w:tc>
        <w:tc>
          <w:tcPr>
            <w:tcW w:w="5154"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气密性</w:t>
            </w:r>
          </w:p>
        </w:tc>
        <w:tc>
          <w:tcPr>
            <w:tcW w:w="31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41317—2024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23" w:hRule="atLeast"/>
          <w:jc w:val="center"/>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2</w:t>
            </w:r>
          </w:p>
        </w:tc>
        <w:tc>
          <w:tcPr>
            <w:tcW w:w="5154"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耐压性</w:t>
            </w:r>
          </w:p>
        </w:tc>
        <w:tc>
          <w:tcPr>
            <w:tcW w:w="3113"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41317—2024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23" w:hRule="atLeast"/>
          <w:jc w:val="center"/>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3</w:t>
            </w:r>
          </w:p>
        </w:tc>
        <w:tc>
          <w:tcPr>
            <w:tcW w:w="5154"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弯曲性</w:t>
            </w:r>
          </w:p>
        </w:tc>
        <w:tc>
          <w:tcPr>
            <w:tcW w:w="3113"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41317—2024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540" w:hRule="atLeast"/>
          <w:jc w:val="center"/>
        </w:trPr>
        <w:tc>
          <w:tcPr>
            <w:tcW w:w="90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4</w:t>
            </w:r>
          </w:p>
        </w:tc>
        <w:tc>
          <w:tcPr>
            <w:tcW w:w="51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耐安装强度</w:t>
            </w:r>
          </w:p>
        </w:tc>
        <w:tc>
          <w:tcPr>
            <w:tcW w:w="3113"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41317—2024</w:t>
            </w:r>
          </w:p>
        </w:tc>
      </w:tr>
    </w:tbl>
    <w:p>
      <w:pPr>
        <w:keepNext w:val="0"/>
        <w:keepLines w:val="0"/>
        <w:pageBreakBefore w:val="0"/>
        <w:kinsoku/>
        <w:wordWrap/>
        <w:overflowPunct/>
        <w:topLinePunct w:val="0"/>
        <w:autoSpaceDE/>
        <w:autoSpaceDN/>
        <w:bidi w:val="0"/>
        <w:snapToGrid w:val="0"/>
        <w:spacing w:after="0" w:line="560" w:lineRule="exact"/>
        <w:jc w:val="center"/>
        <w:textAlignment w:val="auto"/>
        <w:rPr>
          <w:rFonts w:ascii="Times New Roman" w:hAnsi="Times New Roman" w:eastAsia="宋体" w:cs="Times New Roman"/>
          <w:color w:val="auto"/>
          <w:sz w:val="21"/>
          <w:szCs w:val="21"/>
          <w:highlight w:val="none"/>
        </w:rPr>
      </w:pPr>
      <w:r>
        <w:rPr>
          <w:rFonts w:hint="eastAsia" w:ascii="Times New Roman" w:hAnsi="Times New Roman" w:eastAsia="仿宋_GB2312" w:cs="仿宋_GB2312"/>
          <w:color w:val="auto"/>
          <w:sz w:val="32"/>
          <w:szCs w:val="32"/>
          <w:highlight w:val="none"/>
          <w:lang w:bidi="ar"/>
        </w:rPr>
        <w:t>表7 燃气用金属包覆软管</w:t>
      </w:r>
    </w:p>
    <w:tbl>
      <w:tblPr>
        <w:tblStyle w:val="3"/>
        <w:tblW w:w="9293"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9"/>
        <w:gridCol w:w="2454"/>
        <w:gridCol w:w="2797"/>
        <w:gridCol w:w="31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41" w:hRule="atLeast"/>
          <w:tblHeader/>
          <w:jc w:val="center"/>
        </w:trPr>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序号</w:t>
            </w:r>
          </w:p>
        </w:tc>
        <w:tc>
          <w:tcPr>
            <w:tcW w:w="525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检验项目</w:t>
            </w:r>
          </w:p>
        </w:tc>
        <w:tc>
          <w:tcPr>
            <w:tcW w:w="316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检验方法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41" w:hRule="atLeast"/>
          <w:tblHeader/>
          <w:jc w:val="center"/>
        </w:trPr>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w:t>
            </w:r>
          </w:p>
        </w:tc>
        <w:tc>
          <w:tcPr>
            <w:tcW w:w="5251" w:type="dxa"/>
            <w:gridSpan w:val="2"/>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气密性</w:t>
            </w:r>
          </w:p>
        </w:tc>
        <w:tc>
          <w:tcPr>
            <w:tcW w:w="316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44017—2024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349" w:hRule="atLeast"/>
          <w:jc w:val="center"/>
        </w:trPr>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2</w:t>
            </w:r>
          </w:p>
        </w:tc>
        <w:tc>
          <w:tcPr>
            <w:tcW w:w="2454" w:type="dxa"/>
            <w:vMerge w:val="restar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内层胶管</w:t>
            </w:r>
          </w:p>
        </w:tc>
        <w:tc>
          <w:tcPr>
            <w:tcW w:w="2797" w:type="dxa"/>
            <w:tcBorders>
              <w:left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拉伸强度</w:t>
            </w:r>
          </w:p>
        </w:tc>
        <w:tc>
          <w:tcPr>
            <w:tcW w:w="316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44017—2024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331" w:hRule="atLeast"/>
          <w:jc w:val="center"/>
        </w:trPr>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3</w:t>
            </w:r>
          </w:p>
        </w:tc>
        <w:tc>
          <w:tcPr>
            <w:tcW w:w="2454" w:type="dxa"/>
            <w:vMerge w:val="continue"/>
            <w:tcBorders>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p>
        </w:tc>
        <w:tc>
          <w:tcPr>
            <w:tcW w:w="2797" w:type="dxa"/>
            <w:tcBorders>
              <w:left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拉断伸长率</w:t>
            </w:r>
          </w:p>
        </w:tc>
        <w:tc>
          <w:tcPr>
            <w:tcW w:w="316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44017—2024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349" w:hRule="atLeast"/>
          <w:jc w:val="center"/>
        </w:trPr>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4</w:t>
            </w:r>
          </w:p>
        </w:tc>
        <w:tc>
          <w:tcPr>
            <w:tcW w:w="5251" w:type="dxa"/>
            <w:gridSpan w:val="2"/>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耐压性</w:t>
            </w:r>
          </w:p>
        </w:tc>
        <w:tc>
          <w:tcPr>
            <w:tcW w:w="316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44017—2024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22" w:hRule="atLeast"/>
          <w:jc w:val="center"/>
        </w:trPr>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5</w:t>
            </w:r>
          </w:p>
        </w:tc>
        <w:tc>
          <w:tcPr>
            <w:tcW w:w="5251" w:type="dxa"/>
            <w:gridSpan w:val="2"/>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耐安装强度</w:t>
            </w:r>
          </w:p>
        </w:tc>
        <w:tc>
          <w:tcPr>
            <w:tcW w:w="3163"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44017—2024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22" w:hRule="atLeast"/>
          <w:jc w:val="center"/>
        </w:trPr>
        <w:tc>
          <w:tcPr>
            <w:tcW w:w="879"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6</w:t>
            </w:r>
          </w:p>
        </w:tc>
        <w:tc>
          <w:tcPr>
            <w:tcW w:w="5251" w:type="dxa"/>
            <w:gridSpan w:val="2"/>
            <w:tcBorders>
              <w:top w:val="single" w:color="auto" w:sz="4" w:space="0"/>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lang w:val="en-US" w:eastAsia="zh-CN"/>
              </w:rPr>
              <w:t>抗拉性</w:t>
            </w:r>
          </w:p>
        </w:tc>
        <w:tc>
          <w:tcPr>
            <w:tcW w:w="3163" w:type="dxa"/>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44017—2024</w:t>
            </w:r>
          </w:p>
        </w:tc>
      </w:tr>
    </w:tbl>
    <w:p>
      <w:pPr>
        <w:keepNext w:val="0"/>
        <w:keepLines w:val="0"/>
        <w:pageBreakBefore w:val="0"/>
        <w:kinsoku/>
        <w:wordWrap/>
        <w:overflowPunct/>
        <w:topLinePunct w:val="0"/>
        <w:autoSpaceDE/>
        <w:autoSpaceDN/>
        <w:bidi w:val="0"/>
        <w:adjustRightInd w:val="0"/>
        <w:snapToGrid w:val="0"/>
        <w:spacing w:after="0" w:line="560" w:lineRule="exact"/>
        <w:jc w:val="center"/>
        <w:textAlignment w:val="auto"/>
        <w:rPr>
          <w:rFonts w:ascii="Times New Roman" w:hAnsi="Times New Roman" w:eastAsia="仿宋_GB2312" w:cs="仿宋_GB2312"/>
          <w:color w:val="auto"/>
          <w:sz w:val="32"/>
          <w:szCs w:val="32"/>
          <w:highlight w:val="none"/>
          <w:lang w:bidi="ar"/>
        </w:rPr>
      </w:pPr>
      <w:r>
        <w:rPr>
          <w:rFonts w:hint="eastAsia" w:ascii="Times New Roman" w:hAnsi="Times New Roman" w:eastAsia="仿宋_GB2312" w:cs="仿宋_GB2312"/>
          <w:color w:val="auto"/>
          <w:sz w:val="32"/>
          <w:szCs w:val="32"/>
          <w:highlight w:val="none"/>
          <w:lang w:bidi="ar"/>
        </w:rPr>
        <w:t>表8</w:t>
      </w:r>
      <w:r>
        <w:rPr>
          <w:rFonts w:ascii="Times New Roman" w:hAnsi="Times New Roman" w:eastAsia="仿宋_GB2312" w:cs="仿宋_GB2312"/>
          <w:color w:val="auto"/>
          <w:sz w:val="32"/>
          <w:szCs w:val="32"/>
          <w:highlight w:val="none"/>
          <w:lang w:bidi="ar"/>
        </w:rPr>
        <w:t xml:space="preserve"> 电磁式</w:t>
      </w:r>
      <w:r>
        <w:rPr>
          <w:rFonts w:hint="eastAsia" w:ascii="Times New Roman" w:hAnsi="Times New Roman" w:eastAsia="仿宋_GB2312" w:cs="仿宋_GB2312"/>
          <w:color w:val="auto"/>
          <w:sz w:val="32"/>
          <w:szCs w:val="32"/>
          <w:highlight w:val="none"/>
          <w:lang w:bidi="ar"/>
        </w:rPr>
        <w:t>燃气紧急切断阀</w:t>
      </w:r>
    </w:p>
    <w:tbl>
      <w:tblPr>
        <w:tblStyle w:val="3"/>
        <w:tblW w:w="9253"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1"/>
        <w:gridCol w:w="5249"/>
        <w:gridCol w:w="31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07" w:hRule="atLeast"/>
          <w:tblHeader/>
          <w:jc w:val="center"/>
        </w:trPr>
        <w:tc>
          <w:tcPr>
            <w:tcW w:w="861"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序号</w:t>
            </w:r>
          </w:p>
        </w:tc>
        <w:tc>
          <w:tcPr>
            <w:tcW w:w="5249"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检验项目</w:t>
            </w:r>
          </w:p>
        </w:tc>
        <w:tc>
          <w:tcPr>
            <w:tcW w:w="314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b/>
                <w:bCs w:val="0"/>
                <w:color w:val="auto"/>
                <w:sz w:val="28"/>
                <w:szCs w:val="28"/>
                <w:highlight w:val="none"/>
              </w:rPr>
            </w:pPr>
            <w:r>
              <w:rPr>
                <w:rFonts w:hint="eastAsia" w:ascii="Times New Roman" w:hAnsi="Times New Roman" w:eastAsia="仿宋_GB2312" w:cs="仿宋_GB2312"/>
                <w:b/>
                <w:bCs w:val="0"/>
                <w:color w:val="auto"/>
                <w:sz w:val="28"/>
                <w:szCs w:val="28"/>
                <w:highlight w:val="none"/>
              </w:rPr>
              <w:t>检验方法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11" w:hRule="atLeast"/>
          <w:jc w:val="center"/>
        </w:trPr>
        <w:tc>
          <w:tcPr>
            <w:tcW w:w="861"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w:t>
            </w:r>
          </w:p>
        </w:tc>
        <w:tc>
          <w:tcPr>
            <w:tcW w:w="5249"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气密性</w:t>
            </w:r>
          </w:p>
        </w:tc>
        <w:tc>
          <w:tcPr>
            <w:tcW w:w="314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44016—2024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08" w:hRule="atLeast"/>
          <w:jc w:val="center"/>
        </w:trPr>
        <w:tc>
          <w:tcPr>
            <w:tcW w:w="861"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2</w:t>
            </w:r>
          </w:p>
        </w:tc>
        <w:tc>
          <w:tcPr>
            <w:tcW w:w="5249"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紧急切断性能</w:t>
            </w:r>
          </w:p>
        </w:tc>
        <w:tc>
          <w:tcPr>
            <w:tcW w:w="314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44016—2024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08" w:hRule="atLeast"/>
          <w:jc w:val="center"/>
        </w:trPr>
        <w:tc>
          <w:tcPr>
            <w:tcW w:w="861"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3</w:t>
            </w:r>
          </w:p>
        </w:tc>
        <w:tc>
          <w:tcPr>
            <w:tcW w:w="5249"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电气安全性</w:t>
            </w:r>
          </w:p>
        </w:tc>
        <w:tc>
          <w:tcPr>
            <w:tcW w:w="314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44016—2024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08" w:hRule="atLeast"/>
          <w:jc w:val="center"/>
        </w:trPr>
        <w:tc>
          <w:tcPr>
            <w:tcW w:w="861"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4</w:t>
            </w:r>
          </w:p>
        </w:tc>
        <w:tc>
          <w:tcPr>
            <w:tcW w:w="5249"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承压件强度</w:t>
            </w:r>
          </w:p>
        </w:tc>
        <w:tc>
          <w:tcPr>
            <w:tcW w:w="314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44016—2024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08" w:hRule="atLeast"/>
          <w:jc w:val="center"/>
        </w:trPr>
        <w:tc>
          <w:tcPr>
            <w:tcW w:w="861"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lang w:val="en-US" w:eastAsia="zh-CN"/>
              </w:rPr>
            </w:pPr>
            <w:r>
              <w:rPr>
                <w:rFonts w:hint="eastAsia" w:ascii="Times New Roman" w:hAnsi="Times New Roman" w:eastAsia="仿宋_GB2312" w:cs="仿宋_GB2312"/>
                <w:color w:val="auto"/>
                <w:sz w:val="28"/>
                <w:szCs w:val="28"/>
                <w:highlight w:val="none"/>
                <w:lang w:val="en-US" w:eastAsia="zh-CN"/>
              </w:rPr>
              <w:t>5</w:t>
            </w:r>
          </w:p>
        </w:tc>
        <w:tc>
          <w:tcPr>
            <w:tcW w:w="5249"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抗扭力性能</w:t>
            </w:r>
          </w:p>
        </w:tc>
        <w:tc>
          <w:tcPr>
            <w:tcW w:w="3143" w:type="dxa"/>
            <w:noWrap w:val="0"/>
            <w:vAlign w:val="center"/>
          </w:tcPr>
          <w:p>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44016—2024</w:t>
            </w:r>
          </w:p>
        </w:tc>
      </w:tr>
    </w:tbl>
    <w:p>
      <w:pPr>
        <w:keepNext w:val="0"/>
        <w:keepLines w:val="0"/>
        <w:pageBreakBefore w:val="0"/>
        <w:kinsoku/>
        <w:wordWrap/>
        <w:overflowPunct/>
        <w:topLinePunct w:val="0"/>
        <w:autoSpaceDE/>
        <w:autoSpaceDN/>
        <w:bidi w:val="0"/>
        <w:adjustRightInd w:val="0"/>
        <w:snapToGrid w:val="0"/>
        <w:spacing w:after="0" w:line="560" w:lineRule="exact"/>
        <w:ind w:firstLine="640" w:firstLineChars="200"/>
        <w:textAlignment w:val="auto"/>
        <w:rPr>
          <w:rFonts w:ascii="Times New Roman" w:hAnsi="Times New Roman" w:eastAsia="宋体" w:cs="Times New Roman"/>
          <w:color w:val="auto"/>
          <w:sz w:val="21"/>
          <w:szCs w:val="32"/>
          <w:highlight w:val="none"/>
        </w:rPr>
      </w:pPr>
      <w:r>
        <w:rPr>
          <w:rFonts w:hint="eastAsia" w:ascii="Times New Roman" w:hAnsi="Times New Roman" w:eastAsia="仿宋_GB2312" w:cs="仿宋_GB2312"/>
          <w:color w:val="auto"/>
          <w:sz w:val="32"/>
          <w:szCs w:val="32"/>
          <w:highlight w:val="none"/>
          <w:lang w:bidi="ar"/>
        </w:rPr>
        <w:t>执行企业标准、团体标准、地方标准的产品，检验项目参照上述内容执行。</w:t>
      </w:r>
    </w:p>
    <w:p>
      <w:pPr>
        <w:keepNext w:val="0"/>
        <w:keepLines w:val="0"/>
        <w:pageBreakBefore w:val="0"/>
        <w:kinsoku/>
        <w:wordWrap/>
        <w:overflowPunct/>
        <w:topLinePunct w:val="0"/>
        <w:autoSpaceDE/>
        <w:autoSpaceDN/>
        <w:bidi w:val="0"/>
        <w:snapToGrid w:val="0"/>
        <w:spacing w:after="0" w:line="560" w:lineRule="exact"/>
        <w:ind w:firstLine="640" w:firstLineChars="200"/>
        <w:textAlignment w:val="auto"/>
        <w:rPr>
          <w:rFonts w:ascii="Times New Roman" w:hAnsi="Times New Roman" w:eastAsia="宋体" w:cs="Times New Roman"/>
          <w:color w:val="auto"/>
          <w:sz w:val="21"/>
          <w:szCs w:val="32"/>
          <w:highlight w:val="none"/>
        </w:rPr>
      </w:pPr>
      <w:r>
        <w:rPr>
          <w:rFonts w:hint="eastAsia" w:ascii="Times New Roman" w:hAnsi="Times New Roman" w:eastAsia="仿宋_GB2312" w:cs="仿宋_GB2312"/>
          <w:color w:val="auto"/>
          <w:sz w:val="32"/>
          <w:szCs w:val="32"/>
          <w:highlight w:val="none"/>
          <w:lang w:bidi="ar"/>
        </w:rPr>
        <w:t>凡是注日期的文件，其随后所有的修改单（不包括勘误的内容）或修订版不适用于本细则。凡是不注日期的文件，其最新版本适用于本细则。</w:t>
      </w:r>
    </w:p>
    <w:p>
      <w:pPr>
        <w:keepNext w:val="0"/>
        <w:keepLines w:val="0"/>
        <w:pageBreakBefore w:val="0"/>
        <w:widowControl/>
        <w:kinsoku/>
        <w:wordWrap/>
        <w:overflowPunct/>
        <w:topLinePunct w:val="0"/>
        <w:autoSpaceDE/>
        <w:autoSpaceDN/>
        <w:bidi w:val="0"/>
        <w:spacing w:after="0" w:line="560" w:lineRule="exact"/>
        <w:ind w:firstLine="640" w:firstLineChars="200"/>
        <w:jc w:val="both"/>
        <w:textAlignment w:val="auto"/>
        <w:rPr>
          <w:rFonts w:hint="default" w:ascii="Times New Roman" w:hAnsi="Times New Roman" w:eastAsia="黑体" w:cs="Times New Roman"/>
          <w:color w:val="auto"/>
          <w:kern w:val="2"/>
          <w:sz w:val="32"/>
          <w:szCs w:val="32"/>
          <w:highlight w:val="none"/>
          <w:lang w:val="en-US" w:eastAsia="zh-CN" w:bidi="ar-SA"/>
        </w:rPr>
      </w:pPr>
      <w:r>
        <w:rPr>
          <w:rFonts w:hint="default" w:ascii="Times New Roman" w:hAnsi="Times New Roman" w:eastAsia="黑体" w:cs="Times New Roman"/>
          <w:color w:val="auto"/>
          <w:kern w:val="2"/>
          <w:sz w:val="32"/>
          <w:szCs w:val="32"/>
          <w:highlight w:val="none"/>
          <w:lang w:val="en-US" w:eastAsia="zh-CN" w:bidi="ar-SA"/>
        </w:rPr>
        <w:t xml:space="preserve">3 </w:t>
      </w:r>
      <w:r>
        <w:rPr>
          <w:rFonts w:hint="eastAsia" w:ascii="Times New Roman" w:hAnsi="Times New Roman" w:eastAsia="黑体" w:cs="Times New Roman"/>
          <w:color w:val="auto"/>
          <w:kern w:val="2"/>
          <w:sz w:val="32"/>
          <w:szCs w:val="32"/>
          <w:highlight w:val="none"/>
          <w:lang w:val="en-US" w:eastAsia="zh-CN" w:bidi="ar-SA"/>
        </w:rPr>
        <w:t>判定规则</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3.1</w:t>
      </w:r>
      <w:r>
        <w:rPr>
          <w:rFonts w:hint="eastAsia" w:ascii="Times New Roman" w:hAnsi="Times New Roman" w:eastAsia="楷体_GB2312" w:cs="楷体_GB2312"/>
          <w:color w:val="auto"/>
          <w:sz w:val="32"/>
          <w:szCs w:val="40"/>
          <w:highlight w:val="none"/>
          <w:lang w:val="en-US" w:eastAsia="zh-CN"/>
        </w:rPr>
        <w:t xml:space="preserve"> </w:t>
      </w:r>
      <w:r>
        <w:rPr>
          <w:rFonts w:hint="eastAsia" w:ascii="Times New Roman" w:hAnsi="Times New Roman" w:eastAsia="楷体_GB2312" w:cs="楷体_GB2312"/>
          <w:color w:val="auto"/>
          <w:sz w:val="32"/>
          <w:szCs w:val="40"/>
          <w:highlight w:val="none"/>
        </w:rPr>
        <w:t>依据标准</w:t>
      </w:r>
    </w:p>
    <w:p>
      <w:pPr>
        <w:keepNext w:val="0"/>
        <w:keepLines w:val="0"/>
        <w:pageBreakBefore w:val="0"/>
        <w:kinsoku/>
        <w:wordWrap/>
        <w:overflowPunct/>
        <w:topLinePunct w:val="0"/>
        <w:autoSpaceDE/>
        <w:autoSpaceDN/>
        <w:bidi w:val="0"/>
        <w:snapToGrid w:val="0"/>
        <w:spacing w:after="0" w:line="560" w:lineRule="exact"/>
        <w:ind w:firstLine="640" w:firstLineChars="200"/>
        <w:textAlignment w:val="auto"/>
        <w:rPr>
          <w:rFonts w:hint="eastAsia" w:ascii="Times New Roman" w:hAnsi="Times New Roman" w:eastAsia="仿宋_GB2312" w:cs="Times New Roman"/>
          <w:color w:val="auto"/>
          <w:sz w:val="21"/>
          <w:szCs w:val="32"/>
          <w:highlight w:val="none"/>
          <w:lang w:eastAsia="zh-CN"/>
        </w:rPr>
      </w:pPr>
      <w:r>
        <w:rPr>
          <w:rFonts w:ascii="Times New Roman" w:hAnsi="Times New Roman" w:eastAsia="仿宋_GB2312" w:cs="Times New Roman"/>
          <w:color w:val="auto"/>
          <w:sz w:val="32"/>
          <w:szCs w:val="32"/>
          <w:highlight w:val="none"/>
          <w:lang w:bidi="ar"/>
        </w:rPr>
        <w:t>GB 6932—2015</w:t>
      </w:r>
      <w:r>
        <w:rPr>
          <w:rFonts w:hint="eastAsia" w:cs="Times New Roman"/>
          <w:color w:val="auto"/>
          <w:sz w:val="32"/>
          <w:szCs w:val="32"/>
          <w:highlight w:val="none"/>
          <w:lang w:eastAsia="zh-CN" w:bidi="ar"/>
        </w:rPr>
        <w:t>《</w:t>
      </w:r>
      <w:r>
        <w:rPr>
          <w:rFonts w:hint="eastAsia" w:ascii="Times New Roman" w:hAnsi="Times New Roman" w:eastAsia="仿宋_GB2312" w:cs="仿宋_GB2312"/>
          <w:color w:val="auto"/>
          <w:sz w:val="32"/>
          <w:szCs w:val="32"/>
          <w:highlight w:val="none"/>
          <w:lang w:bidi="ar"/>
        </w:rPr>
        <w:t>家用燃气快速热水器</w:t>
      </w:r>
      <w:r>
        <w:rPr>
          <w:rFonts w:hint="eastAsia" w:cs="仿宋_GB2312"/>
          <w:color w:val="auto"/>
          <w:sz w:val="32"/>
          <w:szCs w:val="32"/>
          <w:highlight w:val="none"/>
          <w:lang w:eastAsia="zh-CN" w:bidi="ar"/>
        </w:rPr>
        <w:t>》</w:t>
      </w:r>
    </w:p>
    <w:p>
      <w:pPr>
        <w:keepNext w:val="0"/>
        <w:keepLines w:val="0"/>
        <w:pageBreakBefore w:val="0"/>
        <w:kinsoku/>
        <w:wordWrap/>
        <w:overflowPunct/>
        <w:topLinePunct w:val="0"/>
        <w:autoSpaceDE/>
        <w:autoSpaceDN/>
        <w:bidi w:val="0"/>
        <w:snapToGrid w:val="0"/>
        <w:spacing w:after="0" w:line="560" w:lineRule="exact"/>
        <w:ind w:firstLine="640" w:firstLineChars="200"/>
        <w:textAlignment w:val="auto"/>
        <w:rPr>
          <w:rFonts w:ascii="Times New Roman" w:hAnsi="Times New Roman" w:eastAsia="宋体" w:cs="Times New Roman"/>
          <w:color w:val="auto"/>
          <w:sz w:val="21"/>
          <w:szCs w:val="32"/>
          <w:highlight w:val="none"/>
        </w:rPr>
      </w:pPr>
      <w:r>
        <w:rPr>
          <w:rFonts w:ascii="Times New Roman" w:hAnsi="Times New Roman" w:eastAsia="仿宋_GB2312" w:cs="Times New Roman"/>
          <w:color w:val="auto"/>
          <w:sz w:val="32"/>
          <w:szCs w:val="32"/>
          <w:highlight w:val="none"/>
          <w:lang w:bidi="ar"/>
        </w:rPr>
        <w:t>GB 16410—2020</w:t>
      </w:r>
      <w:r>
        <w:rPr>
          <w:rFonts w:hint="eastAsia" w:cs="Times New Roman"/>
          <w:color w:val="auto"/>
          <w:sz w:val="32"/>
          <w:szCs w:val="32"/>
          <w:highlight w:val="none"/>
          <w:lang w:eastAsia="zh-CN" w:bidi="ar"/>
        </w:rPr>
        <w:t>《</w:t>
      </w:r>
      <w:r>
        <w:rPr>
          <w:rFonts w:hint="eastAsia" w:ascii="Times New Roman" w:hAnsi="Times New Roman" w:eastAsia="仿宋_GB2312" w:cs="仿宋_GB2312"/>
          <w:color w:val="auto"/>
          <w:sz w:val="32"/>
          <w:szCs w:val="32"/>
          <w:highlight w:val="none"/>
          <w:lang w:bidi="ar"/>
        </w:rPr>
        <w:t>家用燃气灶具</w:t>
      </w:r>
      <w:r>
        <w:rPr>
          <w:rFonts w:hint="eastAsia" w:cs="仿宋_GB2312"/>
          <w:color w:val="auto"/>
          <w:sz w:val="32"/>
          <w:szCs w:val="32"/>
          <w:highlight w:val="none"/>
          <w:lang w:eastAsia="zh-CN" w:bidi="ar"/>
        </w:rPr>
        <w:t>》</w:t>
      </w:r>
    </w:p>
    <w:p>
      <w:pPr>
        <w:keepNext w:val="0"/>
        <w:keepLines w:val="0"/>
        <w:pageBreakBefore w:val="0"/>
        <w:kinsoku/>
        <w:wordWrap/>
        <w:overflowPunct/>
        <w:topLinePunct w:val="0"/>
        <w:autoSpaceDE/>
        <w:autoSpaceDN/>
        <w:bidi w:val="0"/>
        <w:snapToGrid w:val="0"/>
        <w:spacing w:after="0" w:line="560" w:lineRule="exact"/>
        <w:ind w:firstLine="640" w:firstLineChars="200"/>
        <w:textAlignment w:val="auto"/>
        <w:rPr>
          <w:rFonts w:ascii="Times New Roman" w:hAnsi="Times New Roman" w:eastAsia="宋体" w:cs="Times New Roman"/>
          <w:color w:val="auto"/>
          <w:sz w:val="21"/>
          <w:szCs w:val="32"/>
          <w:highlight w:val="none"/>
        </w:rPr>
      </w:pPr>
      <w:r>
        <w:rPr>
          <w:rFonts w:ascii="Times New Roman" w:hAnsi="Times New Roman" w:eastAsia="仿宋_GB2312" w:cs="Times New Roman"/>
          <w:color w:val="auto"/>
          <w:sz w:val="32"/>
          <w:szCs w:val="32"/>
          <w:highlight w:val="none"/>
          <w:lang w:bidi="ar"/>
        </w:rPr>
        <w:t>GB 20665—2015</w:t>
      </w:r>
      <w:r>
        <w:rPr>
          <w:rFonts w:hint="eastAsia" w:cs="Times New Roman"/>
          <w:color w:val="auto"/>
          <w:sz w:val="32"/>
          <w:szCs w:val="32"/>
          <w:highlight w:val="none"/>
          <w:lang w:eastAsia="zh-CN" w:bidi="ar"/>
        </w:rPr>
        <w:t>《</w:t>
      </w:r>
      <w:r>
        <w:rPr>
          <w:rFonts w:hint="eastAsia" w:ascii="Times New Roman" w:hAnsi="Times New Roman" w:eastAsia="仿宋_GB2312" w:cs="仿宋_GB2312"/>
          <w:color w:val="auto"/>
          <w:sz w:val="32"/>
          <w:szCs w:val="32"/>
          <w:highlight w:val="none"/>
          <w:lang w:bidi="ar"/>
        </w:rPr>
        <w:t>家用燃气快速热水器和燃气采暖热水炉能效限定值及能效等级</w:t>
      </w:r>
      <w:r>
        <w:rPr>
          <w:rFonts w:hint="eastAsia" w:cs="仿宋_GB2312"/>
          <w:color w:val="auto"/>
          <w:sz w:val="32"/>
          <w:szCs w:val="32"/>
          <w:highlight w:val="none"/>
          <w:lang w:eastAsia="zh-CN" w:bidi="ar"/>
        </w:rPr>
        <w:t>》</w:t>
      </w:r>
    </w:p>
    <w:p>
      <w:pPr>
        <w:keepNext w:val="0"/>
        <w:keepLines w:val="0"/>
        <w:pageBreakBefore w:val="0"/>
        <w:kinsoku/>
        <w:wordWrap/>
        <w:overflowPunct/>
        <w:topLinePunct w:val="0"/>
        <w:autoSpaceDE/>
        <w:autoSpaceDN/>
        <w:bidi w:val="0"/>
        <w:snapToGrid w:val="0"/>
        <w:spacing w:after="0" w:line="560" w:lineRule="exact"/>
        <w:ind w:firstLine="640" w:firstLineChars="200"/>
        <w:textAlignment w:val="auto"/>
        <w:rPr>
          <w:rFonts w:ascii="Times New Roman" w:hAnsi="Times New Roman" w:eastAsia="宋体" w:cs="Times New Roman"/>
          <w:color w:val="auto"/>
          <w:sz w:val="21"/>
          <w:szCs w:val="32"/>
          <w:highlight w:val="none"/>
        </w:rPr>
      </w:pPr>
      <w:r>
        <w:rPr>
          <w:rFonts w:ascii="Times New Roman" w:hAnsi="Times New Roman" w:eastAsia="仿宋_GB2312" w:cs="Times New Roman"/>
          <w:color w:val="auto"/>
          <w:sz w:val="32"/>
          <w:szCs w:val="32"/>
          <w:highlight w:val="none"/>
          <w:lang w:bidi="ar"/>
        </w:rPr>
        <w:t>GB 25034—2020</w:t>
      </w:r>
      <w:r>
        <w:rPr>
          <w:rFonts w:hint="eastAsia" w:cs="Times New Roman"/>
          <w:color w:val="auto"/>
          <w:sz w:val="32"/>
          <w:szCs w:val="32"/>
          <w:highlight w:val="none"/>
          <w:lang w:eastAsia="zh-CN" w:bidi="ar"/>
        </w:rPr>
        <w:t>《</w:t>
      </w:r>
      <w:r>
        <w:rPr>
          <w:rFonts w:hint="eastAsia" w:ascii="Times New Roman" w:hAnsi="Times New Roman" w:eastAsia="仿宋_GB2312" w:cs="仿宋_GB2312"/>
          <w:color w:val="auto"/>
          <w:sz w:val="32"/>
          <w:szCs w:val="32"/>
          <w:highlight w:val="none"/>
          <w:lang w:bidi="ar"/>
        </w:rPr>
        <w:t>燃气采暖热水炉</w:t>
      </w:r>
      <w:r>
        <w:rPr>
          <w:rFonts w:hint="eastAsia" w:cs="仿宋_GB2312"/>
          <w:color w:val="auto"/>
          <w:sz w:val="32"/>
          <w:szCs w:val="32"/>
          <w:highlight w:val="none"/>
          <w:lang w:eastAsia="zh-CN" w:bidi="ar"/>
        </w:rPr>
        <w:t>》</w:t>
      </w:r>
    </w:p>
    <w:p>
      <w:pPr>
        <w:keepNext w:val="0"/>
        <w:keepLines w:val="0"/>
        <w:pageBreakBefore w:val="0"/>
        <w:widowControl w:val="0"/>
        <w:kinsoku/>
        <w:wordWrap/>
        <w:overflowPunct/>
        <w:topLinePunct w:val="0"/>
        <w:autoSpaceDE/>
        <w:autoSpaceDN/>
        <w:bidi w:val="0"/>
        <w:snapToGrid w:val="0"/>
        <w:spacing w:after="0" w:line="560" w:lineRule="exact"/>
        <w:ind w:firstLine="640" w:firstLineChars="200"/>
        <w:jc w:val="both"/>
        <w:textAlignment w:val="auto"/>
        <w:rPr>
          <w:rFonts w:ascii="Times New Roman" w:hAnsi="Times New Roman" w:eastAsia="宋体" w:cs="Times New Roman"/>
          <w:color w:val="auto"/>
          <w:sz w:val="21"/>
          <w:szCs w:val="32"/>
          <w:highlight w:val="none"/>
        </w:rPr>
      </w:pPr>
      <w:r>
        <w:rPr>
          <w:rFonts w:hint="eastAsia" w:ascii="Times New Roman" w:hAnsi="Times New Roman" w:eastAsia="仿宋_GB2312" w:cs="Times New Roman"/>
          <w:color w:val="auto"/>
          <w:kern w:val="2"/>
          <w:sz w:val="32"/>
          <w:szCs w:val="32"/>
          <w:highlight w:val="none"/>
          <w:lang w:val="en-US" w:eastAsia="zh-CN" w:bidi="ar"/>
        </w:rPr>
        <w:t>GB 30720—2025</w:t>
      </w:r>
      <w:r>
        <w:rPr>
          <w:rFonts w:hint="eastAsia" w:cs="Times New Roman"/>
          <w:color w:val="auto"/>
          <w:sz w:val="32"/>
          <w:szCs w:val="32"/>
          <w:highlight w:val="none"/>
          <w:lang w:eastAsia="zh-CN" w:bidi="ar"/>
        </w:rPr>
        <w:t>《</w:t>
      </w:r>
      <w:r>
        <w:rPr>
          <w:rFonts w:hint="eastAsia" w:ascii="Times New Roman" w:hAnsi="Times New Roman" w:eastAsia="仿宋_GB2312" w:cs="Times New Roman"/>
          <w:color w:val="auto"/>
          <w:kern w:val="2"/>
          <w:sz w:val="32"/>
          <w:szCs w:val="32"/>
          <w:highlight w:val="none"/>
          <w:lang w:val="en-US" w:eastAsia="zh-CN" w:bidi="ar"/>
        </w:rPr>
        <w:t>燃气灶具能效限定值及能效等级</w:t>
      </w:r>
      <w:r>
        <w:rPr>
          <w:rFonts w:hint="eastAsia" w:cs="仿宋_GB2312"/>
          <w:color w:val="auto"/>
          <w:sz w:val="32"/>
          <w:szCs w:val="32"/>
          <w:highlight w:val="none"/>
          <w:lang w:eastAsia="zh-CN" w:bidi="ar"/>
        </w:rPr>
        <w:t>》</w:t>
      </w:r>
    </w:p>
    <w:p>
      <w:pPr>
        <w:keepNext w:val="0"/>
        <w:keepLines w:val="0"/>
        <w:pageBreakBefore w:val="0"/>
        <w:kinsoku/>
        <w:wordWrap/>
        <w:overflowPunct/>
        <w:topLinePunct w:val="0"/>
        <w:autoSpaceDE/>
        <w:autoSpaceDN/>
        <w:bidi w:val="0"/>
        <w:snapToGrid w:val="0"/>
        <w:spacing w:after="0" w:line="560" w:lineRule="exact"/>
        <w:ind w:firstLine="640" w:firstLineChars="200"/>
        <w:textAlignment w:val="auto"/>
        <w:rPr>
          <w:rFonts w:ascii="Times New Roman" w:hAnsi="Times New Roman" w:eastAsia="宋体" w:cs="Times New Roman"/>
          <w:color w:val="auto"/>
          <w:sz w:val="21"/>
          <w:szCs w:val="32"/>
          <w:highlight w:val="none"/>
        </w:rPr>
      </w:pPr>
      <w:r>
        <w:rPr>
          <w:rFonts w:ascii="Times New Roman" w:hAnsi="Times New Roman" w:eastAsia="仿宋_GB2312" w:cs="Times New Roman"/>
          <w:color w:val="auto"/>
          <w:sz w:val="32"/>
          <w:szCs w:val="32"/>
          <w:highlight w:val="none"/>
          <w:lang w:bidi="ar"/>
        </w:rPr>
        <w:t>GB 35844—2018</w:t>
      </w:r>
      <w:r>
        <w:rPr>
          <w:rFonts w:hint="eastAsia" w:cs="Times New Roman"/>
          <w:color w:val="auto"/>
          <w:sz w:val="32"/>
          <w:szCs w:val="32"/>
          <w:highlight w:val="none"/>
          <w:lang w:eastAsia="zh-CN" w:bidi="ar"/>
        </w:rPr>
        <w:t>《</w:t>
      </w:r>
      <w:r>
        <w:rPr>
          <w:rFonts w:hint="eastAsia" w:ascii="Times New Roman" w:hAnsi="Times New Roman" w:eastAsia="仿宋_GB2312" w:cs="仿宋_GB2312"/>
          <w:color w:val="auto"/>
          <w:sz w:val="32"/>
          <w:szCs w:val="32"/>
          <w:highlight w:val="none"/>
          <w:lang w:bidi="ar"/>
        </w:rPr>
        <w:t>瓶装液化石油气调压器</w:t>
      </w:r>
      <w:r>
        <w:rPr>
          <w:rFonts w:hint="eastAsia" w:cs="仿宋_GB2312"/>
          <w:color w:val="auto"/>
          <w:sz w:val="32"/>
          <w:szCs w:val="32"/>
          <w:highlight w:val="none"/>
          <w:lang w:eastAsia="zh-CN" w:bidi="ar"/>
        </w:rPr>
        <w:t>》</w:t>
      </w:r>
    </w:p>
    <w:p>
      <w:pPr>
        <w:keepNext w:val="0"/>
        <w:keepLines w:val="0"/>
        <w:pageBreakBefore w:val="0"/>
        <w:kinsoku/>
        <w:wordWrap/>
        <w:overflowPunct/>
        <w:topLinePunct w:val="0"/>
        <w:autoSpaceDE/>
        <w:autoSpaceDN/>
        <w:bidi w:val="0"/>
        <w:snapToGrid w:val="0"/>
        <w:spacing w:after="0" w:line="560" w:lineRule="exact"/>
        <w:ind w:firstLine="640" w:firstLineChars="200"/>
        <w:textAlignment w:val="auto"/>
        <w:rPr>
          <w:rFonts w:ascii="Times New Roman" w:hAnsi="Times New Roman" w:eastAsia="仿宋_GB2312" w:cs="Times New Roman"/>
          <w:color w:val="auto"/>
          <w:sz w:val="32"/>
          <w:szCs w:val="32"/>
          <w:highlight w:val="none"/>
          <w:lang w:bidi="ar"/>
        </w:rPr>
      </w:pPr>
      <w:r>
        <w:rPr>
          <w:rFonts w:ascii="Times New Roman" w:hAnsi="Times New Roman" w:eastAsia="仿宋_GB2312" w:cs="Times New Roman"/>
          <w:color w:val="auto"/>
          <w:sz w:val="32"/>
          <w:szCs w:val="32"/>
          <w:highlight w:val="none"/>
          <w:lang w:bidi="ar"/>
        </w:rPr>
        <w:t>GB 35848—2024</w:t>
      </w:r>
      <w:r>
        <w:rPr>
          <w:rFonts w:hint="eastAsia" w:cs="Times New Roman"/>
          <w:color w:val="auto"/>
          <w:sz w:val="32"/>
          <w:szCs w:val="32"/>
          <w:highlight w:val="none"/>
          <w:lang w:eastAsia="zh-CN" w:bidi="ar"/>
        </w:rPr>
        <w:t>《</w:t>
      </w:r>
      <w:r>
        <w:rPr>
          <w:rFonts w:ascii="Times New Roman" w:hAnsi="Times New Roman" w:eastAsia="仿宋_GB2312" w:cs="Times New Roman"/>
          <w:color w:val="auto"/>
          <w:sz w:val="32"/>
          <w:szCs w:val="32"/>
          <w:highlight w:val="none"/>
          <w:lang w:bidi="ar"/>
        </w:rPr>
        <w:t>商用燃气燃烧器具</w:t>
      </w:r>
      <w:r>
        <w:rPr>
          <w:rFonts w:hint="eastAsia" w:cs="仿宋_GB2312"/>
          <w:color w:val="auto"/>
          <w:sz w:val="32"/>
          <w:szCs w:val="32"/>
          <w:highlight w:val="none"/>
          <w:lang w:eastAsia="zh-CN" w:bidi="ar"/>
        </w:rPr>
        <w:t>》</w:t>
      </w:r>
    </w:p>
    <w:p>
      <w:pPr>
        <w:keepNext w:val="0"/>
        <w:keepLines w:val="0"/>
        <w:pageBreakBefore w:val="0"/>
        <w:kinsoku/>
        <w:wordWrap/>
        <w:overflowPunct/>
        <w:topLinePunct w:val="0"/>
        <w:autoSpaceDE/>
        <w:autoSpaceDN/>
        <w:bidi w:val="0"/>
        <w:snapToGrid w:val="0"/>
        <w:spacing w:after="0" w:line="560" w:lineRule="exact"/>
        <w:ind w:firstLine="640" w:firstLineChars="200"/>
        <w:textAlignment w:val="auto"/>
        <w:rPr>
          <w:rFonts w:ascii="Times New Roman" w:hAnsi="Times New Roman" w:eastAsia="仿宋_GB2312" w:cs="仿宋_GB2312"/>
          <w:color w:val="auto"/>
          <w:sz w:val="32"/>
          <w:szCs w:val="32"/>
          <w:highlight w:val="none"/>
          <w:lang w:bidi="ar"/>
        </w:rPr>
      </w:pPr>
      <w:r>
        <w:rPr>
          <w:rFonts w:ascii="Times New Roman" w:hAnsi="Times New Roman" w:eastAsia="仿宋_GB2312" w:cs="Times New Roman"/>
          <w:color w:val="auto"/>
          <w:sz w:val="32"/>
          <w:szCs w:val="32"/>
          <w:highlight w:val="none"/>
          <w:lang w:bidi="ar"/>
        </w:rPr>
        <w:t>GB 41317—202</w:t>
      </w:r>
      <w:r>
        <w:rPr>
          <w:rFonts w:hint="eastAsia" w:ascii="Times New Roman" w:hAnsi="Times New Roman" w:eastAsia="仿宋_GB2312" w:cs="Times New Roman"/>
          <w:color w:val="auto"/>
          <w:sz w:val="32"/>
          <w:szCs w:val="32"/>
          <w:highlight w:val="none"/>
          <w:lang w:bidi="ar"/>
        </w:rPr>
        <w:t>4</w:t>
      </w:r>
      <w:r>
        <w:rPr>
          <w:rFonts w:hint="eastAsia" w:cs="Times New Roman"/>
          <w:color w:val="auto"/>
          <w:sz w:val="32"/>
          <w:szCs w:val="32"/>
          <w:highlight w:val="none"/>
          <w:lang w:eastAsia="zh-CN" w:bidi="ar"/>
        </w:rPr>
        <w:t>《</w:t>
      </w:r>
      <w:r>
        <w:rPr>
          <w:rFonts w:hint="eastAsia" w:ascii="Times New Roman" w:hAnsi="Times New Roman" w:eastAsia="仿宋_GB2312" w:cs="仿宋_GB2312"/>
          <w:color w:val="auto"/>
          <w:sz w:val="32"/>
          <w:szCs w:val="32"/>
          <w:highlight w:val="none"/>
          <w:lang w:bidi="ar"/>
        </w:rPr>
        <w:t>燃气用具连接用不锈钢波纹软管</w:t>
      </w:r>
      <w:r>
        <w:rPr>
          <w:rFonts w:hint="eastAsia" w:cs="仿宋_GB2312"/>
          <w:color w:val="auto"/>
          <w:sz w:val="32"/>
          <w:szCs w:val="32"/>
          <w:highlight w:val="none"/>
          <w:lang w:eastAsia="zh-CN" w:bidi="ar"/>
        </w:rPr>
        <w:t>》</w:t>
      </w:r>
    </w:p>
    <w:p>
      <w:pPr>
        <w:keepNext w:val="0"/>
        <w:keepLines w:val="0"/>
        <w:pageBreakBefore w:val="0"/>
        <w:kinsoku/>
        <w:wordWrap/>
        <w:overflowPunct/>
        <w:topLinePunct w:val="0"/>
        <w:autoSpaceDE/>
        <w:autoSpaceDN/>
        <w:bidi w:val="0"/>
        <w:snapToGrid w:val="0"/>
        <w:spacing w:after="0" w:line="560" w:lineRule="exact"/>
        <w:ind w:firstLine="640" w:firstLineChars="200"/>
        <w:textAlignment w:val="auto"/>
        <w:rPr>
          <w:rFonts w:ascii="Times New Roman" w:hAnsi="Times New Roman" w:eastAsia="仿宋_GB2312" w:cs="仿宋_GB2312"/>
          <w:color w:val="auto"/>
          <w:sz w:val="32"/>
          <w:szCs w:val="32"/>
          <w:highlight w:val="none"/>
          <w:lang w:bidi="ar"/>
        </w:rPr>
      </w:pPr>
      <w:r>
        <w:rPr>
          <w:rFonts w:ascii="Times New Roman" w:hAnsi="Times New Roman" w:eastAsia="仿宋_GB2312" w:cs="Times New Roman"/>
          <w:color w:val="auto"/>
          <w:sz w:val="32"/>
          <w:szCs w:val="32"/>
          <w:highlight w:val="none"/>
          <w:lang w:bidi="ar"/>
        </w:rPr>
        <w:t xml:space="preserve">GB </w:t>
      </w:r>
      <w:r>
        <w:rPr>
          <w:rFonts w:hint="eastAsia" w:ascii="Times New Roman" w:hAnsi="Times New Roman" w:eastAsia="仿宋_GB2312" w:cs="Times New Roman"/>
          <w:color w:val="auto"/>
          <w:sz w:val="32"/>
          <w:szCs w:val="32"/>
          <w:highlight w:val="none"/>
          <w:lang w:bidi="ar"/>
        </w:rPr>
        <w:t>44016</w:t>
      </w:r>
      <w:r>
        <w:rPr>
          <w:rFonts w:ascii="Times New Roman" w:hAnsi="Times New Roman" w:eastAsia="仿宋_GB2312" w:cs="Times New Roman"/>
          <w:color w:val="auto"/>
          <w:sz w:val="32"/>
          <w:szCs w:val="32"/>
          <w:highlight w:val="none"/>
          <w:lang w:bidi="ar"/>
        </w:rPr>
        <w:t>—202</w:t>
      </w:r>
      <w:r>
        <w:rPr>
          <w:rFonts w:hint="eastAsia" w:ascii="Times New Roman" w:hAnsi="Times New Roman" w:eastAsia="仿宋_GB2312" w:cs="Times New Roman"/>
          <w:color w:val="auto"/>
          <w:sz w:val="32"/>
          <w:szCs w:val="32"/>
          <w:highlight w:val="none"/>
          <w:lang w:bidi="ar"/>
        </w:rPr>
        <w:t>4</w:t>
      </w:r>
      <w:r>
        <w:rPr>
          <w:rFonts w:hint="eastAsia" w:cs="Times New Roman"/>
          <w:color w:val="auto"/>
          <w:sz w:val="32"/>
          <w:szCs w:val="32"/>
          <w:highlight w:val="none"/>
          <w:lang w:eastAsia="zh-CN" w:bidi="ar"/>
        </w:rPr>
        <w:t>《</w:t>
      </w:r>
      <w:r>
        <w:rPr>
          <w:rFonts w:hint="eastAsia" w:ascii="Times New Roman" w:hAnsi="Times New Roman" w:eastAsia="仿宋_GB2312" w:cs="仿宋_GB2312"/>
          <w:color w:val="auto"/>
          <w:sz w:val="32"/>
          <w:szCs w:val="32"/>
          <w:highlight w:val="none"/>
          <w:lang w:bidi="ar"/>
        </w:rPr>
        <w:t>电磁式燃气紧急切断阀</w:t>
      </w:r>
      <w:r>
        <w:rPr>
          <w:rFonts w:hint="eastAsia" w:cs="仿宋_GB2312"/>
          <w:color w:val="auto"/>
          <w:sz w:val="32"/>
          <w:szCs w:val="32"/>
          <w:highlight w:val="none"/>
          <w:lang w:eastAsia="zh-CN" w:bidi="ar"/>
        </w:rPr>
        <w:t>》</w:t>
      </w:r>
    </w:p>
    <w:p>
      <w:pPr>
        <w:keepNext w:val="0"/>
        <w:keepLines w:val="0"/>
        <w:pageBreakBefore w:val="0"/>
        <w:kinsoku/>
        <w:wordWrap/>
        <w:overflowPunct/>
        <w:topLinePunct w:val="0"/>
        <w:autoSpaceDE/>
        <w:autoSpaceDN/>
        <w:bidi w:val="0"/>
        <w:snapToGrid w:val="0"/>
        <w:spacing w:after="0" w:line="560" w:lineRule="exact"/>
        <w:ind w:firstLine="640" w:firstLineChars="200"/>
        <w:textAlignment w:val="auto"/>
        <w:rPr>
          <w:rFonts w:ascii="Times New Roman" w:hAnsi="Times New Roman" w:eastAsia="仿宋_GB2312" w:cs="Times New Roman"/>
          <w:color w:val="auto"/>
          <w:sz w:val="32"/>
          <w:szCs w:val="32"/>
          <w:highlight w:val="none"/>
          <w:lang w:bidi="ar"/>
        </w:rPr>
      </w:pPr>
      <w:r>
        <w:rPr>
          <w:rFonts w:ascii="Times New Roman" w:hAnsi="Times New Roman" w:eastAsia="仿宋_GB2312" w:cs="Times New Roman"/>
          <w:color w:val="auto"/>
          <w:sz w:val="32"/>
          <w:szCs w:val="32"/>
          <w:highlight w:val="none"/>
          <w:lang w:bidi="ar"/>
        </w:rPr>
        <w:t>GB 44017—2024</w:t>
      </w:r>
      <w:r>
        <w:rPr>
          <w:rFonts w:hint="eastAsia" w:cs="Times New Roman"/>
          <w:color w:val="auto"/>
          <w:sz w:val="32"/>
          <w:szCs w:val="32"/>
          <w:highlight w:val="none"/>
          <w:lang w:eastAsia="zh-CN" w:bidi="ar"/>
        </w:rPr>
        <w:t>《</w:t>
      </w:r>
      <w:r>
        <w:rPr>
          <w:rFonts w:hint="eastAsia" w:ascii="Times New Roman" w:hAnsi="Times New Roman" w:eastAsia="仿宋_GB2312" w:cs="Times New Roman"/>
          <w:color w:val="auto"/>
          <w:sz w:val="32"/>
          <w:szCs w:val="32"/>
          <w:highlight w:val="none"/>
          <w:lang w:bidi="ar"/>
        </w:rPr>
        <w:t>燃气用具连接用金属包覆软管</w:t>
      </w:r>
      <w:r>
        <w:rPr>
          <w:rFonts w:hint="eastAsia" w:cs="仿宋_GB2312"/>
          <w:color w:val="auto"/>
          <w:sz w:val="32"/>
          <w:szCs w:val="32"/>
          <w:highlight w:val="none"/>
          <w:lang w:eastAsia="zh-CN" w:bidi="ar"/>
        </w:rPr>
        <w:t>》</w:t>
      </w:r>
    </w:p>
    <w:p>
      <w:pPr>
        <w:keepNext w:val="0"/>
        <w:keepLines w:val="0"/>
        <w:pageBreakBefore w:val="0"/>
        <w:kinsoku/>
        <w:wordWrap/>
        <w:overflowPunct/>
        <w:topLinePunct w:val="0"/>
        <w:autoSpaceDE/>
        <w:autoSpaceDN/>
        <w:bidi w:val="0"/>
        <w:snapToGrid w:val="0"/>
        <w:spacing w:after="0" w:line="560" w:lineRule="exact"/>
        <w:ind w:firstLine="596" w:firstLineChars="200"/>
        <w:textAlignment w:val="auto"/>
        <w:rPr>
          <w:rFonts w:ascii="Times New Roman" w:hAnsi="Times New Roman" w:eastAsia="宋体" w:cs="Times New Roman"/>
          <w:color w:val="auto"/>
          <w:sz w:val="21"/>
          <w:szCs w:val="32"/>
          <w:highlight w:val="none"/>
        </w:rPr>
      </w:pPr>
      <w:r>
        <w:rPr>
          <w:rFonts w:hint="eastAsia" w:ascii="Times New Roman" w:hAnsi="Times New Roman" w:eastAsia="仿宋_GB2312" w:cs="仿宋_GB2312"/>
          <w:color w:val="auto"/>
          <w:spacing w:val="-11"/>
          <w:sz w:val="32"/>
          <w:szCs w:val="32"/>
          <w:highlight w:val="none"/>
          <w:lang w:bidi="ar"/>
        </w:rPr>
        <w:t>现行有效的企业标准、团体标准、地方标准及产品明示质量</w:t>
      </w:r>
      <w:r>
        <w:rPr>
          <w:rFonts w:hint="eastAsia" w:ascii="Times New Roman" w:hAnsi="Times New Roman" w:eastAsia="仿宋_GB2312" w:cs="仿宋_GB2312"/>
          <w:color w:val="auto"/>
          <w:sz w:val="32"/>
          <w:szCs w:val="32"/>
          <w:highlight w:val="none"/>
          <w:lang w:bidi="ar"/>
        </w:rPr>
        <w:t>要求</w:t>
      </w:r>
      <w:r>
        <w:rPr>
          <w:rFonts w:ascii="Times New Roman" w:hAnsi="Times New Roman" w:eastAsia="仿宋_GB2312" w:cs="Times New Roman"/>
          <w:color w:val="auto"/>
          <w:sz w:val="32"/>
          <w:szCs w:val="32"/>
          <w:highlight w:val="none"/>
          <w:lang w:bidi="ar"/>
        </w:rPr>
        <w:t xml:space="preserve"> </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3.2</w:t>
      </w:r>
      <w:r>
        <w:rPr>
          <w:rFonts w:hint="eastAsia" w:ascii="Times New Roman" w:hAnsi="Times New Roman" w:eastAsia="楷体_GB2312" w:cs="楷体_GB2312"/>
          <w:color w:val="auto"/>
          <w:sz w:val="32"/>
          <w:szCs w:val="40"/>
          <w:highlight w:val="none"/>
          <w:lang w:val="en-US" w:eastAsia="zh-CN"/>
        </w:rPr>
        <w:t xml:space="preserve"> </w:t>
      </w:r>
      <w:r>
        <w:rPr>
          <w:rFonts w:hint="eastAsia" w:ascii="Times New Roman" w:hAnsi="Times New Roman" w:eastAsia="楷体_GB2312" w:cs="楷体_GB2312"/>
          <w:color w:val="auto"/>
          <w:sz w:val="32"/>
          <w:szCs w:val="40"/>
          <w:highlight w:val="none"/>
        </w:rPr>
        <w:t>判定原则</w:t>
      </w:r>
    </w:p>
    <w:p>
      <w:pPr>
        <w:keepNext w:val="0"/>
        <w:keepLines w:val="0"/>
        <w:pageBreakBefore w:val="0"/>
        <w:kinsoku/>
        <w:wordWrap/>
        <w:overflowPunct/>
        <w:topLinePunct w:val="0"/>
        <w:autoSpaceDE/>
        <w:autoSpaceDN/>
        <w:bidi w:val="0"/>
        <w:snapToGrid w:val="0"/>
        <w:spacing w:after="0" w:line="560" w:lineRule="exact"/>
        <w:ind w:firstLine="640" w:firstLineChars="200"/>
        <w:textAlignment w:val="auto"/>
        <w:rPr>
          <w:rFonts w:ascii="Times New Roman" w:hAnsi="Times New Roman" w:eastAsia="宋体" w:cs="Times New Roman"/>
          <w:color w:val="auto"/>
          <w:sz w:val="21"/>
          <w:szCs w:val="32"/>
          <w:highlight w:val="none"/>
        </w:rPr>
      </w:pPr>
      <w:r>
        <w:rPr>
          <w:rFonts w:hint="eastAsia" w:ascii="Times New Roman" w:hAnsi="Times New Roman" w:eastAsia="仿宋_GB2312" w:cs="仿宋_GB2312"/>
          <w:color w:val="auto"/>
          <w:sz w:val="32"/>
          <w:szCs w:val="32"/>
          <w:highlight w:val="none"/>
          <w:lang w:bidi="ar"/>
        </w:rPr>
        <w:t>经检验，检验项目全部合格，判定为被抽查产品所检项目未发现不合格；检验项目中任一项或一项以上不合格，判定为被抽查产品不合格。</w:t>
      </w:r>
    </w:p>
    <w:p>
      <w:pPr>
        <w:keepNext w:val="0"/>
        <w:keepLines w:val="0"/>
        <w:pageBreakBefore w:val="0"/>
        <w:kinsoku/>
        <w:wordWrap/>
        <w:overflowPunct/>
        <w:topLinePunct w:val="0"/>
        <w:autoSpaceDE/>
        <w:autoSpaceDN/>
        <w:bidi w:val="0"/>
        <w:snapToGrid w:val="0"/>
        <w:spacing w:after="0" w:line="560" w:lineRule="exact"/>
        <w:ind w:firstLine="636" w:firstLineChars="199"/>
        <w:textAlignment w:val="auto"/>
        <w:rPr>
          <w:rFonts w:ascii="Times New Roman" w:hAnsi="Times New Roman" w:eastAsia="宋体" w:cs="Times New Roman"/>
          <w:color w:val="auto"/>
          <w:sz w:val="21"/>
          <w:szCs w:val="32"/>
          <w:highlight w:val="none"/>
        </w:rPr>
      </w:pPr>
      <w:r>
        <w:rPr>
          <w:rFonts w:hint="eastAsia" w:ascii="Times New Roman" w:hAnsi="Times New Roman" w:eastAsia="仿宋_GB2312" w:cs="仿宋_GB2312"/>
          <w:color w:val="auto"/>
          <w:sz w:val="32"/>
          <w:szCs w:val="32"/>
          <w:highlight w:val="none"/>
          <w:lang w:bidi="ar"/>
        </w:rPr>
        <w:t>若被检产品明示的质量要求高于本细则中检验项目依据的标准要求时，应按被检产品明示的质量要求判定。</w:t>
      </w:r>
    </w:p>
    <w:p>
      <w:pPr>
        <w:keepNext w:val="0"/>
        <w:keepLines w:val="0"/>
        <w:pageBreakBefore w:val="0"/>
        <w:kinsoku/>
        <w:wordWrap/>
        <w:overflowPunct/>
        <w:topLinePunct w:val="0"/>
        <w:autoSpaceDE/>
        <w:autoSpaceDN/>
        <w:bidi w:val="0"/>
        <w:snapToGrid w:val="0"/>
        <w:spacing w:after="0" w:line="560" w:lineRule="exact"/>
        <w:ind w:firstLine="636" w:firstLineChars="199"/>
        <w:textAlignment w:val="auto"/>
        <w:rPr>
          <w:rFonts w:ascii="Times New Roman" w:hAnsi="Times New Roman" w:eastAsia="宋体" w:cs="Times New Roman"/>
          <w:color w:val="auto"/>
          <w:sz w:val="21"/>
          <w:szCs w:val="32"/>
          <w:highlight w:val="none"/>
        </w:rPr>
      </w:pPr>
      <w:r>
        <w:rPr>
          <w:rFonts w:hint="eastAsia" w:ascii="Times New Roman" w:hAnsi="Times New Roman" w:eastAsia="仿宋_GB2312" w:cs="仿宋_GB2312"/>
          <w:color w:val="auto"/>
          <w:sz w:val="32"/>
          <w:szCs w:val="32"/>
          <w:highlight w:val="none"/>
          <w:lang w:bidi="ar"/>
        </w:rPr>
        <w:t>若被检产品明示的质量要求低于本细则中检验项目依据的强制性标准要求时，应按照强制性标准要求判定。</w:t>
      </w:r>
    </w:p>
    <w:p>
      <w:pPr>
        <w:keepNext w:val="0"/>
        <w:keepLines w:val="0"/>
        <w:pageBreakBefore w:val="0"/>
        <w:kinsoku/>
        <w:wordWrap/>
        <w:overflowPunct/>
        <w:topLinePunct w:val="0"/>
        <w:autoSpaceDE/>
        <w:autoSpaceDN/>
        <w:bidi w:val="0"/>
        <w:snapToGrid w:val="0"/>
        <w:spacing w:after="0" w:line="560" w:lineRule="exact"/>
        <w:ind w:firstLine="636" w:firstLineChars="199"/>
        <w:textAlignment w:val="auto"/>
        <w:rPr>
          <w:rFonts w:ascii="Times New Roman" w:hAnsi="Times New Roman" w:eastAsia="宋体" w:cs="Times New Roman"/>
          <w:color w:val="auto"/>
          <w:sz w:val="21"/>
          <w:szCs w:val="32"/>
          <w:highlight w:val="none"/>
        </w:rPr>
      </w:pPr>
      <w:r>
        <w:rPr>
          <w:rFonts w:hint="eastAsia" w:ascii="Times New Roman" w:hAnsi="Times New Roman" w:eastAsia="仿宋_GB2312" w:cs="仿宋_GB2312"/>
          <w:color w:val="auto"/>
          <w:sz w:val="32"/>
          <w:szCs w:val="32"/>
          <w:highlight w:val="none"/>
          <w:lang w:bidi="ar"/>
        </w:rPr>
        <w:t>若被检产品明示的质量要求低于或包含本细则中检验项目依据的推荐性标准要求时，应以被检产品明示的质量要求判定。</w:t>
      </w:r>
    </w:p>
    <w:p>
      <w:pPr>
        <w:keepNext w:val="0"/>
        <w:keepLines w:val="0"/>
        <w:pageBreakBefore w:val="0"/>
        <w:kinsoku/>
        <w:wordWrap/>
        <w:overflowPunct/>
        <w:topLinePunct w:val="0"/>
        <w:autoSpaceDE/>
        <w:autoSpaceDN/>
        <w:bidi w:val="0"/>
        <w:snapToGrid w:val="0"/>
        <w:spacing w:after="0" w:line="560" w:lineRule="exact"/>
        <w:ind w:firstLine="636" w:firstLineChars="199"/>
        <w:textAlignment w:val="auto"/>
        <w:rPr>
          <w:rFonts w:ascii="Times New Roman" w:hAnsi="Times New Roman" w:eastAsia="宋体" w:cs="Times New Roman"/>
          <w:color w:val="auto"/>
          <w:sz w:val="21"/>
          <w:szCs w:val="32"/>
          <w:highlight w:val="none"/>
        </w:rPr>
      </w:pPr>
      <w:r>
        <w:rPr>
          <w:rFonts w:hint="eastAsia" w:ascii="Times New Roman" w:hAnsi="Times New Roman" w:eastAsia="仿宋_GB2312" w:cs="仿宋_GB2312"/>
          <w:color w:val="auto"/>
          <w:sz w:val="32"/>
          <w:szCs w:val="32"/>
          <w:highlight w:val="none"/>
          <w:lang w:bidi="ar"/>
        </w:rPr>
        <w:t>若被检产品明示的质量要求缺少本细则中检验项目依据的强制性标准要求时，应按照强制性标准要求判定。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pPr>
      <w:r>
        <w:rPr>
          <w:rFonts w:hint="eastAsia" w:ascii="Times New Roman" w:hAnsi="Times New Roman" w:eastAsia="仿宋_GB2312" w:cs="仿宋_GB2312"/>
          <w:color w:val="auto"/>
          <w:sz w:val="32"/>
          <w:szCs w:val="32"/>
          <w:highlight w:val="none"/>
          <w:lang w:bidi="ar"/>
        </w:rPr>
        <w:t>若被检产品明示的质量要求缺少本细则中检验项目依据的推荐性标准要求时，该项目不参与判定</w:t>
      </w:r>
      <w:r>
        <w:rPr>
          <w:rFonts w:hint="eastAsia" w:ascii="Times New Roman" w:hAnsi="Times New Roman" w:cs="仿宋_GB2312"/>
          <w:color w:val="auto"/>
          <w:sz w:val="32"/>
          <w:szCs w:val="32"/>
          <w:highlight w:val="none"/>
          <w:lang w:eastAsia="zh-CN" w:bidi="ar"/>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AB6F40"/>
    <w:rsid w:val="0BB73F9B"/>
    <w:rsid w:val="274C29F2"/>
    <w:rsid w:val="2C2A6820"/>
    <w:rsid w:val="3FAD0DC8"/>
    <w:rsid w:val="6BAB6F40"/>
    <w:rsid w:val="741A3A0E"/>
    <w:rsid w:val="7D5A1E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toc 2"/>
    <w:basedOn w:val="1"/>
    <w:next w:val="1"/>
    <w:qFormat/>
    <w:uiPriority w:val="0"/>
    <w:pPr>
      <w:ind w:left="42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2026-09-08T06:21:00Z</dcterms:created>
  <dc:creator>YWB</dc:creator>
  <cp:lastModifiedBy>YWB</cp:lastModifiedBy>
  <dcterms:modified xsi:type="dcterms:W3CDTF">2026-09-30T02:17:52Z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