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70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bookmarkStart w:id="0" w:name="_GoBack"/>
      <w:r>
        <w:rPr>
          <w:rFonts w:hint="eastAsia" w:eastAsia="方正小标宋简体" w:cs="方正小标宋简体"/>
          <w:color w:val="auto"/>
          <w:sz w:val="44"/>
          <w:szCs w:val="44"/>
          <w:highlight w:val="none"/>
          <w:lang w:eastAsia="zh-CN"/>
        </w:rPr>
        <w:t>佛冈县</w:t>
      </w:r>
      <w:r>
        <w:rPr>
          <w:rFonts w:hint="eastAsia" w:ascii="Times New Roman" w:hAnsi="Times New Roman" w:eastAsia="方正小标宋简体" w:cs="方正小标宋简体"/>
          <w:color w:val="auto"/>
          <w:sz w:val="44"/>
          <w:szCs w:val="44"/>
          <w:highlight w:val="none"/>
        </w:rPr>
        <w:t>安全帽产品质量监督抽查实施细则</w:t>
      </w:r>
    </w:p>
    <w:bookmarkEnd w:id="0"/>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1 抽样方法</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eastAsia"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eastAsia"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eastAsia"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每批次产品抽取2组样本，第1组用于检验，第2组用于备样。</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eastAsia"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普通型产品每组样本抽取样品14顶，其中7顶作为检验样品（第1组），7顶作为备用样品（第2组），普通型产品每组样本所需抽取样品数量见表1。</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rPr>
          <w:rFonts w:hint="default"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特殊型产品（具备特殊技术性能的产品）每组样本所需抽取样品数量见表2</w:t>
      </w:r>
      <w:r>
        <w:rPr>
          <w:rFonts w:hint="default" w:ascii="Times New Roman" w:hAnsi="Times New Roman" w:eastAsia="仿宋_GB2312" w:cs="仿宋_GB2312"/>
          <w:color w:val="auto"/>
          <w:sz w:val="32"/>
          <w:szCs w:val="40"/>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表1</w:t>
      </w: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rPr>
        <w:t>普通型产品每组样本所需抽取样品数量</w:t>
      </w:r>
    </w:p>
    <w:tbl>
      <w:tblPr>
        <w:tblStyle w:val="3"/>
        <w:tblW w:w="91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1998"/>
        <w:gridCol w:w="1706"/>
        <w:gridCol w:w="1859"/>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jc w:val="center"/>
        </w:trPr>
        <w:tc>
          <w:tcPr>
            <w:tcW w:w="18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产品类别</w:t>
            </w:r>
          </w:p>
        </w:tc>
        <w:tc>
          <w:tcPr>
            <w:tcW w:w="19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抽样产品名称</w:t>
            </w:r>
          </w:p>
        </w:tc>
        <w:tc>
          <w:tcPr>
            <w:tcW w:w="17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抽样总数量</w:t>
            </w:r>
          </w:p>
        </w:tc>
        <w:tc>
          <w:tcPr>
            <w:tcW w:w="18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第1组数量</w:t>
            </w:r>
          </w:p>
        </w:tc>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第2组数量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1862"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安全帽</w:t>
            </w:r>
          </w:p>
        </w:tc>
        <w:tc>
          <w:tcPr>
            <w:tcW w:w="1998"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安全帽</w:t>
            </w:r>
          </w:p>
        </w:tc>
        <w:tc>
          <w:tcPr>
            <w:tcW w:w="170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14顶</w:t>
            </w:r>
          </w:p>
        </w:tc>
        <w:tc>
          <w:tcPr>
            <w:tcW w:w="1859"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 7顶</w:t>
            </w:r>
          </w:p>
        </w:tc>
        <w:tc>
          <w:tcPr>
            <w:tcW w:w="1745"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 7顶</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表2</w:t>
      </w: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rPr>
        <w:t>特殊型产品每组样本所需抽取样品数量</w:t>
      </w:r>
    </w:p>
    <w:tbl>
      <w:tblPr>
        <w:tblStyle w:val="3"/>
        <w:tblW w:w="91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713"/>
        <w:gridCol w:w="1041"/>
        <w:gridCol w:w="951"/>
        <w:gridCol w:w="1054"/>
        <w:gridCol w:w="903"/>
        <w:gridCol w:w="1166"/>
        <w:gridCol w:w="964"/>
        <w:gridCol w:w="846"/>
        <w:gridCol w:w="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568" w:type="dxa"/>
            <w:vMerge w:val="restart"/>
            <w:tcBorders>
              <w:tl2br w:val="single" w:color="auto" w:sz="4" w:space="0"/>
            </w:tcBorders>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p>
        </w:tc>
        <w:tc>
          <w:tcPr>
            <w:tcW w:w="713" w:type="dxa"/>
            <w:vMerge w:val="restart"/>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组合</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种类</w:t>
            </w:r>
          </w:p>
        </w:tc>
        <w:tc>
          <w:tcPr>
            <w:tcW w:w="5115" w:type="dxa"/>
            <w:gridSpan w:val="5"/>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特殊技术性能</w:t>
            </w:r>
          </w:p>
        </w:tc>
        <w:tc>
          <w:tcPr>
            <w:tcW w:w="964" w:type="dxa"/>
            <w:vMerge w:val="restart"/>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抽样总数量（顶）</w:t>
            </w:r>
          </w:p>
        </w:tc>
        <w:tc>
          <w:tcPr>
            <w:tcW w:w="846" w:type="dxa"/>
            <w:vMerge w:val="restart"/>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第1组(检样)</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数量（顶）</w:t>
            </w:r>
          </w:p>
        </w:tc>
        <w:tc>
          <w:tcPr>
            <w:tcW w:w="964" w:type="dxa"/>
            <w:vMerge w:val="restart"/>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第2组(备样)</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数量</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1041" w:type="dxa"/>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防静电性能</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（A）</w:t>
            </w:r>
          </w:p>
        </w:tc>
        <w:tc>
          <w:tcPr>
            <w:tcW w:w="951" w:type="dxa"/>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电绝缘性能</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（JG）</w:t>
            </w:r>
          </w:p>
        </w:tc>
        <w:tc>
          <w:tcPr>
            <w:tcW w:w="1054" w:type="dxa"/>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侧向刚性</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（LD）</w:t>
            </w:r>
          </w:p>
        </w:tc>
        <w:tc>
          <w:tcPr>
            <w:tcW w:w="903" w:type="dxa"/>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阻燃性能</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（Z）</w:t>
            </w:r>
          </w:p>
        </w:tc>
        <w:tc>
          <w:tcPr>
            <w:tcW w:w="1166" w:type="dxa"/>
            <w:noWrap w:val="0"/>
            <w:vAlign w:val="center"/>
          </w:tcPr>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耐低温性能</w:t>
            </w:r>
          </w:p>
          <w:p>
            <w:pPr>
              <w:snapToGrid w:val="0"/>
              <w:spacing w:line="44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（-30℃）</w:t>
            </w:r>
          </w:p>
        </w:tc>
        <w:tc>
          <w:tcPr>
            <w:tcW w:w="964" w:type="dxa"/>
            <w:vMerge w:val="continue"/>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846"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964"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restart"/>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产</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品</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所</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具</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备</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的</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特</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殊</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技</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术</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性</w:t>
            </w:r>
          </w:p>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能</w:t>
            </w: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2</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3</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tcBorders>
              <w:bottom w:val="single" w:color="auto" w:sz="4" w:space="0"/>
            </w:tcBorders>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4</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14</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7</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5</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14</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7</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6</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7</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 w:hRule="atLeast"/>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10</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jc w:val="center"/>
        </w:trPr>
        <w:tc>
          <w:tcPr>
            <w:tcW w:w="568" w:type="dxa"/>
            <w:vMerge w:val="continue"/>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11</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12</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13</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14</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15</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17</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19</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18</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20</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21</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14</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7</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22</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8" w:type="dxa"/>
            <w:vMerge w:val="continue"/>
            <w:noWrap w:val="0"/>
            <w:vAlign w:val="center"/>
          </w:tcPr>
          <w:p>
            <w:pPr>
              <w:jc w:val="center"/>
              <w:rPr>
                <w:rFonts w:hint="eastAsia" w:ascii="Times New Roman" w:hAnsi="Times New Roman" w:eastAsia="仿宋_GB2312" w:cs="仿宋_GB2312"/>
                <w:color w:val="auto"/>
                <w:kern w:val="0"/>
                <w:sz w:val="21"/>
                <w:szCs w:val="21"/>
                <w:highlight w:val="none"/>
              </w:rPr>
            </w:pPr>
          </w:p>
        </w:tc>
        <w:tc>
          <w:tcPr>
            <w:tcW w:w="71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23</w:t>
            </w:r>
          </w:p>
        </w:tc>
        <w:tc>
          <w:tcPr>
            <w:tcW w:w="104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951"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w:t>
            </w:r>
          </w:p>
        </w:tc>
        <w:tc>
          <w:tcPr>
            <w:tcW w:w="105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03"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116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sym w:font="Wingdings" w:char="F06C"/>
            </w:r>
          </w:p>
        </w:tc>
        <w:tc>
          <w:tcPr>
            <w:tcW w:w="964" w:type="dxa"/>
            <w:noWrap w:val="0"/>
            <w:vAlign w:val="top"/>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16</w:t>
            </w:r>
          </w:p>
        </w:tc>
        <w:tc>
          <w:tcPr>
            <w:tcW w:w="846"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c>
          <w:tcPr>
            <w:tcW w:w="964" w:type="dxa"/>
            <w:noWrap w:val="0"/>
            <w:vAlign w:val="center"/>
          </w:tcPr>
          <w:p>
            <w:pPr>
              <w:snapToGrid w:val="0"/>
              <w:spacing w:line="44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8</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黑体" w:cs="Times New Roman"/>
          <w:color w:val="auto"/>
          <w:kern w:val="2"/>
          <w:sz w:val="32"/>
          <w:szCs w:val="32"/>
          <w:highlight w:val="none"/>
          <w:lang w:val="en-US" w:eastAsia="zh-CN" w:bidi="ar"/>
        </w:rPr>
      </w:pPr>
      <w:r>
        <w:rPr>
          <w:rFonts w:hint="default" w:ascii="Times New Roman" w:hAnsi="Times New Roman" w:eastAsia="黑体" w:cs="Times New Roman"/>
          <w:color w:val="auto"/>
          <w:kern w:val="2"/>
          <w:sz w:val="32"/>
          <w:szCs w:val="32"/>
          <w:highlight w:val="none"/>
          <w:lang w:val="en-US" w:eastAsia="zh-CN" w:bidi="ar"/>
        </w:rPr>
        <w:t>2 检验依据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安全帽产品主要检验项目及检验项目属性划分见表3。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表3</w:t>
      </w:r>
      <w:r>
        <w:rPr>
          <w:rFonts w:hint="eastAsia"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rPr>
        <w:t>安全帽产品主要检验项目及检验项目属性划分</w:t>
      </w:r>
    </w:p>
    <w:tbl>
      <w:tblPr>
        <w:tblStyle w:val="3"/>
        <w:tblW w:w="91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4320"/>
        <w:gridCol w:w="3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tblHeader/>
          <w:jc w:val="center"/>
        </w:trPr>
        <w:tc>
          <w:tcPr>
            <w:tcW w:w="9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39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color w:val="auto"/>
                <w:sz w:val="28"/>
                <w:szCs w:val="28"/>
                <w:highlight w:val="none"/>
              </w:rPr>
            </w:pPr>
            <w:r>
              <w:rPr>
                <w:rFonts w:hint="eastAsia" w:ascii="Times New Roman" w:hAnsi="Times New Roman" w:eastAsia="仿宋_GB2312" w:cs="仿宋_GB2312"/>
                <w:b w:val="0"/>
                <w:bCs w:val="0"/>
                <w:color w:val="auto"/>
                <w:sz w:val="28"/>
                <w:szCs w:val="28"/>
                <w:highlight w:val="none"/>
              </w:rPr>
              <w:t>1</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color w:val="auto"/>
                <w:sz w:val="28"/>
                <w:szCs w:val="28"/>
                <w:highlight w:val="none"/>
              </w:rPr>
            </w:pPr>
            <w:r>
              <w:rPr>
                <w:rFonts w:hint="eastAsia" w:ascii="Times New Roman" w:hAnsi="Times New Roman" w:eastAsia="仿宋_GB2312" w:cs="仿宋_GB2312"/>
                <w:b w:val="0"/>
                <w:bCs w:val="0"/>
                <w:color w:val="auto"/>
                <w:sz w:val="28"/>
                <w:szCs w:val="28"/>
                <w:highlight w:val="none"/>
              </w:rPr>
              <w:t>佩戴高度</w:t>
            </w:r>
          </w:p>
        </w:tc>
        <w:tc>
          <w:tcPr>
            <w:tcW w:w="392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color w:val="auto"/>
                <w:sz w:val="28"/>
                <w:szCs w:val="28"/>
                <w:highlight w:val="none"/>
                <w:lang w:bidi="ar"/>
              </w:rPr>
            </w:pPr>
            <w:r>
              <w:rPr>
                <w:rFonts w:hint="eastAsia" w:ascii="Times New Roman" w:hAnsi="Times New Roman" w:eastAsia="仿宋_GB2312" w:cs="仿宋_GB2312"/>
                <w:b w:val="0"/>
                <w:bCs w:val="0"/>
                <w:color w:val="auto"/>
                <w:sz w:val="28"/>
                <w:szCs w:val="28"/>
                <w:highlight w:val="none"/>
                <w:lang w:bidi="ar"/>
              </w:rPr>
              <w:t>GB 2811—2019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color w:val="auto"/>
                <w:kern w:val="2"/>
                <w:sz w:val="28"/>
                <w:szCs w:val="28"/>
                <w:highlight w:val="none"/>
                <w:lang w:val="en-US" w:eastAsia="zh-CN" w:bidi="ar-SA"/>
              </w:rPr>
            </w:pPr>
            <w:r>
              <w:rPr>
                <w:rFonts w:hint="eastAsia" w:ascii="Times New Roman" w:hAnsi="Times New Roman" w:eastAsia="仿宋_GB2312" w:cs="仿宋_GB2312"/>
                <w:b w:val="0"/>
                <w:bCs w:val="0"/>
                <w:color w:val="auto"/>
                <w:sz w:val="28"/>
                <w:szCs w:val="28"/>
                <w:highlight w:val="none"/>
              </w:rPr>
              <w:t>垂直间距</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3</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下颏带强度</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4</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冲击吸收性能（高温、低温、浸水）</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5</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耐穿刺性能（高温、低温、浸水）</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6</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防静电性能（适用于特殊型）</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7</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电绝缘性能（适用于特殊型）</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8</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侧向刚性（适用于特殊型）</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9</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阻燃性能（适用于特殊型）</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atLeast"/>
          <w:jc w:val="center"/>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10</w:t>
            </w:r>
          </w:p>
        </w:tc>
        <w:tc>
          <w:tcPr>
            <w:tcW w:w="43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耐低温性能（适用于特殊型）</w:t>
            </w:r>
          </w:p>
        </w:tc>
        <w:tc>
          <w:tcPr>
            <w:tcW w:w="3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color w:val="auto"/>
                <w:sz w:val="21"/>
                <w:szCs w:val="21"/>
                <w:highlight w:val="none"/>
              </w:rPr>
            </w:pP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default" w:ascii="Times New Roman" w:hAnsi="Times New Roman" w:eastAsia="仿宋_GB2312" w:cs="仿宋_GB2312"/>
          <w:color w:val="auto"/>
          <w:sz w:val="32"/>
          <w:szCs w:val="40"/>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黑体" w:cs="Times New Roman"/>
          <w:color w:val="auto"/>
          <w:kern w:val="2"/>
          <w:sz w:val="32"/>
          <w:szCs w:val="32"/>
          <w:highlight w:val="none"/>
          <w:lang w:val="en-US" w:eastAsia="zh-CN" w:bidi="ar"/>
        </w:rPr>
      </w:pPr>
      <w:r>
        <w:rPr>
          <w:rFonts w:hint="default" w:ascii="Times New Roman" w:hAnsi="Times New Roman" w:eastAsia="黑体" w:cs="Times New Roman"/>
          <w:color w:val="auto"/>
          <w:kern w:val="2"/>
          <w:sz w:val="32"/>
          <w:szCs w:val="32"/>
          <w:highlight w:val="none"/>
          <w:lang w:val="en-US" w:eastAsia="zh-CN" w:bidi="ar"/>
        </w:rPr>
        <w:t>3 判定规则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楷体_GB2312" w:cs="Times New Roman"/>
          <w:color w:val="auto"/>
          <w:sz w:val="32"/>
          <w:szCs w:val="32"/>
          <w:highlight w:val="none"/>
          <w:lang w:eastAsia="zh-CN"/>
        </w:rPr>
        <w:t>3.1 依据标准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 2811—2019《头部防护 安全帽》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default" w:ascii="Times New Roman" w:hAnsi="Times New Roman" w:eastAsia="仿宋_GB2312" w:cs="仿宋_GB2312"/>
          <w:color w:val="auto"/>
          <w:sz w:val="32"/>
          <w:szCs w:val="40"/>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楷体_GB2312" w:cs="Times New Roman"/>
          <w:color w:val="auto"/>
          <w:sz w:val="32"/>
          <w:szCs w:val="32"/>
          <w:highlight w:val="none"/>
          <w:lang w:eastAsia="zh-CN"/>
        </w:rPr>
        <w:t>3.2 判定原则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default" w:ascii="Times New Roman" w:hAnsi="Times New Roman" w:eastAsia="仿宋_GB2312" w:cs="仿宋_GB2312"/>
          <w:color w:val="auto"/>
          <w:sz w:val="32"/>
          <w:szCs w:val="40"/>
          <w:highlight w:val="none"/>
        </w:rPr>
        <w:t>经检验，检验项目全部合格，判定为被抽查产品</w:t>
      </w:r>
      <w:r>
        <w:rPr>
          <w:rFonts w:hint="eastAsia" w:ascii="Times New Roman" w:hAnsi="Times New Roman" w:eastAsia="仿宋_GB2312" w:cs="仿宋_GB2312"/>
          <w:color w:val="auto"/>
          <w:sz w:val="32"/>
          <w:szCs w:val="40"/>
          <w:highlight w:val="none"/>
        </w:rPr>
        <w:t>所检项目未发现不</w:t>
      </w:r>
      <w:r>
        <w:rPr>
          <w:rFonts w:hint="default" w:ascii="Times New Roman" w:hAnsi="Times New Roman" w:eastAsia="仿宋_GB2312" w:cs="仿宋_GB2312"/>
          <w:color w:val="auto"/>
          <w:sz w:val="32"/>
          <w:szCs w:val="40"/>
          <w:highlight w:val="none"/>
        </w:rPr>
        <w:t>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default" w:ascii="Times New Roman" w:hAnsi="Times New Roman" w:eastAsia="仿宋_GB2312" w:cs="仿宋_GB2312"/>
          <w:color w:val="auto"/>
          <w:sz w:val="32"/>
          <w:szCs w:val="40"/>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default" w:ascii="Times New Roman" w:hAnsi="Times New Roman" w:eastAsia="仿宋_GB2312" w:cs="仿宋_GB2312"/>
          <w:color w:val="auto"/>
          <w:sz w:val="32"/>
          <w:szCs w:val="40"/>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default" w:ascii="Times New Roman" w:hAnsi="Times New Roman" w:eastAsia="仿宋_GB2312" w:cs="仿宋_GB2312"/>
          <w:color w:val="auto"/>
          <w:sz w:val="32"/>
          <w:szCs w:val="40"/>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default" w:ascii="Times New Roman" w:hAnsi="Times New Roman" w:eastAsia="仿宋_GB2312" w:cs="仿宋_GB2312"/>
          <w:color w:val="auto"/>
          <w:sz w:val="32"/>
          <w:szCs w:val="40"/>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仿宋_GB2312"/>
          <w:color w:val="auto"/>
          <w:sz w:val="32"/>
          <w:szCs w:val="40"/>
          <w:highlight w:val="none"/>
        </w:rPr>
      </w:pPr>
      <w:r>
        <w:rPr>
          <w:rFonts w:hint="default" w:ascii="Times New Roman" w:hAnsi="Times New Roman" w:eastAsia="仿宋_GB2312" w:cs="仿宋_GB2312"/>
          <w:color w:val="auto"/>
          <w:sz w:val="32"/>
          <w:szCs w:val="40"/>
          <w:highlight w:val="none"/>
        </w:rPr>
        <w:t>若被检产品明示的质量要求缺少本细则中检验项目依据的推荐性标准要求时，该项目不参与判定。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8917AE"/>
    <w:rsid w:val="0BB73F9B"/>
    <w:rsid w:val="274C29F2"/>
    <w:rsid w:val="288917AE"/>
    <w:rsid w:val="2C2A6820"/>
    <w:rsid w:val="351F1413"/>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2026-09-08T06:08:00Z</dcterms:created>
  <dc:creator>YWB</dc:creator>
  <cp:lastModifiedBy>YWB</cp:lastModifiedBy>
  <dcterms:modified xsi:type="dcterms:W3CDTF">2026-09-30T02:11:15Z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