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120" w:beforeAutospacing="0" w:after="120" w:afterAutospacing="0" w:line="600" w:lineRule="exact"/>
        <w:ind w:left="0" w:right="0" w:firstLine="0"/>
        <w:jc w:val="left"/>
        <w:textAlignment w:val="auto"/>
        <w:rPr>
          <w:rFonts w:hint="eastAsia" w:ascii="黑体" w:hAnsi="黑体" w:eastAsia="黑体" w:cs="黑体"/>
          <w:b w:val="0"/>
          <w:bCs w:val="0"/>
          <w:i w:val="0"/>
          <w:iCs w:val="0"/>
          <w:caps w:val="0"/>
          <w:color w:val="333333"/>
          <w:spacing w:val="8"/>
          <w:sz w:val="32"/>
          <w:szCs w:val="32"/>
          <w:shd w:val="clear" w:color="auto" w:fill="FFFFFF"/>
          <w:lang w:val="en-US" w:eastAsia="zh-CN"/>
        </w:rPr>
      </w:pPr>
      <w:r>
        <w:rPr>
          <w:rFonts w:hint="eastAsia" w:ascii="黑体" w:hAnsi="黑体" w:eastAsia="黑体" w:cs="黑体"/>
          <w:b w:val="0"/>
          <w:bCs w:val="0"/>
          <w:i w:val="0"/>
          <w:iCs w:val="0"/>
          <w:caps w:val="0"/>
          <w:color w:val="333333"/>
          <w:spacing w:val="8"/>
          <w:sz w:val="32"/>
          <w:szCs w:val="32"/>
          <w:shd w:val="clear" w:color="auto" w:fill="FFFFFF"/>
          <w:lang w:val="en-US" w:eastAsia="zh-CN"/>
        </w:rPr>
        <w:t>附件一</w:t>
      </w:r>
    </w:p>
    <w:p>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清远市佛冈县汤塘镇全域推进乡村振兴</w:t>
      </w:r>
    </w:p>
    <w:p>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综合整治项目之汤塘镇高岭村、联和村</w:t>
      </w:r>
    </w:p>
    <w:p>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典型村建设项目招标代理</w:t>
      </w:r>
    </w:p>
    <w:p>
      <w:pPr>
        <w:keepNext w:val="0"/>
        <w:keepLines w:val="0"/>
        <w:pageBreakBefore w:val="0"/>
        <w:widowControl w:val="0"/>
        <w:shd w:val="clear"/>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方正小标宋_GBK" w:hAnsi="方正小标宋_GBK" w:eastAsia="方正小标宋_GBK" w:cs="方正小标宋_GBK"/>
          <w:color w:val="auto"/>
          <w:kern w:val="0"/>
          <w:sz w:val="44"/>
          <w:szCs w:val="44"/>
          <w:highlight w:val="none"/>
          <w:lang w:val="en-US" w:eastAsia="zh-CN" w:bidi="ar-SA"/>
        </w:rPr>
      </w:pPr>
      <w:r>
        <w:rPr>
          <w:rFonts w:hint="eastAsia" w:ascii="方正小标宋_GBK" w:hAnsi="方正小标宋_GBK" w:eastAsia="方正小标宋_GBK" w:cs="方正小标宋_GBK"/>
          <w:b w:val="0"/>
          <w:bCs w:val="0"/>
          <w:sz w:val="44"/>
          <w:szCs w:val="44"/>
          <w:lang w:val="en-US" w:eastAsia="zh-CN"/>
        </w:rPr>
        <w:t>的采购公告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right="0"/>
        <w:jc w:val="left"/>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各潜在投标人：</w:t>
      </w:r>
    </w:p>
    <w:p>
      <w:pPr>
        <w:pStyle w:val="2"/>
        <w:keepNext w:val="0"/>
        <w:keepLines w:val="0"/>
        <w:pageBreakBefore w:val="0"/>
        <w:shd w:val="clear"/>
        <w:kinsoku/>
        <w:wordWrap/>
        <w:overflowPunct/>
        <w:topLinePunct w:val="0"/>
        <w:autoSpaceDE/>
        <w:autoSpaceDN/>
        <w:bidi w:val="0"/>
        <w:adjustRightInd/>
        <w:snapToGrid/>
        <w:spacing w:beforeAutospacing="0" w:line="560" w:lineRule="exact"/>
        <w:ind w:left="0" w:lef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本询</w:t>
      </w:r>
      <w:bookmarkStart w:id="0" w:name="_GoBack"/>
      <w:r>
        <w:rPr>
          <w:rFonts w:hint="eastAsia" w:ascii="仿宋_GB2312" w:hAnsi="仿宋_GB2312" w:eastAsia="仿宋_GB2312" w:cs="仿宋_GB2312"/>
          <w:color w:val="auto"/>
          <w:kern w:val="2"/>
          <w:sz w:val="32"/>
          <w:szCs w:val="32"/>
          <w:lang w:val="en-US" w:eastAsia="zh-CN" w:bidi="ar-SA"/>
        </w:rPr>
        <w:t>价为项目</w:t>
      </w:r>
      <w:bookmarkEnd w:id="0"/>
      <w:r>
        <w:rPr>
          <w:rFonts w:hint="eastAsia" w:ascii="仿宋_GB2312" w:hAnsi="仿宋_GB2312" w:eastAsia="仿宋_GB2312" w:cs="仿宋_GB2312"/>
          <w:kern w:val="2"/>
          <w:sz w:val="32"/>
          <w:szCs w:val="32"/>
          <w:lang w:val="en-US" w:eastAsia="zh-CN" w:bidi="ar-SA"/>
        </w:rPr>
        <w:t>清远市佛冈县汤塘镇全域推进乡村振兴综合整治项目之汤塘镇高岭村、联和村典型村建设项目招标代理，建设单位为佛冈县汤塘镇人民政府。为了保障项目的顺利实施，现决定以询价的方式邀请符合条件的服务单位参加。具体项目要求如下：</w:t>
      </w:r>
    </w:p>
    <w:p>
      <w:pPr>
        <w:rPr>
          <w:rFonts w:hint="eastAsia"/>
          <w:lang w:val="en-US" w:eastAsia="zh-CN"/>
        </w:rPr>
      </w:pPr>
    </w:p>
    <w:tbl>
      <w:tblPr>
        <w:tblStyle w:val="6"/>
        <w:tblW w:w="9021" w:type="dxa"/>
        <w:jc w:val="center"/>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shd w:val="clear" w:color="auto" w:fill="auto"/>
        <w:tblLayout w:type="fixed"/>
        <w:tblCellMar>
          <w:top w:w="0" w:type="dxa"/>
          <w:left w:w="0" w:type="dxa"/>
          <w:bottom w:w="0" w:type="dxa"/>
          <w:right w:w="0" w:type="dxa"/>
        </w:tblCellMar>
      </w:tblPr>
      <w:tblGrid>
        <w:gridCol w:w="1864"/>
        <w:gridCol w:w="7157"/>
      </w:tblGrid>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shd w:val="clear" w:color="auto" w:fill="auto"/>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i w:val="0"/>
                <w:iCs w:val="0"/>
                <w:caps w:val="0"/>
                <w:color w:val="auto"/>
                <w:spacing w:val="8"/>
                <w:sz w:val="32"/>
                <w:szCs w:val="32"/>
                <w:lang w:val="en-US" w:eastAsia="zh-CN"/>
              </w:rPr>
              <w:t>建设单位</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佛冈县汤塘镇人民政府</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项目名称</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olor w:val="auto"/>
                <w:sz w:val="32"/>
                <w:szCs w:val="32"/>
                <w:u w:val="none"/>
                <w:lang w:val="en-US"/>
              </w:rPr>
            </w:pPr>
            <w:r>
              <w:rPr>
                <w:rFonts w:hint="eastAsia" w:ascii="仿宋_GB2312" w:hAnsi="仿宋_GB2312" w:eastAsia="仿宋_GB2312" w:cs="仿宋_GB2312"/>
                <w:kern w:val="2"/>
                <w:sz w:val="32"/>
                <w:szCs w:val="32"/>
                <w:lang w:val="en-US" w:eastAsia="zh-CN" w:bidi="ar-SA"/>
              </w:rPr>
              <w:t>清远市佛冈县汤塘镇全域推进乡村振兴综合整治项目之汤塘镇高岭村、联和村典型村建设项目</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trHeight w:val="90" w:hRule="atLeast"/>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项目规模</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keepNext w:val="0"/>
              <w:keepLines w:val="0"/>
              <w:pageBreakBefore w:val="0"/>
              <w:widowControl/>
              <w:shd w:val="clear"/>
              <w:kinsoku/>
              <w:wordWrap/>
              <w:overflowPunct/>
              <w:topLinePunct w:val="0"/>
              <w:autoSpaceDE/>
              <w:autoSpaceDN/>
              <w:bidi w:val="0"/>
              <w:adjustRightInd/>
              <w:snapToGrid/>
              <w:spacing w:beforeLines="0" w:afterLines="0" w:line="580" w:lineRule="exact"/>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highlight w:val="none"/>
                <w:lang w:val="en-US" w:eastAsia="zh-CN" w:bidi="ar-SA"/>
              </w:rPr>
              <w:t>项目建安工程费约683.44万元，</w:t>
            </w:r>
            <w:r>
              <w:rPr>
                <w:rFonts w:hint="eastAsia" w:ascii="仿宋_GB2312" w:hAnsi="仿宋_GB2312" w:eastAsia="仿宋_GB2312" w:cs="仿宋_GB2312"/>
                <w:kern w:val="2"/>
                <w:sz w:val="32"/>
                <w:szCs w:val="32"/>
                <w:lang w:val="en-US" w:eastAsia="zh-CN" w:bidi="ar-SA"/>
              </w:rPr>
              <w:t>涉及汤塘镇高岭村、联和村2个行政村。主要建设内容包含：</w:t>
            </w:r>
            <w:r>
              <w:rPr>
                <w:rFonts w:hint="eastAsia" w:ascii="仿宋_GB2312" w:hAnsi="仿宋_GB2312" w:eastAsia="仿宋_GB2312" w:cs="仿宋_GB2312"/>
                <w:sz w:val="32"/>
                <w:szCs w:val="32"/>
              </w:rPr>
              <w:t>开展汤塘镇高岭村、联和村典型村培育工作，实施三线整治，分类垃圾收集点提质改造，环境风貌整治及重要界面农房风貌提升，四小园建设及绿美提升，主要道路整治，文体设施提升等内容。</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trHeight w:val="90" w:hRule="atLeast"/>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b w:val="0"/>
                <w:bCs w:val="0"/>
                <w:i w:val="0"/>
                <w:iCs w:val="0"/>
                <w:caps w:val="0"/>
                <w:color w:val="auto"/>
                <w:spacing w:val="8"/>
                <w:sz w:val="32"/>
                <w:szCs w:val="32"/>
                <w:highlight w:val="none"/>
                <w:lang w:val="en-US" w:eastAsia="zh-CN"/>
              </w:rPr>
            </w:pPr>
            <w:r>
              <w:rPr>
                <w:rFonts w:hint="eastAsia" w:ascii="仿宋_GB2312" w:hAnsi="仿宋_GB2312" w:eastAsia="仿宋_GB2312" w:cs="仿宋_GB2312"/>
                <w:b w:val="0"/>
                <w:bCs w:val="0"/>
                <w:i w:val="0"/>
                <w:iCs w:val="0"/>
                <w:caps w:val="0"/>
                <w:color w:val="auto"/>
                <w:spacing w:val="8"/>
                <w:sz w:val="32"/>
                <w:szCs w:val="32"/>
                <w:highlight w:val="none"/>
                <w:lang w:val="en-US" w:eastAsia="zh-CN"/>
              </w:rPr>
              <w:t>资金来源</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b w:val="0"/>
                <w:bCs w:val="0"/>
                <w:i w:val="0"/>
                <w:iCs w:val="0"/>
                <w:caps w:val="0"/>
                <w:color w:val="auto"/>
                <w:spacing w:val="8"/>
                <w:sz w:val="32"/>
                <w:szCs w:val="32"/>
                <w:highlight w:val="none"/>
                <w:lang w:val="en-US" w:eastAsia="zh-CN"/>
              </w:rPr>
            </w:pPr>
            <w:r>
              <w:rPr>
                <w:rFonts w:hint="eastAsia" w:ascii="仿宋_GB2312" w:hAnsi="仿宋_GB2312" w:eastAsia="仿宋_GB2312" w:cs="仿宋_GB2312"/>
                <w:sz w:val="32"/>
                <w:szCs w:val="32"/>
              </w:rPr>
              <w:t>专项债</w:t>
            </w:r>
            <w:r>
              <w:rPr>
                <w:rFonts w:hint="eastAsia" w:ascii="仿宋_GB2312" w:hAnsi="仿宋_GB2312" w:eastAsia="仿宋_GB2312" w:cs="仿宋_GB2312"/>
                <w:sz w:val="32"/>
                <w:szCs w:val="32"/>
                <w:lang w:val="en-US" w:eastAsia="zh-CN"/>
              </w:rPr>
              <w:t>等财政资金</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服务类型</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服务采购</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服务金额</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按相关法律法规</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i w:val="0"/>
                <w:iCs w:val="0"/>
                <w:caps w:val="0"/>
                <w:color w:val="auto"/>
                <w:spacing w:val="8"/>
                <w:sz w:val="32"/>
                <w:szCs w:val="32"/>
                <w:highlight w:val="none"/>
                <w:lang w:val="en-US" w:eastAsia="zh-CN"/>
              </w:rPr>
              <w:t>合同支付方式</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keepNext w:val="0"/>
              <w:keepLines w:val="0"/>
              <w:pageBreakBefore w:val="0"/>
              <w:widowControl/>
              <w:numPr>
                <w:ilvl w:val="0"/>
                <w:numId w:val="0"/>
              </w:numPr>
              <w:shd w:val="clear"/>
              <w:kinsoku/>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在招标完成后支付服务费用，服务费用向中标单位收取。</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服务内容</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清远市佛冈县汤塘镇全域推进乡村振兴综合整治项目之汤塘镇高岭村、联和村典型村建设项目招标代理服务</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资质要求</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相对应的服务资质（不做具体要求）</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trHeight w:val="90" w:hRule="atLeast"/>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选取</w:t>
            </w:r>
            <w:r>
              <w:rPr>
                <w:rFonts w:hint="eastAsia" w:ascii="仿宋_GB2312" w:hAnsi="仿宋_GB2312" w:eastAsia="仿宋_GB2312" w:cs="仿宋_GB2312"/>
                <w:b w:val="0"/>
                <w:bCs w:val="0"/>
                <w:i w:val="0"/>
                <w:iCs w:val="0"/>
                <w:caps w:val="0"/>
                <w:color w:val="auto"/>
                <w:spacing w:val="8"/>
                <w:sz w:val="32"/>
                <w:szCs w:val="32"/>
                <w:lang w:val="en-US" w:eastAsia="zh-CN"/>
              </w:rPr>
              <w:t>中标单位</w:t>
            </w:r>
            <w:r>
              <w:rPr>
                <w:rFonts w:hint="eastAsia" w:ascii="仿宋_GB2312" w:hAnsi="仿宋_GB2312" w:eastAsia="仿宋_GB2312" w:cs="仿宋_GB2312"/>
                <w:b w:val="0"/>
                <w:bCs w:val="0"/>
                <w:i w:val="0"/>
                <w:iCs w:val="0"/>
                <w:caps w:val="0"/>
                <w:color w:val="auto"/>
                <w:spacing w:val="8"/>
                <w:sz w:val="32"/>
                <w:szCs w:val="32"/>
              </w:rPr>
              <w:t>方式</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经各方公司报价后，由镇领导班子会议审议后确认中标单位</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i w:val="0"/>
                <w:iCs w:val="0"/>
                <w:caps w:val="0"/>
                <w:color w:val="auto"/>
                <w:spacing w:val="8"/>
                <w:sz w:val="32"/>
                <w:szCs w:val="32"/>
              </w:rPr>
              <w:t>报名</w:t>
            </w:r>
            <w:r>
              <w:rPr>
                <w:rFonts w:hint="eastAsia" w:ascii="仿宋_GB2312" w:hAnsi="仿宋_GB2312" w:eastAsia="仿宋_GB2312" w:cs="仿宋_GB2312"/>
                <w:b w:val="0"/>
                <w:bCs w:val="0"/>
                <w:i w:val="0"/>
                <w:iCs w:val="0"/>
                <w:caps w:val="0"/>
                <w:color w:val="auto"/>
                <w:spacing w:val="8"/>
                <w:sz w:val="32"/>
                <w:szCs w:val="32"/>
                <w:lang w:val="en-US" w:eastAsia="zh-CN"/>
              </w:rPr>
              <w:t>方式</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不限制报名方式</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报名地点</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佛冈县汤塘镇人民政府</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trHeight w:val="769" w:hRule="atLeast"/>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b w:val="0"/>
                <w:bCs w:val="0"/>
                <w:i w:val="0"/>
                <w:iCs w:val="0"/>
                <w:caps w:val="0"/>
                <w:color w:val="auto"/>
                <w:spacing w:val="8"/>
                <w:sz w:val="32"/>
                <w:szCs w:val="32"/>
                <w:lang w:val="en-US" w:eastAsia="zh-CN"/>
              </w:rPr>
            </w:pPr>
            <w:r>
              <w:rPr>
                <w:rFonts w:hint="eastAsia" w:ascii="仿宋_GB2312" w:hAnsi="仿宋_GB2312" w:eastAsia="仿宋_GB2312" w:cs="仿宋_GB2312"/>
                <w:b w:val="0"/>
                <w:bCs w:val="0"/>
                <w:i w:val="0"/>
                <w:iCs w:val="0"/>
                <w:caps w:val="0"/>
                <w:color w:val="auto"/>
                <w:spacing w:val="8"/>
                <w:sz w:val="32"/>
                <w:szCs w:val="32"/>
                <w:lang w:val="en-US" w:eastAsia="zh-CN"/>
              </w:rPr>
              <w:t>报名截止时间</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公告时间的后3个工作日内</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业主咨询电话</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eastAsia="zh-CN"/>
              </w:rPr>
              <w:t>刘先生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0763-</w:t>
            </w:r>
            <w:r>
              <w:rPr>
                <w:rFonts w:hint="eastAsia" w:ascii="仿宋_GB2312" w:hAnsi="仿宋_GB2312" w:eastAsia="仿宋_GB2312" w:cs="仿宋_GB2312"/>
                <w:sz w:val="32"/>
                <w:szCs w:val="32"/>
                <w:lang w:val="en-US" w:eastAsia="zh-CN"/>
              </w:rPr>
              <w:t>4636296</w:t>
            </w:r>
            <w:r>
              <w:rPr>
                <w:rFonts w:hint="eastAsia" w:ascii="仿宋_GB2312" w:hAnsi="仿宋_GB2312" w:eastAsia="仿宋_GB2312" w:cs="仿宋_GB2312"/>
                <w:kern w:val="2"/>
                <w:sz w:val="32"/>
                <w:szCs w:val="32"/>
                <w:lang w:val="en-US" w:eastAsia="zh-CN" w:bidi="ar-SA"/>
              </w:rPr>
              <w:t>（关于服务内容、时限要求，服务金额和政策法规等相关内容的咨询。）</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b w:val="0"/>
                <w:bCs w:val="0"/>
                <w:i w:val="0"/>
                <w:iCs w:val="0"/>
                <w:caps w:val="0"/>
                <w:color w:val="auto"/>
                <w:spacing w:val="8"/>
                <w:sz w:val="32"/>
                <w:szCs w:val="32"/>
                <w:highlight w:val="none"/>
                <w:lang w:val="en-US" w:eastAsia="zh-CN"/>
              </w:rPr>
            </w:pPr>
            <w:r>
              <w:rPr>
                <w:rFonts w:hint="eastAsia" w:ascii="仿宋_GB2312" w:hAnsi="仿宋_GB2312" w:eastAsia="仿宋_GB2312" w:cs="仿宋_GB2312"/>
                <w:b w:val="0"/>
                <w:bCs w:val="0"/>
                <w:i w:val="0"/>
                <w:iCs w:val="0"/>
                <w:caps w:val="0"/>
                <w:color w:val="auto"/>
                <w:spacing w:val="8"/>
                <w:sz w:val="32"/>
                <w:szCs w:val="32"/>
                <w:highlight w:val="none"/>
                <w:lang w:val="en-US" w:eastAsia="zh-CN"/>
              </w:rPr>
              <w:t>报名所需资料</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公司营业执照复印件（必要）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报价表（必要，格式不限）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法定代表人证明书、授权委托书及法人、授权人身份证复印件（必要）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中国政府采购网广东分网备案信息及清远市建设行业市场监管和诚信管理系统备案信息（必要）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近年来相关招标代理服务案例（必要）</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8"/>
                <w:sz w:val="32"/>
                <w:szCs w:val="32"/>
              </w:rPr>
              <w:t>监督电话</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0763-4721122（社会监督与反映。）</w:t>
            </w:r>
          </w:p>
        </w:tc>
      </w:tr>
      <w:tr>
        <w:tblPrEx>
          <w:tblBorders>
            <w:top w:val="single" w:color="DDDDDD" w:sz="6" w:space="0"/>
            <w:left w:val="single" w:color="DDDDDD" w:sz="6" w:space="0"/>
            <w:bottom w:val="single" w:color="DDDDDD" w:sz="6" w:space="0"/>
            <w:right w:val="single" w:color="DDDDDD" w:sz="6" w:space="0"/>
            <w:insideH w:val="single" w:color="DDDDDD" w:sz="6" w:space="0"/>
            <w:insideV w:val="single" w:color="DDDDDD" w:sz="6" w:space="0"/>
          </w:tblBorders>
          <w:tblCellMar>
            <w:top w:w="0" w:type="dxa"/>
            <w:left w:w="0" w:type="dxa"/>
            <w:bottom w:w="0" w:type="dxa"/>
            <w:right w:w="0" w:type="dxa"/>
          </w:tblCellMar>
        </w:tblPrEx>
        <w:trPr>
          <w:jc w:val="center"/>
        </w:trPr>
        <w:tc>
          <w:tcPr>
            <w:tcW w:w="186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i w:val="0"/>
                <w:iCs w:val="0"/>
                <w:caps w:val="0"/>
                <w:color w:val="auto"/>
                <w:spacing w:val="8"/>
                <w:sz w:val="32"/>
                <w:szCs w:val="32"/>
                <w:highlight w:val="none"/>
              </w:rPr>
              <w:t>备注</w:t>
            </w:r>
          </w:p>
        </w:tc>
        <w:tc>
          <w:tcPr>
            <w:tcW w:w="715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auto"/>
            <w:noWrap w:val="0"/>
            <w:tcMar>
              <w:left w:w="105" w:type="dxa"/>
              <w:right w:w="105" w:type="dxa"/>
            </w:tcMar>
            <w:vAlign w:val="center"/>
          </w:tcPr>
          <w:p>
            <w:pPr>
              <w:keepNext w:val="0"/>
              <w:keepLines w:val="0"/>
              <w:pageBreakBefore w:val="0"/>
              <w:widowControl/>
              <w:suppressLineNumbers w:val="0"/>
              <w:shd w:val="clear"/>
              <w:kinsoku/>
              <w:wordWrap w:val="0"/>
              <w:overflowPunct/>
              <w:topLinePunct w:val="0"/>
              <w:autoSpaceDE/>
              <w:autoSpaceDN/>
              <w:bidi w:val="0"/>
              <w:adjustRightInd/>
              <w:snapToGrid/>
              <w:spacing w:before="0" w:beforeAutospacing="0" w:after="0" w:afterAutospacing="0" w:line="580" w:lineRule="exact"/>
              <w:ind w:left="0" w:right="0" w:firstLine="0"/>
              <w:jc w:val="both"/>
              <w:textAlignment w:val="auto"/>
              <w:rPr>
                <w:rFonts w:hint="eastAsia" w:ascii="仿宋_GB2312" w:hAnsi="仿宋_GB2312" w:eastAsia="仿宋_GB2312" w:cs="仿宋_GB2312"/>
                <w:b w:val="0"/>
                <w:bCs w:val="0"/>
                <w:i w:val="0"/>
                <w:iCs w:val="0"/>
                <w:caps w:val="0"/>
                <w:color w:val="auto"/>
                <w:spacing w:val="8"/>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报价需按照《佛冈县人民政府办公室关于印发建设工程费用支付参考标准的通知》进行下浮。</w:t>
            </w:r>
          </w:p>
        </w:tc>
      </w:tr>
    </w:tbl>
    <w:p>
      <w:pPr>
        <w:keepNext w:val="0"/>
        <w:keepLines w:val="0"/>
        <w:pageBreakBefore w:val="0"/>
        <w:shd w:val="clear"/>
        <w:kinsoku/>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color w:val="auto"/>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480" w:firstLineChars="140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480" w:firstLineChars="140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480" w:firstLineChars="140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480" w:firstLineChars="14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佛冈县汤塘镇人民政府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800" w:firstLineChars="15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2026年8月7日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left="0" w:right="0" w:firstLine="4800" w:firstLineChars="150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right="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right="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right="0"/>
        <w:jc w:val="both"/>
        <w:textAlignment w:val="auto"/>
        <w:rPr>
          <w:rFonts w:hint="eastAsia" w:ascii="仿宋_GB2312" w:hAnsi="仿宋_GB2312" w:eastAsia="仿宋_GB2312" w:cs="仿宋_GB2312"/>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spacing w:before="0" w:beforeAutospacing="0" w:after="0" w:afterAutospacing="0" w:line="560" w:lineRule="exact"/>
        <w:ind w:right="0"/>
        <w:jc w:val="both"/>
        <w:textAlignment w:val="auto"/>
        <w:rPr>
          <w:rFonts w:hint="eastAsia" w:ascii="仿宋_GB2312" w:hAnsi="仿宋_GB2312" w:eastAsia="仿宋_GB2312" w:cs="仿宋_GB2312"/>
          <w:kern w:val="2"/>
          <w:sz w:val="32"/>
          <w:szCs w:val="32"/>
          <w:lang w:val="en-US" w:eastAsia="zh-CN" w:bidi="ar-SA"/>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p>
    <w:p>
      <w:pPr>
        <w:pStyle w:val="9"/>
        <w:keepNext w:val="0"/>
        <w:keepLines w:val="0"/>
        <w:pageBreakBefore w:val="0"/>
        <w:shd w:val="clear"/>
        <w:kinsoku/>
        <w:overflowPunct/>
        <w:topLinePunct w:val="0"/>
        <w:autoSpaceDE/>
        <w:autoSpaceDN/>
        <w:bidi w:val="0"/>
        <w:spacing w:line="560" w:lineRule="exact"/>
        <w:jc w:val="left"/>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sz w:val="32"/>
          <w:szCs w:val="32"/>
          <w:lang w:val="en-US" w:eastAsia="zh-CN"/>
        </w:rPr>
        <w:t>附件二</w:t>
      </w:r>
      <w:r>
        <w:rPr>
          <w:rFonts w:hint="eastAsia" w:ascii="黑体" w:hAnsi="黑体" w:eastAsia="黑体" w:cs="黑体"/>
          <w:b w:val="0"/>
          <w:bCs/>
          <w:sz w:val="32"/>
          <w:szCs w:val="32"/>
        </w:rPr>
        <w:t xml:space="preserve"> </w:t>
      </w:r>
      <w:r>
        <w:rPr>
          <w:rFonts w:hint="eastAsia" w:ascii="仿宋_GB2312" w:hAnsi="仿宋_GB2312" w:eastAsia="仿宋_GB2312" w:cs="仿宋_GB2312"/>
          <w:sz w:val="32"/>
          <w:szCs w:val="32"/>
          <w:lang w:val="en-US" w:eastAsia="zh-CN"/>
        </w:rPr>
        <w:t xml:space="preserve">    </w:t>
      </w:r>
    </w:p>
    <w:p>
      <w:pPr>
        <w:pStyle w:val="9"/>
        <w:keepNext w:val="0"/>
        <w:keepLines w:val="0"/>
        <w:pageBreakBefore w:val="0"/>
        <w:shd w:val="clear"/>
        <w:kinsoku/>
        <w:overflowPunct/>
        <w:topLinePunct w:val="0"/>
        <w:autoSpaceDE/>
        <w:autoSpaceDN/>
        <w:bidi w:val="0"/>
        <w:spacing w:line="560" w:lineRule="exact"/>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报 价 表</w:t>
      </w:r>
    </w:p>
    <w:p>
      <w:pPr>
        <w:pStyle w:val="9"/>
        <w:keepNext w:val="0"/>
        <w:keepLines w:val="0"/>
        <w:pageBreakBefore w:val="0"/>
        <w:widowControl w:val="0"/>
        <w:shd w:val="clear"/>
        <w:kinsoku/>
        <w:wordWrap/>
        <w:overflowPunct/>
        <w:topLinePunct w:val="0"/>
        <w:autoSpaceDE/>
        <w:autoSpaceDN/>
        <w:bidi w:val="0"/>
        <w:adjustRightInd/>
        <w:snapToGrid/>
        <w:spacing w:beforeLines="50" w:line="560" w:lineRule="exact"/>
        <w:jc w:val="left"/>
        <w:textAlignment w:val="auto"/>
        <w:outlineLvl w:val="9"/>
        <w:rPr>
          <w:rFonts w:hint="eastAsia" w:ascii="仿宋_GB2312" w:hAnsi="仿宋_GB2312" w:eastAsia="仿宋_GB2312" w:cs="仿宋_GB2312"/>
          <w:b w:val="0"/>
          <w:sz w:val="32"/>
          <w:szCs w:val="32"/>
        </w:rPr>
      </w:pPr>
      <w:r>
        <w:rPr>
          <w:rFonts w:hint="eastAsia" w:ascii="仿宋_GB2312" w:hAnsi="仿宋_GB2312" w:eastAsia="仿宋_GB2312" w:cs="仿宋_GB2312"/>
          <w:b w:val="0"/>
          <w:sz w:val="32"/>
          <w:szCs w:val="32"/>
        </w:rPr>
        <w:t>致：佛冈县</w:t>
      </w:r>
      <w:r>
        <w:rPr>
          <w:rFonts w:hint="eastAsia" w:ascii="仿宋_GB2312" w:hAnsi="仿宋_GB2312" w:eastAsia="仿宋_GB2312" w:cs="仿宋_GB2312"/>
          <w:b w:val="0"/>
          <w:sz w:val="32"/>
          <w:szCs w:val="32"/>
          <w:lang w:eastAsia="zh-CN"/>
        </w:rPr>
        <w:t>汤塘</w:t>
      </w:r>
      <w:r>
        <w:rPr>
          <w:rFonts w:hint="eastAsia" w:ascii="仿宋_GB2312" w:hAnsi="仿宋_GB2312" w:eastAsia="仿宋_GB2312" w:cs="仿宋_GB2312"/>
          <w:b w:val="0"/>
          <w:sz w:val="32"/>
          <w:szCs w:val="32"/>
        </w:rPr>
        <w:t>镇人民政府</w:t>
      </w:r>
    </w:p>
    <w:p>
      <w:pPr>
        <w:pStyle w:val="9"/>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kern w:val="2"/>
          <w:sz w:val="32"/>
          <w:szCs w:val="32"/>
          <w:lang w:val="en-US" w:eastAsia="zh-CN" w:bidi="ar-SA"/>
        </w:rPr>
        <w:t>清远市佛冈县汤塘镇全域推进乡村振兴综合整治项目之汤塘镇高岭村、联和村典型村建设项目</w:t>
      </w:r>
      <w:r>
        <w:rPr>
          <w:rFonts w:hint="eastAsia" w:ascii="仿宋_GB2312" w:hAnsi="仿宋_GB2312" w:eastAsia="仿宋_GB2312" w:cs="仿宋_GB2312"/>
          <w:b w:val="0"/>
          <w:bCs/>
          <w:sz w:val="32"/>
          <w:szCs w:val="32"/>
        </w:rPr>
        <w:t>招标代理服务费报价如下：</w:t>
      </w:r>
      <w:r>
        <w:rPr>
          <w:rFonts w:hint="eastAsia" w:ascii="仿宋_GB2312" w:hAnsi="仿宋_GB2312" w:eastAsia="仿宋_GB2312" w:cs="仿宋_GB2312"/>
          <w:b w:val="0"/>
          <w:bCs/>
          <w:sz w:val="32"/>
          <w:szCs w:val="32"/>
          <w:lang w:val="en-US" w:eastAsia="zh-CN"/>
        </w:rPr>
        <w:t xml:space="preserve">  </w:t>
      </w:r>
      <w:r>
        <w:rPr>
          <w:rFonts w:hint="eastAsia" w:ascii="仿宋_GB2312" w:hAnsi="仿宋_GB2312" w:eastAsia="仿宋_GB2312" w:cs="仿宋_GB2312"/>
          <w:b w:val="0"/>
          <w:sz w:val="32"/>
          <w:szCs w:val="32"/>
          <w:lang w:val="en-US" w:eastAsia="zh-CN"/>
        </w:rPr>
        <w:t xml:space="preserve"> </w:t>
      </w:r>
    </w:p>
    <w:tbl>
      <w:tblPr>
        <w:tblStyle w:val="7"/>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9"/>
        <w:gridCol w:w="6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2709"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项目名称</w:t>
            </w:r>
          </w:p>
        </w:tc>
        <w:tc>
          <w:tcPr>
            <w:tcW w:w="6670" w:type="dxa"/>
            <w:noWrap w:val="0"/>
            <w:vAlign w:val="center"/>
          </w:tcPr>
          <w:p>
            <w:pPr>
              <w:keepNext w:val="0"/>
              <w:keepLines w:val="0"/>
              <w:pageBreakBefore w:val="0"/>
              <w:shd w:val="clear"/>
              <w:kinsoku/>
              <w:overflowPunct/>
              <w:topLinePunct w:val="0"/>
              <w:autoSpaceDE/>
              <w:autoSpaceDN/>
              <w:bidi w:val="0"/>
              <w:adjustRightInd w:val="0"/>
              <w:snapToGrid w:val="0"/>
              <w:spacing w:line="560" w:lineRule="exact"/>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kern w:val="2"/>
                <w:sz w:val="32"/>
                <w:szCs w:val="32"/>
                <w:lang w:val="en-US" w:eastAsia="zh-CN" w:bidi="ar-SA"/>
              </w:rPr>
              <w:t>清远市佛冈县汤塘镇全域推进乡村振兴综合整治项目之汤塘镇高岭村、联和村典型村建设项目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2709"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招标金额</w:t>
            </w:r>
          </w:p>
        </w:tc>
        <w:tc>
          <w:tcPr>
            <w:tcW w:w="6670"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bCs/>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709" w:type="dxa"/>
            <w:noWrap w:val="0"/>
            <w:vAlign w:val="center"/>
          </w:tcPr>
          <w:p>
            <w:pPr>
              <w:keepNext w:val="0"/>
              <w:keepLines w:val="0"/>
              <w:pageBreakBefore w:val="0"/>
              <w:shd w:val="clear"/>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报价（下浮率）</w:t>
            </w:r>
          </w:p>
        </w:tc>
        <w:tc>
          <w:tcPr>
            <w:tcW w:w="6670"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709" w:type="dxa"/>
            <w:noWrap w:val="0"/>
            <w:vAlign w:val="center"/>
          </w:tcPr>
          <w:p>
            <w:pPr>
              <w:keepNext w:val="0"/>
              <w:keepLines w:val="0"/>
              <w:pageBreakBefore w:val="0"/>
              <w:shd w:val="clear"/>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报价金额</w:t>
            </w:r>
          </w:p>
        </w:tc>
        <w:tc>
          <w:tcPr>
            <w:tcW w:w="6670"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709" w:type="dxa"/>
            <w:noWrap w:val="0"/>
            <w:vAlign w:val="center"/>
          </w:tcPr>
          <w:p>
            <w:pPr>
              <w:keepNext w:val="0"/>
              <w:keepLines w:val="0"/>
              <w:pageBreakBefore w:val="0"/>
              <w:shd w:val="clear"/>
              <w:kinsoku/>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报价依据</w:t>
            </w:r>
          </w:p>
        </w:tc>
        <w:tc>
          <w:tcPr>
            <w:tcW w:w="6670" w:type="dxa"/>
            <w:noWrap w:val="0"/>
            <w:vAlign w:val="center"/>
          </w:tcPr>
          <w:p>
            <w:pPr>
              <w:keepNext w:val="0"/>
              <w:keepLines w:val="0"/>
              <w:pageBreakBefore w:val="0"/>
              <w:shd w:val="clear"/>
              <w:kinsoku/>
              <w:overflowPunct/>
              <w:topLinePunct w:val="0"/>
              <w:autoSpaceDE/>
              <w:autoSpaceDN/>
              <w:bidi w:val="0"/>
              <w:spacing w:line="560" w:lineRule="exact"/>
              <w:jc w:val="center"/>
              <w:textAlignment w:val="auto"/>
              <w:rPr>
                <w:rFonts w:hint="eastAsia" w:ascii="仿宋_GB2312" w:hAnsi="仿宋_GB2312" w:eastAsia="仿宋_GB2312" w:cs="仿宋_GB2312"/>
                <w:sz w:val="32"/>
                <w:szCs w:val="32"/>
              </w:rPr>
            </w:pPr>
          </w:p>
        </w:tc>
      </w:tr>
    </w:tbl>
    <w:p>
      <w:pPr>
        <w:pStyle w:val="3"/>
        <w:keepNext w:val="0"/>
        <w:keepLines w:val="0"/>
        <w:pageBreakBefore w:val="0"/>
        <w:shd w:val="clear"/>
        <w:kinsoku/>
        <w:overflowPunct/>
        <w:topLinePunct w:val="0"/>
        <w:autoSpaceDE/>
        <w:autoSpaceDN/>
        <w:bidi w:val="0"/>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shd w:val="clear"/>
        <w:kinsoku/>
        <w:overflowPunct/>
        <w:topLinePunct w:val="0"/>
        <w:autoSpaceDE/>
        <w:autoSpaceDN/>
        <w:bidi w:val="0"/>
        <w:spacing w:line="560" w:lineRule="exact"/>
        <w:ind w:left="1120"/>
        <w:textAlignment w:val="auto"/>
        <w:rPr>
          <w:rFonts w:hint="eastAsia" w:ascii="仿宋_GB2312" w:hAnsi="仿宋_GB2312" w:eastAsia="仿宋_GB2312" w:cs="仿宋_GB2312"/>
          <w:b/>
          <w:bCs/>
          <w:sz w:val="32"/>
          <w:szCs w:val="32"/>
          <w:u w:val="single"/>
        </w:rPr>
      </w:pPr>
    </w:p>
    <w:p>
      <w:pPr>
        <w:keepNext w:val="0"/>
        <w:keepLines w:val="0"/>
        <w:pageBreakBefore w:val="0"/>
        <w:shd w:val="clear"/>
        <w:kinsoku/>
        <w:overflowPunct/>
        <w:topLinePunct w:val="0"/>
        <w:autoSpaceDE/>
        <w:autoSpaceDN/>
        <w:bidi w:val="0"/>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D2076"/>
    <w:rsid w:val="085F4656"/>
    <w:rsid w:val="08D12DD6"/>
    <w:rsid w:val="0CC14AE2"/>
    <w:rsid w:val="13FC5C83"/>
    <w:rsid w:val="18721BFE"/>
    <w:rsid w:val="214B19AF"/>
    <w:rsid w:val="237962D0"/>
    <w:rsid w:val="254D2076"/>
    <w:rsid w:val="3FEC09B2"/>
    <w:rsid w:val="4E1F3B88"/>
    <w:rsid w:val="646C3E44"/>
    <w:rsid w:val="793E227E"/>
    <w:rsid w:val="7B0A10A0"/>
    <w:rsid w:val="7C412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3">
    <w:name w:val="Plain Text"/>
    <w:basedOn w:val="1"/>
    <w:next w:val="4"/>
    <w:qFormat/>
    <w:uiPriority w:val="0"/>
    <w:rPr>
      <w:rFonts w:ascii="宋体" w:hAnsi="Courier New"/>
      <w:szCs w:val="21"/>
    </w:rPr>
  </w:style>
  <w:style w:type="paragraph" w:customStyle="1" w:styleId="4">
    <w:name w:val="Default"/>
    <w:qFormat/>
    <w:uiPriority w:val="0"/>
    <w:pPr>
      <w:widowControl w:val="0"/>
      <w:autoSpaceDE w:val="0"/>
      <w:autoSpaceDN w:val="0"/>
      <w:adjustRightInd w:val="0"/>
    </w:pPr>
    <w:rPr>
      <w:rFonts w:ascii="宋体" w:hAnsi="Times New Roman" w:eastAsia="黑体" w:cs="Times New Roman"/>
      <w:color w:val="000000"/>
      <w:sz w:val="24"/>
      <w:szCs w:val="22"/>
      <w:lang w:val="en-US" w:eastAsia="zh-CN" w:bidi="ar-SA"/>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招标文件样式2"/>
    <w:qFormat/>
    <w:uiPriority w:val="0"/>
    <w:pPr>
      <w:widowControl w:val="0"/>
      <w:jc w:val="center"/>
      <w:outlineLvl w:val="0"/>
    </w:pPr>
    <w:rPr>
      <w:rFonts w:ascii="宋体" w:hAnsi="宋体" w:eastAsia="宋体" w:cs="Times New Roman"/>
      <w:b/>
      <w:kern w:val="2"/>
      <w:sz w:val="28"/>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2026-08-07T06:52:00Z</dcterms:created>
  <dc:creator>ttxcb132</dc:creator>
  <cp:lastModifiedBy>Administrator</cp:lastModifiedBy>
  <cp:lastPrinted>2026-08-07T08:26:00Z</cp:lastPrinted>
  <dcterms:modified xsi:type="dcterms:W3CDTF">2026-08-07T08:40:16Z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1E8650925727418C8EF8DD134AD750EB_11</vt:lpwstr>
  </property>
  <property fmtid="{D5CDD505-2E9C-101B-9397-08002B2CF9AE}" pid="4" name="KSOTemplateDocerSaveRecord">
    <vt:lpwstr>eyJoZGlkIjoiMTY2NDBiMTlkOGQxNWQ1N2IxYTg1MTUxZWZiNTQ2MDIifQ==</vt:lpwstr>
  </property>
</Properties>
</file>