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66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olor w:val="000000"/>
          <w:sz w:val="44"/>
          <w:szCs w:val="44"/>
          <w:u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olor w:val="000000"/>
          <w:sz w:val="44"/>
          <w:szCs w:val="44"/>
          <w:u w:val="none"/>
          <w:lang w:eastAsia="zh-CN"/>
        </w:rPr>
        <w:t>佛冈县骨灰树葬、花葬、草坪葬补贴</w:t>
      </w:r>
    </w:p>
    <w:p>
      <w:pPr>
        <w:widowControl w:val="0"/>
        <w:wordWrap/>
        <w:adjustRightInd/>
        <w:snapToGrid/>
        <w:spacing w:line="66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olor w:val="000000"/>
          <w:sz w:val="44"/>
          <w:szCs w:val="44"/>
          <w:u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olor w:val="000000"/>
          <w:sz w:val="44"/>
          <w:szCs w:val="44"/>
          <w:u w:val="none"/>
          <w:lang w:eastAsia="zh-CN"/>
        </w:rPr>
        <w:t>实施方案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（征求意见稿）</w:t>
      </w:r>
    </w:p>
    <w:p>
      <w:pPr>
        <w:widowControl w:val="0"/>
        <w:wordWrap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i w:val="0"/>
          <w:color w:val="000000"/>
          <w:sz w:val="32"/>
          <w:szCs w:val="32"/>
          <w:u w:val="none"/>
          <w:lang w:eastAsia="zh-CN"/>
        </w:rPr>
      </w:pPr>
    </w:p>
    <w:p>
      <w:pPr>
        <w:widowControl w:val="0"/>
        <w:wordWrap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i w:val="0"/>
          <w:color w:val="000000"/>
          <w:sz w:val="32"/>
          <w:szCs w:val="32"/>
          <w:u w:val="none"/>
          <w:lang w:eastAsia="zh-CN"/>
        </w:rPr>
        <w:t>第一章 总则</w:t>
      </w:r>
    </w:p>
    <w:p>
      <w:pPr>
        <w:widowControl w:val="0"/>
        <w:wordWrap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>第一条 制定目的</w:t>
      </w:r>
    </w:p>
    <w:p>
      <w:pPr>
        <w:widowControl w:val="0"/>
        <w:wordWrap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>为持续深化殡葬改革工作，大力推行节地生态安葬模式，节约土地资源、守护县域生态环境，积极倡导文明节俭、绿色低碳的殡葬新风，切实减轻群众丧葬事务经济负担，规范骨灰生态安葬管理工作，结合我县实际情况，特制定本实施方案。</w:t>
      </w:r>
    </w:p>
    <w:p>
      <w:pPr>
        <w:widowControl w:val="0"/>
        <w:wordWrap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>第二条 适用范围</w:t>
      </w:r>
    </w:p>
    <w:p>
      <w:pPr>
        <w:widowControl w:val="0"/>
        <w:wordWrap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>本方案适用于具有佛冈县户籍人员、县域内无人认领逝者，在佛冈县行政区域内指定公墓生态安葬区域，选择骨灰树葬、花葬、草坪葬等节地生态安葬方式的逝者家属或丧事承办人。</w:t>
      </w:r>
    </w:p>
    <w:p>
      <w:pPr>
        <w:widowControl w:val="0"/>
        <w:wordWrap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>第三条 术语定义</w:t>
      </w:r>
    </w:p>
    <w:p>
      <w:pPr>
        <w:widowControl w:val="0"/>
        <w:wordWrap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>骨灰树葬：将逝者骨灰深埋于指定生态安葬区域纪念树下，不修建墓穴、不竖立墓碑、不做地面硬化处理，不设置硬质标识，可按规范设置小型纪念标识的节地安葬方式。</w:t>
      </w:r>
    </w:p>
    <w:p>
      <w:pPr>
        <w:widowControl w:val="0"/>
        <w:wordWrap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>骨灰花葬：将逝者骨灰统一安置于规划花坛、花池内，不设立独立墓位，可按规范设置小型纪念标识的生态安葬方式。</w:t>
      </w:r>
    </w:p>
    <w:p>
      <w:pPr>
        <w:widowControl w:val="0"/>
        <w:wordWrap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>骨灰草坪葬：将逝者骨灰浅埋于规划草坪区域，实行统一绿化覆盖，不修建坟头、不竖立墓碑，可按规范设置小型纪念标识的节地安葬方式。</w:t>
      </w:r>
    </w:p>
    <w:p>
      <w:pPr>
        <w:widowControl w:val="0"/>
        <w:wordWrap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>第四条 职责分工</w:t>
      </w:r>
    </w:p>
    <w:p>
      <w:pPr>
        <w:widowControl w:val="0"/>
        <w:wordWrap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>佛冈县民政和退役军人事务局作为本方案主管部门，负责政策落地实施、申请资格审核、补贴资金拨付等工作；佛冈县财政局负责做好补贴资金统筹保障、使用监管工作；辖区殡葬服务机构依规提供生态安葬服务，如实出具相关安葬证明。</w:t>
      </w:r>
    </w:p>
    <w:p>
      <w:pPr>
        <w:widowControl w:val="0"/>
        <w:wordWrap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i w:val="0"/>
          <w:color w:val="000000"/>
          <w:sz w:val="32"/>
          <w:szCs w:val="32"/>
          <w:u w:val="none"/>
          <w:lang w:eastAsia="zh-CN"/>
        </w:rPr>
        <w:t>第二章 补贴标准</w:t>
      </w:r>
    </w:p>
    <w:p>
      <w:pPr>
        <w:widowControl w:val="0"/>
        <w:wordWrap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>第五条 补贴标准</w:t>
      </w:r>
    </w:p>
    <w:p>
      <w:pPr>
        <w:widowControl w:val="0"/>
        <w:wordWrap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>对符合本方案规定条件，选择骨灰树葬、花葬、草坪葬的，按每具骨灰一次性补贴1000元标准执行，三类生态安葬方式统一适用该补贴标准。</w:t>
      </w:r>
    </w:p>
    <w:p>
      <w:pPr>
        <w:widowControl w:val="0"/>
        <w:wordWrap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i w:val="0"/>
          <w:color w:val="000000"/>
          <w:sz w:val="32"/>
          <w:szCs w:val="32"/>
          <w:u w:val="none"/>
          <w:lang w:eastAsia="zh-CN"/>
        </w:rPr>
        <w:t>第三章 申请与受理</w:t>
      </w:r>
    </w:p>
    <w:p>
      <w:pPr>
        <w:widowControl w:val="0"/>
        <w:wordWrap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>第六条 受理部门</w:t>
      </w:r>
    </w:p>
    <w:p>
      <w:pPr>
        <w:widowControl w:val="0"/>
        <w:wordWrap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>符合补贴申领条件的逝者家属或丧事承办人，可直接向佛冈县民政和退役军人事务局提交生态安葬补贴申请。</w:t>
      </w:r>
    </w:p>
    <w:p>
      <w:pPr>
        <w:widowControl w:val="0"/>
        <w:wordWrap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>第七条 申请材料</w:t>
      </w:r>
    </w:p>
    <w:p>
      <w:pPr>
        <w:widowControl w:val="0"/>
        <w:wordWrap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>《佛冈县骨灰树葬、花葬、草坪葬补贴申请表》（详见附件）；</w:t>
      </w:r>
    </w:p>
    <w:p>
      <w:pPr>
        <w:widowControl w:val="0"/>
        <w:wordWrap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>逝者火化证明原件及复印件；</w:t>
      </w:r>
    </w:p>
    <w:p>
      <w:pPr>
        <w:widowControl w:val="0"/>
        <w:wordWrap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>申请人（逝者家属或丧事承办人）身份证、银行卡复印件；</w:t>
      </w:r>
    </w:p>
    <w:p>
      <w:pPr>
        <w:widowControl w:val="0"/>
        <w:wordWrap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>殡葬服务机构出具的节地生态安葬佐证材料。</w:t>
      </w:r>
    </w:p>
    <w:p>
      <w:pPr>
        <w:widowControl w:val="0"/>
        <w:wordWrap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i w:val="0"/>
          <w:color w:val="000000"/>
          <w:sz w:val="32"/>
          <w:szCs w:val="32"/>
          <w:u w:val="none"/>
          <w:lang w:eastAsia="zh-CN"/>
        </w:rPr>
        <w:t>第四章 监督管理</w:t>
      </w:r>
    </w:p>
    <w:p>
      <w:pPr>
        <w:widowControl w:val="0"/>
        <w:wordWrap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>第八条 资金监管</w:t>
      </w:r>
    </w:p>
    <w:p>
      <w:pPr>
        <w:widowControl w:val="0"/>
        <w:wordWrap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>骨灰树葬、花葬、草坪葬补贴经费纳入县级财政年度预算管理，实行专项核算、专款专用，严格规范资金使用流程，严禁任何单位和个人截留、挤占、挪用补贴资金。</w:t>
      </w:r>
    </w:p>
    <w:p>
      <w:pPr>
        <w:widowControl w:val="0"/>
        <w:wordWrap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>第九条 日常监管</w:t>
      </w:r>
    </w:p>
    <w:p>
      <w:pPr>
        <w:widowControl w:val="0"/>
        <w:wordWrap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>佛冈县民政和退役军人事务局常态化开展生态安葬现场巡查、事后复核工作，严禁假借生态安葬名义违规占地、私建墓位、立碑硬化等违规行为。各殡葬服务机构须严格遵照生态安葬操作规程开展服务，如实出具安葬证明，严禁弄虚作假。</w:t>
      </w:r>
    </w:p>
    <w:p>
      <w:pPr>
        <w:widowControl w:val="0"/>
        <w:wordWrap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>第十条 责任追究</w:t>
      </w:r>
    </w:p>
    <w:p>
      <w:pPr>
        <w:widowControl w:val="0"/>
        <w:wordWrap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>对通过虚报信息、隐瞒情况、伪造材料等方式骗取补贴资金的，一经查实，立即全额追回已发放补贴资金，并依法依规处理。</w:t>
      </w:r>
    </w:p>
    <w:p>
      <w:pPr>
        <w:widowControl w:val="0"/>
        <w:wordWrap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>第十一条 档案管理</w:t>
      </w:r>
    </w:p>
    <w:p>
      <w:pPr>
        <w:widowControl w:val="0"/>
        <w:wordWrap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>佛冈县民政和退役军人事务局、各殡葬服务机构须对补贴申请表、审核资料、资金拨付凭证等相关材料统一整理归档，实行专册登记、分类管理，按照规定长期留存保管。</w:t>
      </w:r>
    </w:p>
    <w:p>
      <w:pPr>
        <w:widowControl w:val="0"/>
        <w:wordWrap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i w:val="0"/>
          <w:color w:val="000000"/>
          <w:sz w:val="32"/>
          <w:szCs w:val="32"/>
          <w:u w:val="none"/>
          <w:lang w:eastAsia="zh-CN"/>
        </w:rPr>
        <w:t>第五章 附则</w:t>
      </w:r>
    </w:p>
    <w:p>
      <w:pPr>
        <w:widowControl w:val="0"/>
        <w:wordWrap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>第十二条 政策解释</w:t>
      </w:r>
    </w:p>
    <w:p>
      <w:pPr>
        <w:widowControl w:val="0"/>
        <w:wordWrap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>本实施方案由佛冈县民政和退役军人事务局负责解释。</w:t>
      </w:r>
    </w:p>
    <w:p>
      <w:pPr>
        <w:widowControl w:val="0"/>
        <w:wordWrap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>第十三条 施行时间</w:t>
      </w:r>
    </w:p>
    <w:p>
      <w:pPr>
        <w:widowControl w:val="0"/>
        <w:wordWrap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>本方案自印发之日起正式施行，有效期五年。期满后结合我县殡葬工作实际情况，适时修订完善。</w:t>
      </w:r>
    </w:p>
    <w:p>
      <w:pPr>
        <w:widowControl w:val="0"/>
        <w:wordWrap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</w:pPr>
    </w:p>
    <w:p>
      <w:pPr>
        <w:widowControl w:val="0"/>
        <w:wordWrap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</w:pPr>
    </w:p>
    <w:p>
      <w:pPr>
        <w:widowControl w:val="0"/>
        <w:wordWrap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</w:pPr>
    </w:p>
    <w:p>
      <w:pPr>
        <w:widowControl w:val="0"/>
        <w:wordWrap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</w:pPr>
    </w:p>
    <w:p>
      <w:pPr>
        <w:widowControl w:val="0"/>
        <w:wordWrap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</w:pPr>
    </w:p>
    <w:p>
      <w:pPr>
        <w:widowControl w:val="0"/>
        <w:wordWrap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</w:pPr>
    </w:p>
    <w:p>
      <w:pPr>
        <w:widowControl w:val="0"/>
        <w:wordWrap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</w:pPr>
    </w:p>
    <w:p>
      <w:pPr>
        <w:widowControl w:val="0"/>
        <w:wordWrap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</w:pPr>
    </w:p>
    <w:p>
      <w:pPr>
        <w:widowControl w:val="0"/>
        <w:wordWrap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</w:pPr>
    </w:p>
    <w:p>
      <w:pPr>
        <w:widowControl w:val="0"/>
        <w:wordWrap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</w:pPr>
    </w:p>
    <w:p>
      <w:pPr>
        <w:widowControl w:val="0"/>
        <w:wordWrap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</w:pPr>
    </w:p>
    <w:p>
      <w:pPr>
        <w:widowControl w:val="0"/>
        <w:wordWrap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</w:pPr>
    </w:p>
    <w:p>
      <w:pPr>
        <w:widowControl w:val="0"/>
        <w:wordWrap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</w:pPr>
    </w:p>
    <w:p>
      <w:pPr>
        <w:widowControl w:val="0"/>
        <w:wordWrap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</w:pPr>
    </w:p>
    <w:p>
      <w:pPr>
        <w:widowControl w:val="0"/>
        <w:wordWrap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</w:pPr>
    </w:p>
    <w:p>
      <w:pPr>
        <w:widowControl w:val="0"/>
        <w:wordWrap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</w:pPr>
    </w:p>
    <w:p>
      <w:pPr>
        <w:widowControl w:val="0"/>
        <w:wordWrap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</w:pPr>
    </w:p>
    <w:p>
      <w:pPr>
        <w:widowControl w:val="0"/>
        <w:wordWrap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</w:pPr>
    </w:p>
    <w:p>
      <w:pPr>
        <w:widowControl w:val="0"/>
        <w:wordWrap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</w:pPr>
    </w:p>
    <w:p>
      <w:pPr>
        <w:spacing w:after="100" w:afterAutospacing="1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附件</w:t>
      </w:r>
    </w:p>
    <w:p>
      <w:pPr>
        <w:spacing w:after="100" w:afterAutospacing="1"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color w:val="000000"/>
          <w:sz w:val="44"/>
          <w:szCs w:val="44"/>
          <w:u w:val="none"/>
          <w:lang w:eastAsia="zh-CN"/>
        </w:rPr>
        <w:t>佛冈县骨灰树葬、花葬、草坪葬补贴</w:t>
      </w:r>
      <w:r>
        <w:rPr>
          <w:rFonts w:hint="eastAsia" w:ascii="方正小标宋简体" w:eastAsia="方正小标宋简体"/>
          <w:sz w:val="44"/>
          <w:szCs w:val="44"/>
        </w:rPr>
        <w:t>申请表</w:t>
      </w:r>
    </w:p>
    <w:tbl>
      <w:tblPr>
        <w:tblStyle w:val="9"/>
        <w:tblW w:w="9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8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Merge w:val="restar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申请人填写有关资料</w:t>
            </w:r>
          </w:p>
        </w:tc>
        <w:tc>
          <w:tcPr>
            <w:tcW w:w="832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逝者姓名：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籍贯：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户 籍 地：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   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居民身份证号码：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逝者出生日期：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逝世日期：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逝者拟安葬墓地：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916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32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申请人姓名：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与逝者关系：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居民身份证号码：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户籍地址：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   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   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本人承诺以上所填资料信息真实,并愿意承担相应责任。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申请人签名：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年   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6" w:hRule="atLeast"/>
          <w:jc w:val="center"/>
        </w:trPr>
        <w:tc>
          <w:tcPr>
            <w:tcW w:w="916" w:type="dxa"/>
            <w:vMerge w:val="restar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相关部门审批意见</w:t>
            </w:r>
          </w:p>
        </w:tc>
        <w:tc>
          <w:tcPr>
            <w:tcW w:w="832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受理单位（公墓）意见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ind w:firstLine="4800" w:firstLineChars="15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（盖章）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32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佛冈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县民政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和退役军人事务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局审批意见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（盖章）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月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备注：此表一式两份，由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佛冈</w:t>
      </w:r>
      <w:r>
        <w:rPr>
          <w:rFonts w:hint="eastAsia" w:ascii="仿宋_GB2312" w:hAnsi="仿宋_GB2312" w:eastAsia="仿宋_GB2312" w:cs="仿宋_GB2312"/>
          <w:sz w:val="28"/>
          <w:szCs w:val="28"/>
        </w:rPr>
        <w:t>县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民政和退役军人事务局</w:t>
      </w:r>
      <w:r>
        <w:rPr>
          <w:rFonts w:hint="eastAsia" w:ascii="仿宋_GB2312" w:hAnsi="仿宋_GB2312" w:eastAsia="仿宋_GB2312" w:cs="仿宋_GB2312"/>
          <w:sz w:val="28"/>
          <w:szCs w:val="28"/>
        </w:rPr>
        <w:t>和受理申请的单位存档。</w:t>
      </w:r>
    </w:p>
    <w:p/>
    <w:p>
      <w:pPr>
        <w:spacing w:line="60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widowControl w:val="0"/>
        <w:wordWrap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147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等线">
    <w:altName w:val="黑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rPr>
        <w:rFonts w:hint="eastAsia" w:ascii="宋体" w:hAnsi="宋体" w:eastAsia="宋体" w:cs="宋体"/>
      </w:rPr>
    </w:pPr>
    <w:r>
      <w:rPr>
        <w:rFonts w:hint="eastAsia" w:ascii="宋体" w:hAnsi="宋体" w:eastAsia="宋体" w:cs="宋体"/>
        <w:kern w:val="2"/>
        <w:sz w:val="18"/>
        <w:szCs w:val="24"/>
        <w:lang w:val="en-US" w:eastAsia="zh-CN" w:bidi="ar-SA"/>
      </w:rPr>
      <w:pict>
        <v:rect id="文本框 1" o:spid="_x0000_s1025" style="position:absolute;left:0;margin-top:0pt;height:144pt;width:144pt;mso-position-horizontal:outside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4"/>
                  <w:rPr>
                    <w:rFonts w:hint="eastAsia" w:ascii="宋体" w:hAnsi="宋体" w:eastAsia="宋体" w:cs="宋体"/>
                    <w:sz w:val="22"/>
                    <w:szCs w:val="22"/>
                  </w:rPr>
                </w:pPr>
                <w:r>
                  <w:rPr>
                    <w:rFonts w:hint="eastAsia" w:ascii="宋体" w:hAnsi="宋体" w:eastAsia="宋体" w:cs="宋体"/>
                    <w:sz w:val="22"/>
                    <w:szCs w:val="22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2"/>
                    <w:szCs w:val="22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2"/>
                    <w:szCs w:val="22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2"/>
                    <w:szCs w:val="22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2"/>
                    <w:szCs w:val="22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2"/>
                    <w:szCs w:val="22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2"/>
                    <w:szCs w:val="22"/>
                  </w:rPr>
                  <w:t xml:space="preserve"> —</w:t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150370FC"/>
    <w:rsid w:val="04D32A8D"/>
    <w:rsid w:val="0FEC139D"/>
    <w:rsid w:val="13336E0F"/>
    <w:rsid w:val="150370FC"/>
    <w:rsid w:val="2C1D710B"/>
    <w:rsid w:val="32AC19BE"/>
    <w:rsid w:val="38715446"/>
    <w:rsid w:val="759F3E53"/>
    <w:rsid w:val="7BD712B8"/>
    <w:rsid w:val="7EDF76CB"/>
    <w:rsid w:val="FB1F1121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3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8">
    <w:name w:val="page number"/>
    <w:basedOn w:val="7"/>
    <w:qFormat/>
    <w:uiPriority w:val="0"/>
    <w:rPr/>
  </w:style>
  <w:style w:type="paragraph" w:customStyle="1" w:styleId="1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2026-05-01T00:31:00Z</dcterms:created>
  <dc:creator>胡碧安</dc:creator>
  <cp:lastModifiedBy>dell</cp:lastModifiedBy>
  <cp:lastPrinted>2026-05-15T11:50:00Z</cp:lastPrinted>
  <dcterms:modified xsi:type="dcterms:W3CDTF">2026-06-03T07:22:09Z</dcterms:modified>
  <dc:title>佛冈县骨灰树葬、花葬、草坪葬补贴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  <property fmtid="{D5CDD505-2E9C-101B-9397-08002B2CF9AE}" pid="3" name="ICV">
    <vt:lpwstr>DCF7D2CD2FCC88DB0EEE026A2BEF19C5</vt:lpwstr>
  </property>
</Properties>
</file>