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佛冈县石角镇人民政府2025年法治政府建设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方正小标宋_GBK" w:hAnsi="方正小标宋_GBK" w:eastAsia="方正小标宋_GBK"/>
          <w:sz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委、县政府的正确领导下，石角镇严格按照县委、县政府工作部署，深入贯彻落实《法治政府建设实施纲要（2021—2025年）》《法治政府建设与责任落实督察工作规定》，扎实推进法治政府建设各项工作，持续提升依法决策、依法管理、依法行政能力。现将我镇2025年度法治政府建设情况报告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lang w:val="en-US" w:eastAsia="zh-CN"/>
        </w:rPr>
        <w:t>全面贯彻党的二十大和二十届二中、三中、四中全会精神，深入学习贯彻习近平法治思想和习近平总书记对广东系列重要 讲话、重要指示精神的情况，紧密围绕省委“1310”具体部署推动法治政府建设的举措和成效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（一）全面学习党的二十大精神及系列全会精神。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深刻领悟“两个确立”的决定性意义，增强“四个意识”、坚定“四个自信”、做到“两个维护”，自觉运用党的二十大和二十届二中、三中、四中全会精神指导法治实践。严格落实法治政府建设年度报告制度，推进报告工作规范化、法治化。充分发挥政府法律顾问和村居法律顾问作用，完善公共法律服务体系，持续实施“八五”普法规划，培育“法律明白人”，全力满足群众法律服务需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（二）深入学习贯彻习近平法治思想和习近平总书记对广东重要讲话、重要指示精神。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组织全镇各党支部、村（社区）认真学习《论坚持全面依法治国》《习近平法治思想概论》等重要教材。全年累计开展专题学习宣传27场，参与人员1210人次，推动习近平法治思想入脑入心、落地落实。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（三）紧扣省委“1310”具体部署推动法治建设。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紧紧围绕“走在前列”总目标，贯彻落实省委、市委、县委工作要求，全力推进“百县千镇万村高质量发展工程”，聚焦重点领域和关键环节，加快补齐发展短板，着力打造绿色崛起石角样板。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lang w:val="en-US" w:eastAsia="zh-CN"/>
        </w:rPr>
        <w:t>2025年度党政主要负责人履行推进法治建设第一责任人职责、加强法治政府建设的有关情况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（一）强化组织领导，压实主体责任。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党政主要负责人推进法治建设第一责任人职责，将法治政府建设纳入党委、政府整体工作布局，制定专项方案，系统部署推进。镇主要领导带头学习习近平法治思想，贯彻中央和省市县法治建设决策部署，充分发挥党委在法治建设中的领导核心作用。成立由镇党委书记任主任的依法治镇委员会，统筹协调全镇法治建设工作，确保各项任务落到实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（二）夯实基层基础，提升治理效能。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化矛盾纠纷调解。坚持“预防为主、调处结合、依法化解”原则，完善镇村调解机制。全年成功调处矛盾纠纷116宗，涉及金额812万元，调解成功率100%，有效发挥调解在维护稳定中的基础性作用。二是加强综合执法管理。围绕年度法治政府建设要点，在完善制度体系、规范决策程序、推进政务公开、强化权力监督等方面持续发力，努力营造良好法治环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三、2025年度法治政府建设主要举措与成效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（一）执法办案提质增效。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全年办理行政处罚案件29宗，罚款39.66万元；发出执法协助函34件；粤执法平台线上办案率、“双公示”及时率均达100%；出庭应诉行政诉讼11次；核查处置无证无照经营线索124件。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（二）统筹协调作用充分发挥。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全年受理各类投诉信访313件，其中市民热线265件、粤平安平台8件、群众直接投诉18件、部门及村居提交线索9件、信访件13件，主要涉及住建、城乡管理等领域。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调处矛盾纠纷案件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宗，涉案金额累计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万元，调解成功率达到100%。充分发挥了调解、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平安法治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工作在稳定工作中的第一道防线的作用，密切了干群关系，有效维护了社会稳定。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（三）耕地保护扎实有力。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积极推进农村乱占耕地建房整治，2025年存量违法占用耕地问题图斑33宗，已整改31宗；2023—2024年永久基本农田流出图斑201.32亩，截至2025年12月已整改33.92亩，其余正分类推进整改。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（四）路域环境整治成效显著。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完成京珠佛冈出口至诚迳村段106国道约10公里路域整治，完成约25万平方米农房改造，拆除违建约600处，总面积达10万平方米；同时，对龙南主干道、英佛路、京珠高速佛冈出口至大庙峡隧道出口段两旁260多间农房、商铺实施风貌改造，打造节点10余个，城乡风貌显著提升。对国道、高速入口等重点路段开展综合整治，全年开展乱摆乱放、环境卫生、交通秩序等劝导3100余次，推动路域管理常态长效。</w:t>
      </w:r>
    </w:p>
    <w:p>
      <w:pPr>
        <w:pStyle w:val="4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“百千万工程”典型村示范作用彰显。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镇共有6个典型村，里水村依托优美的自然风光，以人居环境整治为抓手，打造滨水景观廊道和湿地公园，乡村风貌焕然一新；龙塘村以4000亩澳洲坚果为依托，盘活闲置资产，采取“国资牵头、央企助力、乡贤运营”的精准模式对旧粮仓周边4000平方米的闲置地块进行业态打造“坚果小镇”；小潭村着力打造“花卉主题度假村落”，全面推进人居环境整治，农村环境得到极大提升，同时通过引入兰花、食用菌、香水百合等种植产业，对乡村民宿扩容经营；黄花村投入社会资金300万元打造集知青公寓、公社大礼堂、人民公社食堂等空间的农文旅商综合体，持续擦亮广东省红色资源建设示范点金字招牌；三莲村围绕森波拉度假公园谋划配套旅游休闲产业，以“国道夜市”为抓手，树立“国道”兴村示范新标杆；石铺村以泷澜湾康养基地为核心梳理项目建设清单，大力发展星溪谷等民宿、小微湿地公园、营地经济，打造农文旅新业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（六）普法责任制落实到位。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“谁执法谁普法”责任，通过专题讲座、培训考试、宣传资料发放等形式，开展《民法典》《未成年人保护法》等普法活动123场；结合禁毒、反诈等工作开展企业普法89场；持续举办“4·15”“6·26”“12·4”等主题法治宣传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四、存在问题与不足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（一）职权把握不够精准。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综合执法涉及多领域法律法规，基层人员专业培训不足，处理复杂案件能力有待提升，尤其在违法建设查处中，对职权边界和法定程序的把握仍需加强。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（二）执法力量相对薄弱。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全镇执法人员共36人，其中在编在职仅8人，具备独立取证能力人员不足。巡查覆盖面广、违法建设发现滞后，导致执法成本高、流程长。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（三）联动机制不够畅通。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县级下放执法职能涉及多部门，镇综合执法办统筹协调难度大，部门间信息共享不足、协同不力，未真正形成执法合力。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五、2026年度工作安排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（一）提升执法专业水平。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加强执法人员业务培训，聚焦违法建筑定性、执法程序、法律适用等内容开展专题训练，强化“早发现、早处置”能力，确保执法规范、程序正当。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促进一线执法人员转变执法理念及提高执法能力，加强对各类违法建筑的定性、执法流程、执法方式、法律使用、调查询问技巧等方面的培训工作，秉承“干什么、学什么、懂什么”的要求。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（二）健全协同联动机制。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加强与自然资源、市监、住建、农业农村等部门的沟通协作，构建违法建设“及时发现、快速制止、依法查处”全链条管控网络，实现“新增严控、存量递减”。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有力遏制违法建设行为，维护城市管理正常秩序。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（三）加强执法队伍建设。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开展“内强素质、外树形象”系列活动，通过案例教学、观摩交流、技能比武等方式提升执法能力。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全方位、多角度对执法人员进行技能培训，提升执法办案能力。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推进执法规范化、信息化建设，完善硬件设施，提升执法公信力和群众满意度。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佛冈县石角镇人民政府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2211" w:right="1474" w:bottom="1871" w:left="1474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-254000</wp:posOffset>
              </wp:positionV>
              <wp:extent cx="678180" cy="5880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32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黑体"/>
                              <w:b/>
                              <w:bCs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0pt;height:46.3pt;width:53.4pt;mso-position-horizontal-relative:margin;z-index:251661312;mso-width-relative:page;mso-height-relative:page;" filled="f" stroked="f" coordsize="21600,21600" o:gfxdata="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Gk06DWAAAABwEAAA8AAAAAAAAAAQAgAAAAIgAAAGRycy9kb3ducmV2LnhtbFBLAQIUABQA&#10;AAAIAIdO4kD9+VywuQEAAHEDAAAOAAAAAAAAAAEAIAAAACU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32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黑体"/>
                        <w:b/>
                        <w:bCs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-23495</wp:posOffset>
              </wp:positionH>
              <wp:positionV relativeFrom="paragraph">
                <wp:posOffset>160020</wp:posOffset>
              </wp:positionV>
              <wp:extent cx="746125" cy="579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85pt;margin-top:12.6pt;height:45.65pt;width:58.75pt;mso-position-horizontal-relative:margin;z-index:251660288;mso-width-relative:page;mso-height-relative:page;" filled="f" stroked="f" coordsize="21600,21600" o:gfxdata="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7RVyPYAAAACQEAAA8AAAAAAAAAAQAgAAAAIgAAAGRycy9kb3ducmV2LnhtbFBLAQIU&#10;ABQAAAAIAIdO4kDXRYT2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850265" cy="391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8pt;width:66.95pt;mso-position-horizontal:left;mso-position-horizontal-relative:margin;z-index:251659264;mso-width-relative:page;mso-height-relative:page;" filled="f" stroked="f" coordsize="21600,21600" o:gfxdata="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acKFPUAAAABAEAAA8AAAAAAAAAAQAgAAAAIgAAAGRycy9kb3ducmV2LnhtbFBLAQIUABQA&#10;AAAIAIdO4kD3B5zG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mYxNzA3ZDQ3Mjg1NjZlYzMwMjQ0ZDRmZjY0ZDQifQ=="/>
  </w:docVars>
  <w:rsids>
    <w:rsidRoot w:val="381D16C0"/>
    <w:rsid w:val="02D45050"/>
    <w:rsid w:val="035854A5"/>
    <w:rsid w:val="03942A31"/>
    <w:rsid w:val="05840BD6"/>
    <w:rsid w:val="05900FD6"/>
    <w:rsid w:val="062C6F51"/>
    <w:rsid w:val="079033A1"/>
    <w:rsid w:val="081C76CC"/>
    <w:rsid w:val="0B422D73"/>
    <w:rsid w:val="0C4A3A4A"/>
    <w:rsid w:val="0C9F0068"/>
    <w:rsid w:val="0F712C8D"/>
    <w:rsid w:val="12B623AB"/>
    <w:rsid w:val="12F9339E"/>
    <w:rsid w:val="130D1EB8"/>
    <w:rsid w:val="13462CD5"/>
    <w:rsid w:val="14092680"/>
    <w:rsid w:val="150F3CC6"/>
    <w:rsid w:val="15F53AFE"/>
    <w:rsid w:val="16144581"/>
    <w:rsid w:val="17913903"/>
    <w:rsid w:val="18583BD5"/>
    <w:rsid w:val="198509FA"/>
    <w:rsid w:val="198F52D4"/>
    <w:rsid w:val="1A165452"/>
    <w:rsid w:val="1E1823CB"/>
    <w:rsid w:val="1F6E2149"/>
    <w:rsid w:val="1F977CA8"/>
    <w:rsid w:val="20243680"/>
    <w:rsid w:val="210F0963"/>
    <w:rsid w:val="2217240B"/>
    <w:rsid w:val="23BE14FC"/>
    <w:rsid w:val="25C53641"/>
    <w:rsid w:val="282E07D1"/>
    <w:rsid w:val="2C717F4E"/>
    <w:rsid w:val="2D151E83"/>
    <w:rsid w:val="313B4368"/>
    <w:rsid w:val="32313075"/>
    <w:rsid w:val="323D2076"/>
    <w:rsid w:val="325D20BC"/>
    <w:rsid w:val="34547268"/>
    <w:rsid w:val="35D02246"/>
    <w:rsid w:val="36F611A1"/>
    <w:rsid w:val="381D16C0"/>
    <w:rsid w:val="3A7B57D6"/>
    <w:rsid w:val="3BE20D07"/>
    <w:rsid w:val="401A7291"/>
    <w:rsid w:val="416B7C26"/>
    <w:rsid w:val="42712FA5"/>
    <w:rsid w:val="438F40A0"/>
    <w:rsid w:val="455F7AA2"/>
    <w:rsid w:val="458E4BD4"/>
    <w:rsid w:val="46565349"/>
    <w:rsid w:val="471D19C3"/>
    <w:rsid w:val="479C4FDD"/>
    <w:rsid w:val="49A32653"/>
    <w:rsid w:val="4AE747C1"/>
    <w:rsid w:val="4AFB026D"/>
    <w:rsid w:val="4B427D35"/>
    <w:rsid w:val="4EDB6242"/>
    <w:rsid w:val="4F6247EF"/>
    <w:rsid w:val="4FDB77FC"/>
    <w:rsid w:val="51EF33FE"/>
    <w:rsid w:val="521D4F6D"/>
    <w:rsid w:val="52623ABC"/>
    <w:rsid w:val="53114AD1"/>
    <w:rsid w:val="56D03D7F"/>
    <w:rsid w:val="58E93DFA"/>
    <w:rsid w:val="5BED59B0"/>
    <w:rsid w:val="5E714792"/>
    <w:rsid w:val="60457B68"/>
    <w:rsid w:val="638E4AFC"/>
    <w:rsid w:val="641E6274"/>
    <w:rsid w:val="67CFC6E6"/>
    <w:rsid w:val="6C1256EA"/>
    <w:rsid w:val="6DD037DF"/>
    <w:rsid w:val="70186F68"/>
    <w:rsid w:val="72A44BC2"/>
    <w:rsid w:val="754040CB"/>
    <w:rsid w:val="758331B5"/>
    <w:rsid w:val="78D972D2"/>
    <w:rsid w:val="7C04115F"/>
    <w:rsid w:val="7C194437"/>
    <w:rsid w:val="7DC32BB3"/>
    <w:rsid w:val="7EEF3669"/>
    <w:rsid w:val="7FDF08AA"/>
    <w:rsid w:val="F9AF920C"/>
    <w:rsid w:val="FED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</w:pPr>
    <w:rPr>
      <w:rFonts w:ascii="Calibri" w:hAnsi="Calibri" w:eastAsia="仿宋_GB2312" w:cs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680"/>
    </w:pPr>
    <w:rPr>
      <w:rFonts w:ascii="仿宋_GB2312" w:hAnsi="创艺简标宋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2861</Words>
  <Characters>2981</Characters>
  <Lines>0</Lines>
  <Paragraphs>0</Paragraphs>
  <TotalTime>2</TotalTime>
  <ScaleCrop>false</ScaleCrop>
  <LinksUpToDate>false</LinksUpToDate>
  <CharactersWithSpaces>2991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2025-01-06T15:43:00Z</dcterms:created>
  <dc:creator>Administrator</dc:creator>
  <cp:lastModifiedBy>杨向荣</cp:lastModifiedBy>
  <cp:lastPrinted>2025-12-30T01:53:00Z</cp:lastPrinted>
  <dcterms:modified xsi:type="dcterms:W3CDTF">2026-03-05T00:47:37Z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F0DB14708C3E484983A8C9B542AAADF2</vt:lpwstr>
  </property>
</Properties>
</file>