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附件21</w:t>
      </w:r>
    </w:p>
    <w:p>
      <w:pPr>
        <w:pStyle w:val="5"/>
        <w:widowControl/>
        <w:spacing w:line="240" w:lineRule="auto"/>
        <w:rPr>
          <w:rFonts w:hint="eastAsia"/>
          <w:sz w:val="36"/>
          <w:szCs w:val="36"/>
        </w:rPr>
      </w:pPr>
      <w:bookmarkStart w:id="0" w:name="_GoBack"/>
      <w:r>
        <w:rPr>
          <w:rFonts w:hint="eastAsia" w:ascii="方正小标宋_GBK" w:hAnsi="方正小标宋_GBK" w:eastAsia="方正小标宋_GBK" w:cs="方正小标宋_GBK"/>
          <w:sz w:val="36"/>
          <w:szCs w:val="36"/>
        </w:rPr>
        <w:t>佛冈县车用汽油产品质量监督抽查实施细则</w:t>
      </w:r>
    </w:p>
    <w:bookmarkEnd w:id="0"/>
    <w:p>
      <w:pPr>
        <w:jc w:val="center"/>
        <w:rPr>
          <w:sz w:val="28"/>
          <w:szCs w:val="28"/>
        </w:rPr>
      </w:pPr>
      <w:r>
        <w:rPr>
          <w:rFonts w:hint="eastAsia" w:ascii="楷体" w:hAnsi="楷体" w:eastAsia="楷体" w:cs="楷体"/>
          <w:color w:val="000000"/>
          <w:sz w:val="32"/>
          <w:szCs w:val="40"/>
          <w:highlight w:val="none"/>
        </w:rPr>
        <w:t>（2025年版）</w:t>
      </w: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r>
        <w:rPr>
          <w:rFonts w:hint="eastAsia" w:ascii="Times New Roman" w:hAnsi="Times New Roman" w:eastAsia="黑体" w:cs="黑体"/>
          <w:color w:val="000000"/>
          <w:sz w:val="32"/>
          <w:szCs w:val="40"/>
          <w:highlight w:val="none"/>
        </w:rPr>
        <w:t>1 抽样方法</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以随机抽样的方式在被抽样生产者、销售者的待销产品中抽取。</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随机数一般可使用随机数表等方法产生。</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每批次产品抽取两份，每款产品抽取2组样本，第1组用于检验，第2组用于备样。每组样本需抽取样品数量如下表所示：</w:t>
      </w:r>
    </w:p>
    <w:tbl>
      <w:tblPr>
        <w:tblStyle w:val="6"/>
        <w:tblW w:w="83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1678"/>
        <w:gridCol w:w="2825"/>
        <w:gridCol w:w="28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jc w:val="center"/>
        </w:trPr>
        <w:tc>
          <w:tcPr>
            <w:tcW w:w="998" w:type="dxa"/>
            <w:vAlign w:val="center"/>
          </w:tcPr>
          <w:p>
            <w:pPr>
              <w:spacing w:before="249" w:line="216" w:lineRule="auto"/>
              <w:jc w:val="center"/>
              <w:rPr>
                <w:rFonts w:hint="eastAsia" w:ascii="仿宋_GB2312" w:hAnsi="仿宋_GB2312" w:eastAsia="仿宋_GB2312" w:cs="仿宋_GB2312"/>
                <w:sz w:val="24"/>
                <w:szCs w:val="24"/>
                <w14:ligatures w14:val="none"/>
              </w:rPr>
            </w:pPr>
            <w:r>
              <w:rPr>
                <w:rFonts w:hint="eastAsia" w:ascii="仿宋_GB2312" w:hAnsi="仿宋_GB2312" w:eastAsia="仿宋_GB2312" w:cs="仿宋_GB2312"/>
                <w:b/>
                <w:bCs/>
                <w:spacing w:val="-7"/>
                <w:sz w:val="24"/>
                <w:szCs w:val="24"/>
                <w14:ligatures w14:val="none"/>
              </w:rPr>
              <w:t>序号</w:t>
            </w:r>
          </w:p>
        </w:tc>
        <w:tc>
          <w:tcPr>
            <w:tcW w:w="1678" w:type="dxa"/>
            <w:vAlign w:val="center"/>
          </w:tcPr>
          <w:p>
            <w:pPr>
              <w:spacing w:before="249" w:line="216" w:lineRule="auto"/>
              <w:jc w:val="center"/>
              <w:rPr>
                <w:rFonts w:hint="eastAsia" w:ascii="仿宋_GB2312" w:hAnsi="仿宋_GB2312" w:eastAsia="仿宋_GB2312" w:cs="仿宋_GB2312"/>
                <w:sz w:val="24"/>
                <w:szCs w:val="24"/>
                <w14:ligatures w14:val="none"/>
              </w:rPr>
            </w:pPr>
            <w:r>
              <w:rPr>
                <w:rFonts w:hint="eastAsia" w:ascii="仿宋_GB2312" w:hAnsi="仿宋_GB2312" w:eastAsia="仿宋_GB2312" w:cs="仿宋_GB2312"/>
                <w:b/>
                <w:bCs/>
                <w:spacing w:val="-7"/>
                <w:sz w:val="24"/>
                <w:szCs w:val="24"/>
                <w14:ligatures w14:val="none"/>
              </w:rPr>
              <w:t>产品名称</w:t>
            </w:r>
          </w:p>
        </w:tc>
        <w:tc>
          <w:tcPr>
            <w:tcW w:w="2825" w:type="dxa"/>
            <w:vAlign w:val="center"/>
          </w:tcPr>
          <w:p>
            <w:pPr>
              <w:pStyle w:val="7"/>
              <w:spacing w:before="249" w:line="21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b/>
                <w:bCs/>
                <w:spacing w:val="-13"/>
                <w:sz w:val="24"/>
                <w:szCs w:val="24"/>
              </w:rPr>
              <w:t>第</w:t>
            </w:r>
            <w:r>
              <w:rPr>
                <w:rFonts w:hint="eastAsia" w:ascii="仿宋_GB2312" w:hAnsi="仿宋_GB2312" w:eastAsia="仿宋_GB2312" w:cs="仿宋_GB2312"/>
                <w:spacing w:val="-49"/>
                <w:sz w:val="24"/>
                <w:szCs w:val="24"/>
              </w:rPr>
              <w:t xml:space="preserve"> </w:t>
            </w:r>
            <w:r>
              <w:rPr>
                <w:rFonts w:hint="eastAsia" w:ascii="仿宋_GB2312" w:hAnsi="仿宋_GB2312" w:eastAsia="仿宋_GB2312" w:cs="仿宋_GB2312"/>
                <w:b/>
                <w:bCs/>
                <w:spacing w:val="-13"/>
                <w:sz w:val="24"/>
                <w:szCs w:val="24"/>
              </w:rPr>
              <w:t>1组数量</w:t>
            </w:r>
          </w:p>
        </w:tc>
        <w:tc>
          <w:tcPr>
            <w:tcW w:w="2863" w:type="dxa"/>
            <w:vAlign w:val="center"/>
          </w:tcPr>
          <w:p>
            <w:pPr>
              <w:pStyle w:val="7"/>
              <w:spacing w:before="249" w:line="216"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b/>
                <w:bCs/>
                <w:spacing w:val="-8"/>
                <w:sz w:val="24"/>
                <w:szCs w:val="24"/>
              </w:rPr>
              <w:t>第</w:t>
            </w:r>
            <w:r>
              <w:rPr>
                <w:rFonts w:hint="eastAsia" w:ascii="仿宋_GB2312" w:hAnsi="仿宋_GB2312" w:eastAsia="仿宋_GB2312" w:cs="仿宋_GB2312"/>
                <w:spacing w:val="-60"/>
                <w:sz w:val="24"/>
                <w:szCs w:val="24"/>
              </w:rPr>
              <w:t xml:space="preserve"> </w:t>
            </w:r>
            <w:r>
              <w:rPr>
                <w:rFonts w:hint="eastAsia" w:ascii="仿宋_GB2312" w:hAnsi="仿宋_GB2312" w:eastAsia="仿宋_GB2312" w:cs="仿宋_GB2312"/>
                <w:b/>
                <w:bCs/>
                <w:spacing w:val="-8"/>
                <w:sz w:val="24"/>
                <w:szCs w:val="24"/>
              </w:rPr>
              <w:t>2组数量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jc w:val="center"/>
        </w:trPr>
        <w:tc>
          <w:tcPr>
            <w:tcW w:w="998" w:type="dxa"/>
            <w:vAlign w:val="center"/>
          </w:tcPr>
          <w:p>
            <w:pPr>
              <w:pStyle w:val="7"/>
              <w:spacing w:before="69" w:line="315"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position w:val="1"/>
                <w:sz w:val="24"/>
                <w:szCs w:val="24"/>
              </w:rPr>
              <w:t>1</w:t>
            </w:r>
          </w:p>
        </w:tc>
        <w:tc>
          <w:tcPr>
            <w:tcW w:w="1678" w:type="dxa"/>
            <w:vAlign w:val="center"/>
          </w:tcPr>
          <w:p>
            <w:pPr>
              <w:spacing w:before="78" w:line="217" w:lineRule="auto"/>
              <w:jc w:val="center"/>
              <w:rPr>
                <w:rFonts w:hint="eastAsia" w:ascii="仿宋_GB2312" w:hAnsi="仿宋_GB2312" w:eastAsia="仿宋_GB2312" w:cs="仿宋_GB2312"/>
                <w:sz w:val="24"/>
                <w:szCs w:val="24"/>
                <w14:ligatures w14:val="none"/>
              </w:rPr>
            </w:pPr>
            <w:r>
              <w:rPr>
                <w:rFonts w:hint="eastAsia" w:ascii="仿宋_GB2312" w:hAnsi="仿宋_GB2312" w:eastAsia="仿宋_GB2312" w:cs="仿宋_GB2312"/>
                <w:spacing w:val="-8"/>
                <w:sz w:val="24"/>
                <w:szCs w:val="24"/>
                <w14:ligatures w14:val="none"/>
              </w:rPr>
              <w:t>车用汽油</w:t>
            </w:r>
          </w:p>
        </w:tc>
        <w:tc>
          <w:tcPr>
            <w:tcW w:w="2825" w:type="dxa"/>
            <w:vAlign w:val="center"/>
          </w:tcPr>
          <w:p>
            <w:pPr>
              <w:pStyle w:val="7"/>
              <w:spacing w:before="207" w:line="357" w:lineRule="exact"/>
              <w:ind w:left="131"/>
              <w:rPr>
                <w:rFonts w:hint="eastAsia" w:ascii="仿宋_GB2312" w:hAnsi="仿宋_GB2312" w:eastAsia="仿宋_GB2312" w:cs="仿宋_GB2312"/>
                <w:sz w:val="24"/>
                <w:szCs w:val="24"/>
              </w:rPr>
            </w:pPr>
            <w:r>
              <w:rPr>
                <w:rFonts w:hint="eastAsia" w:ascii="仿宋_GB2312" w:hAnsi="仿宋_GB2312" w:eastAsia="仿宋_GB2312" w:cs="仿宋_GB2312"/>
                <w:spacing w:val="-1"/>
                <w:position w:val="2"/>
                <w:sz w:val="24"/>
                <w:szCs w:val="24"/>
              </w:rPr>
              <w:t>至少2.7L（包含</w:t>
            </w:r>
            <w:r>
              <w:rPr>
                <w:rFonts w:hint="eastAsia" w:ascii="仿宋_GB2312" w:hAnsi="仿宋_GB2312" w:eastAsia="仿宋_GB2312" w:cs="仿宋_GB2312"/>
                <w:spacing w:val="-58"/>
                <w:position w:val="2"/>
                <w:sz w:val="24"/>
                <w:szCs w:val="24"/>
              </w:rPr>
              <w:t xml:space="preserve"> </w:t>
            </w:r>
            <w:r>
              <w:rPr>
                <w:rFonts w:hint="eastAsia" w:ascii="仿宋_GB2312" w:hAnsi="仿宋_GB2312" w:eastAsia="仿宋_GB2312" w:cs="仿宋_GB2312"/>
                <w:spacing w:val="-1"/>
                <w:position w:val="2"/>
                <w:sz w:val="24"/>
                <w:szCs w:val="24"/>
              </w:rPr>
              <w:t>2 部分，</w:t>
            </w:r>
            <w:r>
              <w:rPr>
                <w:rFonts w:hint="eastAsia" w:ascii="仿宋_GB2312" w:hAnsi="仿宋_GB2312" w:eastAsia="仿宋_GB2312" w:cs="仿宋_GB2312"/>
                <w:spacing w:val="-6"/>
                <w:position w:val="2"/>
                <w:sz w:val="24"/>
                <w:szCs w:val="24"/>
              </w:rPr>
              <w:t>第一部分至少2L，第二部</w:t>
            </w:r>
            <w:r>
              <w:rPr>
                <w:rFonts w:hint="eastAsia" w:ascii="仿宋_GB2312" w:hAnsi="仿宋_GB2312" w:eastAsia="仿宋_GB2312" w:cs="仿宋_GB2312"/>
                <w:spacing w:val="-5"/>
                <w:position w:val="2"/>
                <w:sz w:val="24"/>
                <w:szCs w:val="24"/>
              </w:rPr>
              <w:t>分至少</w:t>
            </w:r>
            <w:r>
              <w:rPr>
                <w:rFonts w:hint="eastAsia" w:ascii="仿宋_GB2312" w:hAnsi="仿宋_GB2312" w:eastAsia="仿宋_GB2312" w:cs="仿宋_GB2312"/>
                <w:spacing w:val="-59"/>
                <w:position w:val="2"/>
                <w:sz w:val="24"/>
                <w:szCs w:val="24"/>
              </w:rPr>
              <w:t xml:space="preserve"> </w:t>
            </w:r>
            <w:r>
              <w:rPr>
                <w:rFonts w:hint="eastAsia" w:ascii="仿宋_GB2312" w:hAnsi="仿宋_GB2312" w:eastAsia="仿宋_GB2312" w:cs="仿宋_GB2312"/>
                <w:spacing w:val="-5"/>
                <w:position w:val="2"/>
                <w:sz w:val="24"/>
                <w:szCs w:val="24"/>
              </w:rPr>
              <w:t>700mL）</w:t>
            </w:r>
          </w:p>
        </w:tc>
        <w:tc>
          <w:tcPr>
            <w:tcW w:w="2863" w:type="dxa"/>
            <w:vAlign w:val="center"/>
          </w:tcPr>
          <w:p>
            <w:pPr>
              <w:pStyle w:val="7"/>
              <w:spacing w:before="207" w:line="357" w:lineRule="exact"/>
              <w:ind w:left="133"/>
              <w:rPr>
                <w:rFonts w:hint="eastAsia" w:ascii="仿宋_GB2312" w:hAnsi="仿宋_GB2312" w:eastAsia="仿宋_GB2312" w:cs="仿宋_GB2312"/>
                <w:sz w:val="24"/>
                <w:szCs w:val="24"/>
              </w:rPr>
            </w:pPr>
            <w:r>
              <w:rPr>
                <w:rFonts w:hint="eastAsia" w:ascii="仿宋_GB2312" w:hAnsi="仿宋_GB2312" w:eastAsia="仿宋_GB2312" w:cs="仿宋_GB2312"/>
                <w:spacing w:val="-1"/>
                <w:position w:val="2"/>
                <w:sz w:val="24"/>
                <w:szCs w:val="24"/>
              </w:rPr>
              <w:t>至少2.7L（包含</w:t>
            </w:r>
            <w:r>
              <w:rPr>
                <w:rFonts w:hint="eastAsia" w:ascii="仿宋_GB2312" w:hAnsi="仿宋_GB2312" w:eastAsia="仿宋_GB2312" w:cs="仿宋_GB2312"/>
                <w:spacing w:val="-60"/>
                <w:position w:val="2"/>
                <w:sz w:val="24"/>
                <w:szCs w:val="24"/>
              </w:rPr>
              <w:t xml:space="preserve"> </w:t>
            </w:r>
            <w:r>
              <w:rPr>
                <w:rFonts w:hint="eastAsia" w:ascii="仿宋_GB2312" w:hAnsi="仿宋_GB2312" w:eastAsia="仿宋_GB2312" w:cs="仿宋_GB2312"/>
                <w:spacing w:val="-1"/>
                <w:position w:val="2"/>
                <w:sz w:val="24"/>
                <w:szCs w:val="24"/>
              </w:rPr>
              <w:t>2 部分，</w:t>
            </w:r>
            <w:r>
              <w:rPr>
                <w:rFonts w:hint="eastAsia" w:ascii="仿宋_GB2312" w:hAnsi="仿宋_GB2312" w:eastAsia="仿宋_GB2312" w:cs="仿宋_GB2312"/>
                <w:spacing w:val="-6"/>
                <w:position w:val="2"/>
                <w:sz w:val="24"/>
                <w:szCs w:val="24"/>
              </w:rPr>
              <w:t>第一部分至少2L，第二部</w:t>
            </w:r>
            <w:r>
              <w:rPr>
                <w:rFonts w:hint="eastAsia" w:ascii="仿宋_GB2312" w:hAnsi="仿宋_GB2312" w:eastAsia="仿宋_GB2312" w:cs="仿宋_GB2312"/>
                <w:spacing w:val="-5"/>
                <w:position w:val="2"/>
                <w:sz w:val="24"/>
                <w:szCs w:val="24"/>
              </w:rPr>
              <w:t>分至少</w:t>
            </w:r>
            <w:r>
              <w:rPr>
                <w:rFonts w:hint="eastAsia" w:ascii="仿宋_GB2312" w:hAnsi="仿宋_GB2312" w:eastAsia="仿宋_GB2312" w:cs="仿宋_GB2312"/>
                <w:spacing w:val="-56"/>
                <w:position w:val="2"/>
                <w:sz w:val="24"/>
                <w:szCs w:val="24"/>
              </w:rPr>
              <w:t xml:space="preserve"> </w:t>
            </w:r>
            <w:r>
              <w:rPr>
                <w:rFonts w:hint="eastAsia" w:ascii="仿宋_GB2312" w:hAnsi="仿宋_GB2312" w:eastAsia="仿宋_GB2312" w:cs="仿宋_GB2312"/>
                <w:spacing w:val="-5"/>
                <w:position w:val="2"/>
                <w:sz w:val="24"/>
                <w:szCs w:val="24"/>
              </w:rPr>
              <w:t>700mL）</w:t>
            </w:r>
          </w:p>
        </w:tc>
      </w:tr>
    </w:tbl>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抽样方法如下：在生产企业（油库）抽样时，按GB/T 4756-2015《石油液体手工取样法》规定的方法抽取样本；在加油站抽样时，直接在加油机加油枪出口处随机抽取样本。抽取样本前，通过油枪将至少4L油品放出，清洗加油管，避免加油管污染样品；同时清洗取样罐至少3次。将抽取的样品密封，贴上样品标签，加封封条，全部带回检验机构。</w:t>
      </w: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r>
        <w:rPr>
          <w:rFonts w:hint="eastAsia" w:ascii="Times New Roman" w:hAnsi="Times New Roman" w:eastAsia="黑体" w:cs="黑体"/>
          <w:color w:val="000000"/>
          <w:sz w:val="32"/>
          <w:szCs w:val="40"/>
          <w:highlight w:val="none"/>
        </w:rPr>
        <w:t>2 检验依据</w:t>
      </w:r>
    </w:p>
    <w:tbl>
      <w:tblPr>
        <w:tblStyle w:val="3"/>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2977"/>
        <w:gridCol w:w="4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81" w:type="dxa"/>
            <w:tcBorders>
              <w:top w:val="single" w:color="auto" w:sz="4" w:space="0"/>
              <w:left w:val="single" w:color="auto" w:sz="4" w:space="0"/>
              <w:bottom w:val="single" w:color="auto" w:sz="4" w:space="0"/>
              <w:right w:val="single" w:color="auto" w:sz="4" w:space="0"/>
            </w:tcBorders>
          </w:tcPr>
          <w:p>
            <w:pPr>
              <w:autoSpaceDE w:val="0"/>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bidi="ar"/>
              </w:rPr>
              <w:t>序号</w:t>
            </w:r>
          </w:p>
        </w:tc>
        <w:tc>
          <w:tcPr>
            <w:tcW w:w="2977" w:type="dxa"/>
            <w:tcBorders>
              <w:top w:val="single" w:color="auto" w:sz="4" w:space="0"/>
              <w:left w:val="single" w:color="auto" w:sz="4" w:space="0"/>
              <w:bottom w:val="single" w:color="auto" w:sz="4" w:space="0"/>
              <w:right w:val="single" w:color="auto" w:sz="4" w:space="0"/>
            </w:tcBorders>
          </w:tcPr>
          <w:p>
            <w:pPr>
              <w:autoSpaceDE w:val="0"/>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bidi="ar"/>
              </w:rPr>
              <w:t>检验项目</w:t>
            </w:r>
          </w:p>
        </w:tc>
        <w:tc>
          <w:tcPr>
            <w:tcW w:w="4101" w:type="dxa"/>
            <w:tcBorders>
              <w:top w:val="single" w:color="auto" w:sz="4" w:space="0"/>
              <w:left w:val="single" w:color="auto" w:sz="4" w:space="0"/>
              <w:bottom w:val="single" w:color="auto" w:sz="4" w:space="0"/>
              <w:right w:val="single" w:color="auto" w:sz="4" w:space="0"/>
            </w:tcBorders>
          </w:tcPr>
          <w:p>
            <w:pPr>
              <w:autoSpaceDE w:val="0"/>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w:t>
            </w:r>
          </w:p>
        </w:tc>
        <w:tc>
          <w:tcPr>
            <w:tcW w:w="297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研究法辛烷值（RON）</w:t>
            </w:r>
          </w:p>
        </w:tc>
        <w:tc>
          <w:tcPr>
            <w:tcW w:w="4101"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GB/T 5487—2015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2</w:t>
            </w:r>
          </w:p>
        </w:tc>
        <w:tc>
          <w:tcPr>
            <w:tcW w:w="297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馏程</w:t>
            </w:r>
          </w:p>
        </w:tc>
        <w:tc>
          <w:tcPr>
            <w:tcW w:w="4101"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GB/T 6536—2010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3</w:t>
            </w:r>
          </w:p>
        </w:tc>
        <w:tc>
          <w:tcPr>
            <w:tcW w:w="297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硫含量</w:t>
            </w:r>
          </w:p>
        </w:tc>
        <w:tc>
          <w:tcPr>
            <w:tcW w:w="4101"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SH/T 0689—2000</w:t>
            </w:r>
          </w:p>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NB/SH/T 0253—2021</w:t>
            </w:r>
          </w:p>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GB/T 11140—2008</w:t>
            </w:r>
          </w:p>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ASTM D7039-2024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4</w:t>
            </w:r>
          </w:p>
        </w:tc>
        <w:tc>
          <w:tcPr>
            <w:tcW w:w="297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苯含量</w:t>
            </w:r>
          </w:p>
        </w:tc>
        <w:tc>
          <w:tcPr>
            <w:tcW w:w="4101"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NB/SH/T 0713—2023</w:t>
            </w:r>
          </w:p>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SH/T 0693—2000</w:t>
            </w:r>
          </w:p>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GB/T 28768—2012</w:t>
            </w:r>
          </w:p>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GB/T 30519—2024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5</w:t>
            </w:r>
          </w:p>
        </w:tc>
        <w:tc>
          <w:tcPr>
            <w:tcW w:w="297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芳烃含量</w:t>
            </w:r>
          </w:p>
        </w:tc>
        <w:tc>
          <w:tcPr>
            <w:tcW w:w="4101"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GB/T 30519—2024</w:t>
            </w:r>
          </w:p>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GB/T 11132—2022</w:t>
            </w:r>
          </w:p>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GB/T 28768—2012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6</w:t>
            </w:r>
          </w:p>
        </w:tc>
        <w:tc>
          <w:tcPr>
            <w:tcW w:w="297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烯烃含量</w:t>
            </w:r>
          </w:p>
        </w:tc>
        <w:tc>
          <w:tcPr>
            <w:tcW w:w="4101"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GB/T 30519—2024</w:t>
            </w:r>
          </w:p>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GB/T 11132—2022</w:t>
            </w:r>
          </w:p>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GB/T 28768—2012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7</w:t>
            </w:r>
          </w:p>
        </w:tc>
        <w:tc>
          <w:tcPr>
            <w:tcW w:w="297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氧含量</w:t>
            </w:r>
          </w:p>
        </w:tc>
        <w:tc>
          <w:tcPr>
            <w:tcW w:w="4101"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NB/SH/T 0663—2014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8</w:t>
            </w:r>
          </w:p>
        </w:tc>
        <w:tc>
          <w:tcPr>
            <w:tcW w:w="297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甲醇含量</w:t>
            </w:r>
          </w:p>
        </w:tc>
        <w:tc>
          <w:tcPr>
            <w:tcW w:w="4101"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NB/SH/T 0663—2014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9</w:t>
            </w:r>
          </w:p>
        </w:tc>
        <w:tc>
          <w:tcPr>
            <w:tcW w:w="297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密度（20℃）</w:t>
            </w:r>
          </w:p>
        </w:tc>
        <w:tc>
          <w:tcPr>
            <w:tcW w:w="4101"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GB/T 1884—2000</w:t>
            </w:r>
          </w:p>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GB/T 1885—1998</w:t>
            </w:r>
          </w:p>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SH/T 0604—2000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10</w:t>
            </w:r>
          </w:p>
        </w:tc>
        <w:tc>
          <w:tcPr>
            <w:tcW w:w="2977"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蒸气压</w:t>
            </w:r>
          </w:p>
        </w:tc>
        <w:tc>
          <w:tcPr>
            <w:tcW w:w="4101" w:type="dxa"/>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GB/T 8017—2012</w:t>
            </w:r>
          </w:p>
          <w:p>
            <w:pPr>
              <w:autoSpaceDE w:val="0"/>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SH/T 0794—2007</w:t>
            </w:r>
          </w:p>
        </w:tc>
      </w:tr>
    </w:tbl>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执行企业标准、团体标准、地方标准的产品，检验项目参照上述内容执行。</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凡是注日期的文件，其随后所有的修改单（不包括勘误的内容）或修订版不适用于本细则。凡是不注日期的文件，其最新版本适用于本细则。</w:t>
      </w:r>
    </w:p>
    <w:p>
      <w:pPr>
        <w:pageBreakBefore w:val="0"/>
        <w:overflowPunct/>
        <w:topLinePunct w:val="0"/>
        <w:bidi w:val="0"/>
        <w:adjustRightInd/>
        <w:snapToGrid/>
        <w:spacing w:line="560" w:lineRule="exact"/>
        <w:ind w:firstLine="640" w:firstLineChars="200"/>
        <w:rPr>
          <w:rFonts w:hint="eastAsia" w:ascii="Times New Roman" w:hAnsi="Times New Roman" w:eastAsia="黑体" w:cs="黑体"/>
          <w:color w:val="000000"/>
          <w:sz w:val="32"/>
          <w:szCs w:val="40"/>
          <w:highlight w:val="none"/>
        </w:rPr>
      </w:pPr>
      <w:r>
        <w:rPr>
          <w:rFonts w:hint="eastAsia" w:ascii="Times New Roman" w:hAnsi="Times New Roman" w:eastAsia="黑体" w:cs="黑体"/>
          <w:color w:val="000000"/>
          <w:sz w:val="32"/>
          <w:szCs w:val="40"/>
          <w:highlight w:val="none"/>
        </w:rPr>
        <w:t>3 判定规则</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3.1依据标准</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 17930—2016 《车用汽油》</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现行有效的企业标准、团体标准、地方标准及产品明示质量要求</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广东省人民政府关于全面推广使用国VIB车用汽油的通知（粤府函〔2022〕159 号）</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3.2判定原则</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经检验，检验项目全部合格，判定为被抽查产品所检项目未发现不合格；检验项目中任一项或一项以上不合格，判定为被抽查产品不合格。</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若被检产品明示的质量要求高于本细则中检验项目依据的标准要求时，应按被检产品明示的质量要求判定。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若被检产品明示的质量要求低于本细则中检验项目依据的强制性标准要求时，应按照强制性标准要求判定。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若被检产品明示的质量要求低于或包含本细则中检验项目依据的推荐性标准要求时，应以被检产品明示的质量要求判定。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若被检产品明示的质量要求缺少本细则中检验项目依据的强制性标准要求时，应按照强制性标准要求判定。</w:t>
      </w:r>
    </w:p>
    <w:p>
      <w:pPr>
        <w:pageBreakBefore w:val="0"/>
        <w:overflowPunct/>
        <w:topLinePunct w:val="0"/>
        <w:bidi w:val="0"/>
        <w:adjustRightInd/>
        <w:snapToGrid/>
        <w:spacing w:line="560" w:lineRule="exact"/>
        <w:ind w:firstLine="640" w:firstLineChars="200"/>
        <w:rPr>
          <w:rFonts w:hint="eastAsia"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若被检产品明示的质量要求缺少本细则中检验项目依据的推荐性标准要求时，该项目不参与判定。</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仿宋_GB2312"/>
    <w:panose1 w:val="03000509000000000000"/>
    <w:charset w:val="86"/>
    <w:family w:val="script"/>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62141F"/>
    <w:rsid w:val="6E6214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
    <w:name w:val="样式1 标题（方正小标宋简体）"/>
    <w:basedOn w:val="1"/>
    <w:qFormat/>
    <w:uiPriority w:val="0"/>
    <w:pPr>
      <w:spacing w:after="0" w:line="560" w:lineRule="exact"/>
      <w:jc w:val="center"/>
    </w:pPr>
    <w:rPr>
      <w:rFonts w:ascii="Times New Roman" w:hAnsi="Times New Roman" w:eastAsia="方正小标宋简体" w:cs="Times New Roman"/>
      <w:sz w:val="44"/>
      <w:szCs w:val="44"/>
      <w14:ligatures w14:val="none"/>
    </w:rPr>
  </w:style>
  <w:style w:type="table" w:customStyle="1" w:styleId="6">
    <w:name w:val="Table Normal"/>
    <w:unhideWhenUsed/>
    <w:qFormat/>
    <w:uiPriority w:val="2"/>
    <w:rPr>
      <w:rFonts w:eastAsia="宋体"/>
    </w:rPr>
    <w:tblPr>
      <w:tblCellMar>
        <w:top w:w="0" w:type="dxa"/>
        <w:left w:w="0" w:type="dxa"/>
        <w:bottom w:w="0" w:type="dxa"/>
        <w:right w:w="0" w:type="dxa"/>
      </w:tblCellMar>
    </w:tblPr>
  </w:style>
  <w:style w:type="paragraph" w:customStyle="1" w:styleId="7">
    <w:name w:val="Table Text"/>
    <w:basedOn w:val="1"/>
    <w:semiHidden/>
    <w:qFormat/>
    <w:uiPriority w:val="0"/>
    <w:pPr>
      <w:widowControl/>
      <w:kinsoku w:val="0"/>
      <w:autoSpaceDE w:val="0"/>
      <w:autoSpaceDN w:val="0"/>
      <w:adjustRightInd w:val="0"/>
      <w:snapToGrid w:val="0"/>
      <w:spacing w:after="160" w:line="240" w:lineRule="auto"/>
      <w:jc w:val="left"/>
      <w:textAlignment w:val="baseline"/>
    </w:pPr>
    <w:rPr>
      <w:rFonts w:ascii="Times New Roman" w:hAnsi="Times New Roman" w:eastAsia="Times New Roman" w:cs="Times New Roman"/>
      <w:snapToGrid w:val="0"/>
      <w:color w:val="000000"/>
      <w:kern w:val="0"/>
      <w:sz w:val="24"/>
      <w:szCs w:val="24"/>
      <w:lang w:eastAsia="en-US"/>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2025-07-07T03:27:00Z</dcterms:created>
  <dc:creator>刘燕</dc:creator>
  <cp:lastModifiedBy>刘燕</cp:lastModifiedBy>
  <dcterms:modified xsi:type="dcterms:W3CDTF">2025-07-07T03:27:21Z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