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附件12</w:t>
      </w:r>
    </w:p>
    <w:p>
      <w:pPr>
        <w:spacing w:line="640" w:lineRule="exact"/>
        <w:jc w:val="center"/>
        <w:rPr>
          <w:rFonts w:eastAsia="方正小标宋简体" w:cs="方正小标宋简体"/>
          <w:color w:val="000000"/>
          <w:sz w:val="36"/>
          <w:szCs w:val="36"/>
        </w:rPr>
      </w:pPr>
      <w:bookmarkStart w:id="0" w:name="_GoBack"/>
      <w:r>
        <w:rPr>
          <w:rFonts w:hint="eastAsia" w:ascii="方正小标宋_GBK" w:hAnsi="方正小标宋_GBK" w:eastAsia="方正小标宋_GBK" w:cs="方正小标宋_GBK"/>
          <w:color w:val="000000"/>
          <w:sz w:val="36"/>
          <w:szCs w:val="36"/>
        </w:rPr>
        <w:t>佛冈县玩具产品质量监督抽查实施细则</w:t>
      </w:r>
      <w:bookmarkEnd w:id="0"/>
    </w:p>
    <w:p>
      <w:pPr>
        <w:spacing w:line="640" w:lineRule="exact"/>
        <w:jc w:val="center"/>
        <w:rPr>
          <w:rFonts w:eastAsia="楷体_GB2312" w:cs="楷体_GB2312"/>
          <w:color w:val="000000"/>
          <w:szCs w:val="40"/>
        </w:rPr>
      </w:pPr>
      <w:r>
        <w:rPr>
          <w:rFonts w:hint="eastAsia" w:ascii="楷体" w:hAnsi="楷体" w:eastAsia="楷体" w:cs="楷体"/>
          <w:color w:val="000000"/>
          <w:sz w:val="32"/>
          <w:szCs w:val="32"/>
        </w:rPr>
        <w:t>（2025年版）</w:t>
      </w:r>
    </w:p>
    <w:p>
      <w:pPr>
        <w:spacing w:line="560" w:lineRule="exact"/>
        <w:rPr>
          <w:color w:val="000000"/>
          <w:szCs w:val="32"/>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每批次抽样数量3个，其中2个作为检验样品、1个作为备用样品。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p>
      <w:pPr>
        <w:autoSpaceDE w:val="0"/>
        <w:jc w:val="center"/>
        <w:rPr>
          <w:rFonts w:ascii="仿宋_GB2312" w:cs="仿宋_GB2312"/>
          <w:b/>
          <w:sz w:val="24"/>
        </w:rPr>
      </w:pP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63"/>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一、机械与物理性能（正常使用和可预见的合理滥用）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小零件</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挤压玩具、摇铃及类似玩具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小球</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毛球</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学前玩偶</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玩具奶嘴</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气球</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弹珠</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半球形玩具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可触及的金属或玻璃边缘</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功能性锐利边缘</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金属玩具边缘</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模塑玩具边缘</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外露螺栓或螺纹杆的边缘</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可触及的锐利尖端</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功能性锐利尖端</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木制玩具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突出物</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把手和其他类似的管子</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金属丝和杆件</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用于包装或玩具中的塑料袋或塑料薄膜</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18个月以下儿童使用的玩具上的绳索和弹性绳</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18个月以下儿童使用的玩具上的自回缩绳</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36个月以下儿童使用的拖拉玩具上的绳索或弹性绳</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玩具袋上的绳索</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童床或游戏围栏上的悬挂玩具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童床上的健身玩具及类似玩具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飞行玩具的绳索、细绳或线</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玩具推车、玩具婴儿车及类似玩具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带有折叠机构的其他玩具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铰链间隙</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刚性材料上的圆孔</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活动部件间的间隙</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其他驱动机构</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发条钥匙</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弹簧</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封闭式玩具的通风装置</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封闭式玩具的关闭件</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封闭头部的玩具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仿制防护玩具</w:t>
            </w:r>
          </w:p>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（头盔、帽子、护目镜）</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弹射玩具的一般要求</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蓄能弹射玩具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非蓄能弹射玩具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水上玩具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热源玩具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液体填充玩具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口动玩具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玩具滚轴溜冰鞋、单排滚轴溜冰鞋及玩具滑板</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玩具火药帽</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声响要求</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磁体和磁性部件</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二、易燃性能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一般要求</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头戴玩具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化妆服饰</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供儿童进入的玩具</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具有毛绒或纺织表面的软体填充</w:t>
            </w:r>
          </w:p>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玩具（动物和娃娃等）</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三、特定元素的迁移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最大限量要求</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四、增塑剂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限定增塑剂限量要求</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五、电性能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标识和说明</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输入功率</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发热和非正常工作</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工作温度下的电气强度</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耐潮湿</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室温下的电气强度</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机械强度</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结构</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软线和电线的保护</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螺钉和连接</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11</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电气间隙和爬电距离</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w:t>
            </w:r>
          </w:p>
        </w:tc>
        <w:tc>
          <w:tcPr>
            <w:tcW w:w="376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耐热和耐燃</w:t>
            </w:r>
          </w:p>
        </w:tc>
        <w:tc>
          <w:tcPr>
            <w:tcW w:w="459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4"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备注：</w:t>
            </w:r>
            <w:r>
              <w:rPr>
                <w:rFonts w:hint="eastAsia" w:ascii="仿宋_GB2312" w:hAnsi="仿宋_GB2312" w:eastAsia="仿宋_GB2312" w:cs="仿宋_GB2312"/>
                <w:sz w:val="24"/>
                <w:szCs w:val="24"/>
                <w:lang w:bidi="ar"/>
              </w:rPr>
              <w:t>进行GB 19865—2005测试前应按标准第5章进行预处理。</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6675.1—2014《玩具安全  第1部分：基本规范》</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6675.2—2014《玩具安全  第2部分：机械与物理性能（含第1号修改单）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6675.3—2014《玩具安全  第3部分：易燃性能》</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6675.4—2014《玩具安全  第4部分：特定元素的迁移》</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19865—2005《电玩具的安全》（含第1号修改单）（适用于带电玩具）</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22048—2022《玩具及儿童用品中特定邻苯二甲酸酯增塑剂的测定》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40BDF"/>
    <w:rsid w:val="69240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2025-07-07T03:19:00Z</dcterms:created>
  <dc:creator>刘燕</dc:creator>
  <cp:lastModifiedBy>刘燕</cp:lastModifiedBy>
  <dcterms:modified xsi:type="dcterms:W3CDTF">2025-07-07T03:20:06Z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