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佛冈县手提式干粉灭火器产品质量监督抽查实施细则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32"/>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w:t>
      </w:r>
      <w:r>
        <w:rPr>
          <w:rFonts w:hint="default" w:ascii="Times New Roman" w:hAnsi="Times New Roman" w:eastAsia="仿宋_GB2312" w:cs="仿宋_GB2312"/>
          <w:color w:val="000000"/>
          <w:sz w:val="32"/>
          <w:szCs w:val="40"/>
          <w:highlight w:val="none"/>
          <w:lang w:val="en-US" w:eastAsia="zh-CN"/>
        </w:rPr>
        <w:t>8</w:t>
      </w:r>
      <w:r>
        <w:rPr>
          <w:rFonts w:hint="eastAsia" w:ascii="Times New Roman" w:hAnsi="Times New Roman" w:eastAsia="仿宋_GB2312" w:cs="仿宋_GB2312"/>
          <w:color w:val="000000"/>
          <w:sz w:val="32"/>
          <w:szCs w:val="40"/>
          <w:highlight w:val="none"/>
          <w:lang w:val="en-US" w:eastAsia="zh-CN"/>
        </w:rPr>
        <w:t>具，其中</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具为检验样品、</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具为备用样品。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p>
      <w:pPr>
        <w:keepNext w:val="0"/>
        <w:keepLines w:val="0"/>
        <w:widowControl w:val="0"/>
        <w:suppressLineNumbers w:val="0"/>
        <w:autoSpaceDE w:val="0"/>
        <w:autoSpaceDN/>
        <w:spacing w:before="0" w:beforeAutospacing="0" w:after="0" w:afterAutospacing="0" w:line="24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表</w:t>
      </w:r>
      <w:r>
        <w:rPr>
          <w:rFonts w:hint="default" w:ascii="Times New Roman" w:hAnsi="Times New Roman" w:eastAsia="仿宋_GB2312" w:cs="Times New Roman"/>
          <w:kern w:val="2"/>
          <w:sz w:val="28"/>
          <w:szCs w:val="28"/>
          <w:lang w:val="en-US" w:eastAsia="zh-CN" w:bidi="ar"/>
        </w:rPr>
        <w:t xml:space="preserve">1 </w:t>
      </w:r>
      <w:r>
        <w:rPr>
          <w:rFonts w:hint="eastAsia" w:ascii="仿宋_GB2312" w:hAnsi="Times New Roman" w:eastAsia="仿宋_GB2312" w:cs="仿宋_GB2312"/>
          <w:kern w:val="2"/>
          <w:sz w:val="28"/>
          <w:szCs w:val="28"/>
          <w:lang w:val="en-US" w:eastAsia="zh-CN" w:bidi="ar"/>
        </w:rPr>
        <w:t>手提式干粉灭火器（</w:t>
      </w:r>
      <w:r>
        <w:rPr>
          <w:rFonts w:hint="default" w:ascii="Times New Roman" w:hAnsi="Times New Roman" w:eastAsia="仿宋_GB2312" w:cs="Times New Roman"/>
          <w:kern w:val="2"/>
          <w:sz w:val="28"/>
          <w:szCs w:val="28"/>
          <w:lang w:val="en-US" w:eastAsia="zh-CN" w:bidi="ar"/>
        </w:rPr>
        <w:t>GB 4351.1-2005</w:t>
      </w:r>
      <w:r>
        <w:rPr>
          <w:rFonts w:hint="eastAsia" w:ascii="仿宋_GB2312" w:hAnsi="Times New Roman" w:eastAsia="仿宋_GB2312" w:cs="仿宋_GB2312"/>
          <w:kern w:val="2"/>
          <w:sz w:val="28"/>
          <w:szCs w:val="28"/>
          <w:lang w:val="en-US" w:eastAsia="zh-CN" w:bidi="ar"/>
        </w:rPr>
        <w:t>）产品检验项目</w:t>
      </w:r>
    </w:p>
    <w:tbl>
      <w:tblPr>
        <w:tblStyle w:val="3"/>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22"/>
        <w:gridCol w:w="283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5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检验项目</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292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w:t>
            </w:r>
            <w:r>
              <w:rPr>
                <w:rFonts w:hint="eastAsia" w:ascii="仿宋_GB2312" w:hAnsi="Times New Roman" w:eastAsia="仿宋_GB2312" w:cs="仿宋_GB2312"/>
                <w:kern w:val="2"/>
                <w:sz w:val="24"/>
                <w:szCs w:val="24"/>
                <w:lang w:val="en-US" w:eastAsia="zh-CN" w:bidi="ar"/>
              </w:rPr>
              <w:t>温度喷射性能</w:t>
            </w:r>
          </w:p>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试验</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最小有效喷射时间</w:t>
            </w:r>
          </w:p>
        </w:tc>
        <w:tc>
          <w:tcPr>
            <w:tcW w:w="24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最小喷射距离</w:t>
            </w: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喷射滞后时间</w:t>
            </w: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喷射剩余率</w:t>
            </w: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292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质量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灭火器总质量</w:t>
            </w:r>
          </w:p>
        </w:tc>
        <w:tc>
          <w:tcPr>
            <w:tcW w:w="240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灭火剂充装总量误差</w:t>
            </w:r>
          </w:p>
        </w:tc>
        <w:tc>
          <w:tcPr>
            <w:tcW w:w="2405"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p>
        </w:tc>
        <w:tc>
          <w:tcPr>
            <w:tcW w:w="5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水压试验（筒体）</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p>
        </w:tc>
        <w:tc>
          <w:tcPr>
            <w:tcW w:w="292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爆破试验</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筒体爆破压力</w:t>
            </w:r>
          </w:p>
        </w:tc>
        <w:tc>
          <w:tcPr>
            <w:tcW w:w="24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GB 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筒体容积膨胀率</w:t>
            </w: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92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筒体爆破口情况</w:t>
            </w:r>
          </w:p>
        </w:tc>
        <w:tc>
          <w:tcPr>
            <w:tcW w:w="240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p>
        </w:tc>
        <w:tc>
          <w:tcPr>
            <w:tcW w:w="2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灭火剂和驱动气体（干粉灭火剂）</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第一主要组分含量</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GB 4066-2017</w:t>
            </w:r>
          </w:p>
        </w:tc>
      </w:tr>
    </w:tbl>
    <w:p>
      <w:pPr>
        <w:keepNext w:val="0"/>
        <w:keepLines w:val="0"/>
        <w:widowControl w:val="0"/>
        <w:suppressLineNumbers w:val="0"/>
        <w:autoSpaceDE w:val="0"/>
        <w:autoSpaceDN/>
        <w:spacing w:before="0" w:beforeAutospacing="0" w:after="0" w:afterAutospacing="0" w:line="24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表</w:t>
      </w:r>
      <w:r>
        <w:rPr>
          <w:rFonts w:hint="default" w:ascii="Times New Roman" w:hAnsi="Times New Roman" w:eastAsia="仿宋_GB2312" w:cs="Times New Roman"/>
          <w:kern w:val="2"/>
          <w:sz w:val="28"/>
          <w:szCs w:val="28"/>
          <w:lang w:val="en-US" w:eastAsia="zh-CN" w:bidi="ar"/>
        </w:rPr>
        <w:t xml:space="preserve">2 </w:t>
      </w:r>
      <w:r>
        <w:rPr>
          <w:rFonts w:hint="eastAsia" w:ascii="仿宋_GB2312" w:hAnsi="Times New Roman" w:eastAsia="仿宋_GB2312" w:cs="仿宋_GB2312"/>
          <w:kern w:val="2"/>
          <w:sz w:val="28"/>
          <w:szCs w:val="28"/>
          <w:lang w:val="en-US" w:eastAsia="zh-CN" w:bidi="ar"/>
        </w:rPr>
        <w:t>手提式干粉灭火器（</w:t>
      </w:r>
      <w:r>
        <w:rPr>
          <w:rFonts w:hint="default" w:ascii="Times New Roman" w:hAnsi="Times New Roman" w:eastAsia="仿宋_GB2312" w:cs="Times New Roman"/>
          <w:kern w:val="2"/>
          <w:sz w:val="28"/>
          <w:szCs w:val="28"/>
          <w:lang w:val="en-US" w:eastAsia="zh-CN" w:bidi="ar"/>
        </w:rPr>
        <w:t>GB 4351-2023</w:t>
      </w:r>
      <w:r>
        <w:rPr>
          <w:rFonts w:hint="eastAsia" w:ascii="仿宋_GB2312" w:hAnsi="Times New Roman" w:eastAsia="仿宋_GB2312" w:cs="仿宋_GB2312"/>
          <w:kern w:val="2"/>
          <w:sz w:val="28"/>
          <w:szCs w:val="28"/>
          <w:lang w:val="en-US" w:eastAsia="zh-CN" w:bidi="ar"/>
        </w:rPr>
        <w:t>）产品检验项目</w:t>
      </w:r>
    </w:p>
    <w:tbl>
      <w:tblPr>
        <w:tblStyle w:val="3"/>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07"/>
        <w:gridCol w:w="2558"/>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5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w:t>
            </w:r>
          </w:p>
        </w:tc>
        <w:tc>
          <w:tcPr>
            <w:tcW w:w="290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20℃时喷射性能</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有效喷射时间</w:t>
            </w:r>
          </w:p>
        </w:tc>
        <w:tc>
          <w:tcPr>
            <w:tcW w:w="26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GB 4351-2023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907"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喷射滞后时间</w:t>
            </w:r>
          </w:p>
        </w:tc>
        <w:tc>
          <w:tcPr>
            <w:tcW w:w="269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907"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喷射剩余率</w:t>
            </w:r>
          </w:p>
        </w:tc>
        <w:tc>
          <w:tcPr>
            <w:tcW w:w="269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907"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喷射距离</w:t>
            </w:r>
          </w:p>
        </w:tc>
        <w:tc>
          <w:tcPr>
            <w:tcW w:w="269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w:t>
            </w:r>
          </w:p>
        </w:tc>
        <w:tc>
          <w:tcPr>
            <w:tcW w:w="290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充装要求</w:t>
            </w:r>
          </w:p>
        </w:tc>
        <w:tc>
          <w:tcPr>
            <w:tcW w:w="255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充装量</w:t>
            </w:r>
          </w:p>
        </w:tc>
        <w:tc>
          <w:tcPr>
            <w:tcW w:w="269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GB 4351-2023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907"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充装误差</w:t>
            </w:r>
          </w:p>
        </w:tc>
        <w:tc>
          <w:tcPr>
            <w:tcW w:w="2692"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3</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瓶体</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爆破性能</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GB 4351-2023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4</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灭火剂（干粉灭火剂）</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第一主要组分含量</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GB 4066-2017</w:t>
            </w:r>
          </w:p>
        </w:tc>
      </w:tr>
    </w:tbl>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3 </w:t>
      </w:r>
      <w:r>
        <w:rPr>
          <w:rFonts w:hint="eastAsia" w:ascii="Times New Roman" w:hAnsi="Times New Roman" w:eastAsia="黑体" w:cs="黑体"/>
          <w:color w:val="000000"/>
          <w:sz w:val="32"/>
          <w:szCs w:val="40"/>
          <w:highlight w:val="none"/>
          <w:lang w:val="en-US" w:eastAsia="zh-CN"/>
        </w:rPr>
        <w:t>判定规则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4351.1-2005</w:t>
      </w:r>
      <w:r>
        <w:rPr>
          <w:rFonts w:hint="eastAsia" w:ascii="Times New Roman" w:hAnsi="Times New Roman" w:eastAsia="仿宋_GB2312" w:cs="仿宋_GB2312"/>
          <w:color w:val="000000"/>
          <w:sz w:val="32"/>
          <w:szCs w:val="40"/>
          <w:highlight w:val="none"/>
          <w:lang w:val="en-US" w:eastAsia="zh-CN"/>
        </w:rPr>
        <w:t xml:space="preserve">《手提式灭火器 第 </w:t>
      </w:r>
      <w:r>
        <w:rPr>
          <w:rFonts w:hint="default" w:ascii="Times New Roman" w:hAnsi="Times New Roman" w:eastAsia="仿宋_GB2312" w:cs="仿宋_GB2312"/>
          <w:color w:val="000000"/>
          <w:sz w:val="32"/>
          <w:szCs w:val="40"/>
          <w:highlight w:val="none"/>
          <w:lang w:val="en-US" w:eastAsia="zh-CN"/>
        </w:rPr>
        <w:t xml:space="preserve">1 </w:t>
      </w:r>
      <w:r>
        <w:rPr>
          <w:rFonts w:hint="eastAsia" w:ascii="Times New Roman" w:hAnsi="Times New Roman" w:eastAsia="仿宋_GB2312" w:cs="仿宋_GB2312"/>
          <w:color w:val="000000"/>
          <w:sz w:val="32"/>
          <w:szCs w:val="40"/>
          <w:highlight w:val="none"/>
          <w:lang w:val="en-US" w:eastAsia="zh-CN"/>
        </w:rPr>
        <w:t>部分：性能和结构要求》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4351-2023</w:t>
      </w:r>
      <w:r>
        <w:rPr>
          <w:rFonts w:hint="eastAsia" w:ascii="Times New Roman" w:hAnsi="Times New Roman" w:eastAsia="仿宋_GB2312" w:cs="仿宋_GB2312"/>
          <w:color w:val="000000"/>
          <w:sz w:val="32"/>
          <w:szCs w:val="40"/>
          <w:highlight w:val="none"/>
          <w:lang w:val="en-US" w:eastAsia="zh-CN"/>
        </w:rPr>
        <w:t>《手提式灭火器》</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pPr>
        <w:rPr>
          <w:rFonts w:hint="default"/>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81219"/>
    <w:rsid w:val="69C81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2025-07-07T03:10:00Z</dcterms:created>
  <dc:creator>刘燕</dc:creator>
  <cp:lastModifiedBy>刘燕</cp:lastModifiedBy>
  <dcterms:modified xsi:type="dcterms:W3CDTF">2025-07-07T03:10:33Z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