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88" w:lineRule="auto"/>
        <w:jc w:val="center"/>
        <w:rPr>
          <w:rFonts w:hint="eastAsia" w:ascii="楷体_GB2312" w:hAnsi="楷体_GB2312" w:eastAsia="楷体_GB2312" w:cs="楷体_GB2312"/>
          <w:b w:val="0"/>
          <w:bCs w:val="0"/>
          <w:sz w:val="44"/>
          <w:szCs w:val="44"/>
        </w:rPr>
      </w:pPr>
      <w:r>
        <w:rPr>
          <w:rFonts w:hint="eastAsia" w:ascii="方正小标宋简体" w:hAnsi="Times New Roman" w:eastAsia="方正小标宋简体" w:cs="Times New Roman"/>
          <w:sz w:val="44"/>
          <w:szCs w:val="44"/>
          <w:lang w:val="en-US" w:eastAsia="zh-CN"/>
        </w:rPr>
        <w:t>潖江水生环境综合整治专项债券项目</w:t>
      </w:r>
      <w:r>
        <w:rPr>
          <w:rFonts w:hint="eastAsia" w:ascii="方正小标宋简体" w:hAnsi="Times New Roman" w:eastAsia="方正小标宋简体" w:cs="Times New Roman"/>
          <w:sz w:val="44"/>
          <w:szCs w:val="44"/>
        </w:rPr>
        <w:t>资金绩效评价报告</w:t>
      </w:r>
    </w:p>
    <w:p>
      <w:pPr>
        <w:snapToGrid w:val="0"/>
        <w:spacing w:line="288" w:lineRule="auto"/>
        <w:rPr>
          <w:rFonts w:hint="eastAsia" w:ascii="仿宋_GB2312" w:hAnsi="仿宋_GB2312" w:eastAsia="仿宋_GB2312" w:cs="仿宋_GB2312"/>
          <w:sz w:val="32"/>
          <w:szCs w:val="32"/>
        </w:rPr>
      </w:pPr>
    </w:p>
    <w:p>
      <w:pPr>
        <w:snapToGrid w:val="0"/>
        <w:spacing w:line="288" w:lineRule="auto"/>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第一部分：绩效报告</w:t>
      </w:r>
    </w:p>
    <w:p>
      <w:pPr>
        <w:pStyle w:val="7"/>
        <w:numPr>
          <w:ilvl w:val="0"/>
          <w:numId w:val="0"/>
        </w:numPr>
        <w:tabs>
          <w:tab w:val="right" w:leader="dot" w:pos="8958"/>
        </w:tabs>
        <w:snapToGrid w:val="0"/>
        <w:spacing w:line="288" w:lineRule="auto"/>
        <w:ind w:firstLine="0" w:firstLineChars="0"/>
        <w:rPr>
          <w:rFonts w:hint="eastAsia" w:ascii="仿宋_GB2312" w:hAnsi="仿宋_GB2312" w:eastAsia="仿宋_GB2312" w:cs="仿宋_GB2312"/>
          <w:bCs/>
          <w:sz w:val="32"/>
          <w:szCs w:val="32"/>
        </w:rPr>
      </w:pPr>
    </w:p>
    <w:p>
      <w:pPr>
        <w:pStyle w:val="7"/>
        <w:keepNext w:val="0"/>
        <w:keepLines w:val="0"/>
        <w:pageBreakBefore w:val="0"/>
        <w:widowControl w:val="0"/>
        <w:numPr>
          <w:ilvl w:val="0"/>
          <w:numId w:val="0"/>
        </w:numPr>
        <w:tabs>
          <w:tab w:val="right" w:leader="dot" w:pos="8958"/>
        </w:tabs>
        <w:kinsoku/>
        <w:wordWrap/>
        <w:overflowPunct/>
        <w:topLinePunct w:val="0"/>
        <w:bidi w:val="0"/>
        <w:snapToGrid w:val="0"/>
        <w:spacing w:line="57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lang w:eastAsia="zh-CN"/>
        </w:rPr>
        <w:t>一、</w:t>
      </w:r>
      <w:r>
        <w:rPr>
          <w:rFonts w:hint="eastAsia" w:ascii="黑体" w:hAnsi="黑体" w:eastAsia="黑体" w:cs="黑体"/>
          <w:bCs/>
          <w:sz w:val="32"/>
          <w:szCs w:val="32"/>
        </w:rPr>
        <w:t>项目概要</w:t>
      </w:r>
    </w:p>
    <w:p>
      <w:pPr>
        <w:pStyle w:val="7"/>
        <w:keepNext w:val="0"/>
        <w:keepLines w:val="0"/>
        <w:pageBreakBefore w:val="0"/>
        <w:widowControl w:val="0"/>
        <w:numPr>
          <w:ilvl w:val="0"/>
          <w:numId w:val="0"/>
        </w:numPr>
        <w:kinsoku/>
        <w:wordWrap/>
        <w:overflowPunct/>
        <w:topLinePunct w:val="0"/>
        <w:bidi w:val="0"/>
        <w:snapToGrid w:val="0"/>
        <w:spacing w:line="570" w:lineRule="exact"/>
        <w:ind w:firstLine="643" w:firstLineChars="200"/>
        <w:textAlignment w:val="auto"/>
        <w:rPr>
          <w:rFonts w:hint="eastAsia" w:ascii="楷体_GB2312" w:hAnsi="楷体_GB2312" w:eastAsia="楷体_GB2312" w:cs="楷体_GB2312"/>
          <w:b/>
          <w:bCs w:val="0"/>
          <w:sz w:val="32"/>
          <w:szCs w:val="32"/>
          <w:lang w:val="en-US" w:eastAsia="zh-CN"/>
        </w:rPr>
      </w:pPr>
      <w:r>
        <w:rPr>
          <w:rFonts w:hint="eastAsia" w:ascii="楷体_GB2312" w:hAnsi="楷体_GB2312" w:eastAsia="楷体_GB2312" w:cs="楷体_GB2312"/>
          <w:b/>
          <w:bCs w:val="0"/>
          <w:sz w:val="32"/>
          <w:szCs w:val="32"/>
          <w:lang w:val="en-US" w:eastAsia="zh-CN"/>
        </w:rPr>
        <w:t>（一）项目概况。</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（1）工程建设是治理区域频繁洪涝灾害的需要</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潖江河为山区性河流，又属于暴雨多发区，很容易暴发洪涝灾害。过去一直未进行过全面系统的河流治理，整体防洪基础设施不足，对洪涝灾害抵御能力低，河床冲淤变动大，很多河段岸线还处于天然发育状态，不利于两岸生产和生活。根据河流存在的问题，进行有针对性的综合治理，可以有效地改善当地的生态环境，提高河道排洪能力以及沿河地区抵御洪涝灾害的能力，为地区的经济发展提供有力的保障，达到生态与经济共同发展的目标，实现可持续发展。</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（1）工程建设是改善流域水环境，建设美丽乡村的需要</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工程建设清理沿线的生产生活垃圾和违章建筑物，对部分乡镇进行污水治理，限制控河滩地的种植行为，采用生态技术对护坡护岸进行整治，达到“河畅、岸绿、水清、景美”的整治目的，对改善沿河生态环境，建设社会主义美丽乡村具有积极的意义。</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（2）工程建设是促进地区经济发展和建设小康社会的需要</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广东围绕“三个定位、两个率先”的总目标，提出到2018年全面建成小康社会的目标。但当前我省山区防洪问题欠账较多，距离全面建成小康社会差距甚远。随着山区各地市高附加值产业的不断发展、产业园区规模的不断扩大，城镇人口的不断集中、大量财富的加速集聚，极端气候发生概率的增加，经济社会发展对防洪安全提出了更高要求。</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本工程的建设，为当地社会经济快速可持续发展提供了较好的外部条件，是促进地区经济发展和建设小康社会的需要。</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3" w:firstLineChars="200"/>
        <w:textAlignment w:val="auto"/>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val="en-US" w:eastAsia="zh-CN"/>
        </w:rPr>
        <w:fldChar w:fldCharType="begin"/>
      </w:r>
      <w:r>
        <w:rPr>
          <w:rFonts w:hint="eastAsia" w:ascii="楷体_GB2312" w:hAnsi="楷体_GB2312" w:eastAsia="楷体_GB2312" w:cs="楷体_GB2312"/>
          <w:b/>
          <w:sz w:val="32"/>
          <w:szCs w:val="32"/>
          <w:lang w:val="en-US" w:eastAsia="zh-CN"/>
        </w:rPr>
        <w:instrText xml:space="preserve"> HYPERLINK \l _Toc29791 </w:instrText>
      </w:r>
      <w:r>
        <w:rPr>
          <w:rFonts w:hint="eastAsia" w:ascii="楷体_GB2312" w:hAnsi="楷体_GB2312" w:eastAsia="楷体_GB2312" w:cs="楷体_GB2312"/>
          <w:b/>
          <w:sz w:val="32"/>
          <w:szCs w:val="32"/>
          <w:lang w:val="en-US" w:eastAsia="zh-CN"/>
        </w:rPr>
        <w:fldChar w:fldCharType="separate"/>
      </w:r>
      <w:r>
        <w:rPr>
          <w:rFonts w:hint="eastAsia" w:ascii="楷体_GB2312" w:hAnsi="楷体_GB2312" w:eastAsia="楷体_GB2312" w:cs="楷体_GB2312"/>
          <w:b/>
          <w:bCs w:val="0"/>
          <w:kern w:val="2"/>
          <w:sz w:val="32"/>
          <w:szCs w:val="32"/>
          <w:lang w:val="en-US" w:eastAsia="zh-CN" w:bidi="ar-SA"/>
        </w:rPr>
        <w:t>（二）绩效目标</w:t>
      </w:r>
      <w:r>
        <w:rPr>
          <w:rFonts w:hint="eastAsia" w:ascii="楷体_GB2312" w:hAnsi="楷体_GB2312" w:eastAsia="楷体_GB2312" w:cs="楷体_GB2312"/>
          <w:b/>
          <w:sz w:val="32"/>
          <w:szCs w:val="32"/>
          <w:lang w:val="en-US" w:eastAsia="zh-CN"/>
        </w:rPr>
        <w:fldChar w:fldCharType="end"/>
      </w:r>
    </w:p>
    <w:p>
      <w:pPr>
        <w:pStyle w:val="5"/>
        <w:widowControl w:val="0"/>
        <w:spacing w:before="0" w:after="0" w:line="360" w:lineRule="auto"/>
        <w:ind w:firstLine="640"/>
        <w:jc w:val="both"/>
        <w:rPr>
          <w:rFonts w:hint="eastAsia" w:ascii="仿宋_GB2312" w:hAnsi="仿宋" w:eastAsia="仿宋_GB2312" w:cs="仿宋"/>
          <w:color w:val="auto"/>
          <w:sz w:val="32"/>
          <w:szCs w:val="32"/>
          <w:highlight w:val="none"/>
          <w:lang w:val="en-US"/>
        </w:rPr>
      </w:pPr>
      <w:r>
        <w:rPr>
          <w:rFonts w:hint="eastAsia" w:ascii="仿宋_GB2312" w:hAnsi="仿宋" w:eastAsia="仿宋_GB2312" w:cs="仿宋"/>
          <w:color w:val="auto"/>
          <w:sz w:val="32"/>
          <w:szCs w:val="32"/>
          <w:highlight w:val="none"/>
          <w:lang w:val="en-US"/>
        </w:rPr>
        <w:t>（1）水排放综合治理</w:t>
      </w:r>
    </w:p>
    <w:p>
      <w:pPr>
        <w:pStyle w:val="5"/>
        <w:widowControl w:val="0"/>
        <w:spacing w:before="0" w:after="0" w:line="360" w:lineRule="auto"/>
        <w:ind w:firstLine="640"/>
        <w:jc w:val="both"/>
        <w:rPr>
          <w:rFonts w:hint="eastAsia" w:ascii="仿宋_GB2312" w:hAnsi="仿宋" w:eastAsia="仿宋_GB2312" w:cs="仿宋"/>
          <w:color w:val="auto"/>
          <w:sz w:val="32"/>
          <w:szCs w:val="32"/>
          <w:highlight w:val="none"/>
          <w:lang w:val="en-US"/>
        </w:rPr>
      </w:pPr>
      <w:r>
        <w:rPr>
          <w:rFonts w:hint="eastAsia" w:ascii="仿宋_GB2312" w:hAnsi="仿宋" w:eastAsia="仿宋_GB2312" w:cs="仿宋"/>
          <w:color w:val="auto"/>
          <w:sz w:val="32"/>
          <w:szCs w:val="32"/>
          <w:highlight w:val="none"/>
          <w:lang w:val="en-US"/>
        </w:rPr>
        <w:t>对佛冈县城潖江右岸城北中学至翻板闸现状DN600污水管原位换管，置换管道总长约1525m。对佛冈县城振兴北片区（篁胜新城、龙溪、英佛公路）配套集污管网，配套污水管网约4289m。</w:t>
      </w:r>
    </w:p>
    <w:p>
      <w:pPr>
        <w:pStyle w:val="5"/>
        <w:widowControl w:val="0"/>
        <w:spacing w:before="0" w:after="0" w:line="360" w:lineRule="auto"/>
        <w:ind w:firstLine="640"/>
        <w:jc w:val="both"/>
        <w:rPr>
          <w:rFonts w:hint="eastAsia" w:ascii="仿宋_GB2312" w:hAnsi="仿宋" w:eastAsia="仿宋_GB2312" w:cs="仿宋"/>
          <w:color w:val="auto"/>
          <w:sz w:val="32"/>
          <w:szCs w:val="32"/>
          <w:highlight w:val="none"/>
          <w:lang w:val="en-US"/>
        </w:rPr>
      </w:pPr>
      <w:r>
        <w:rPr>
          <w:rFonts w:hint="eastAsia" w:ascii="仿宋_GB2312" w:hAnsi="仿宋" w:eastAsia="仿宋_GB2312" w:cs="仿宋"/>
          <w:color w:val="auto"/>
          <w:sz w:val="32"/>
          <w:szCs w:val="32"/>
          <w:highlight w:val="none"/>
          <w:lang w:val="en-US"/>
        </w:rPr>
        <w:t>（2）水生态保护和修复</w:t>
      </w:r>
    </w:p>
    <w:p>
      <w:pPr>
        <w:pStyle w:val="5"/>
        <w:widowControl w:val="0"/>
        <w:spacing w:before="0" w:after="0" w:line="360" w:lineRule="auto"/>
        <w:ind w:firstLine="640"/>
        <w:jc w:val="both"/>
        <w:rPr>
          <w:rFonts w:hint="eastAsia" w:ascii="仿宋_GB2312" w:hAnsi="仿宋" w:eastAsia="仿宋_GB2312" w:cs="仿宋"/>
          <w:color w:val="auto"/>
          <w:sz w:val="32"/>
          <w:szCs w:val="32"/>
          <w:highlight w:val="none"/>
          <w:lang w:val="en-US"/>
        </w:rPr>
      </w:pPr>
      <w:r>
        <w:rPr>
          <w:rFonts w:hint="eastAsia" w:ascii="仿宋_GB2312" w:hAnsi="仿宋" w:eastAsia="仿宋_GB2312" w:cs="仿宋"/>
          <w:color w:val="auto"/>
          <w:sz w:val="32"/>
          <w:szCs w:val="32"/>
          <w:highlight w:val="none"/>
          <w:lang w:val="en-US"/>
        </w:rPr>
        <w:t>对潖江干流（奥园桥～二七桥段）进行清淤清障，治理长度3.95km。对潖江干流（建滔桥河道～大庙峡段）进行清淤清障，治理长度5.4km。</w:t>
      </w:r>
    </w:p>
    <w:p>
      <w:pPr>
        <w:pStyle w:val="5"/>
        <w:widowControl w:val="0"/>
        <w:spacing w:before="0" w:after="0" w:line="360" w:lineRule="auto"/>
        <w:ind w:firstLine="640"/>
        <w:jc w:val="both"/>
        <w:rPr>
          <w:rFonts w:hint="eastAsia" w:ascii="仿宋_GB2312" w:hAnsi="仿宋" w:eastAsia="仿宋_GB2312" w:cs="仿宋"/>
          <w:color w:val="auto"/>
          <w:sz w:val="32"/>
          <w:szCs w:val="32"/>
          <w:highlight w:val="none"/>
          <w:lang w:val="en-US"/>
        </w:rPr>
      </w:pPr>
      <w:r>
        <w:rPr>
          <w:rFonts w:hint="eastAsia" w:ascii="仿宋_GB2312" w:hAnsi="仿宋" w:eastAsia="仿宋_GB2312" w:cs="仿宋"/>
          <w:color w:val="auto"/>
          <w:sz w:val="32"/>
          <w:szCs w:val="32"/>
          <w:highlight w:val="none"/>
          <w:lang w:val="en-US"/>
        </w:rPr>
        <w:t>（</w:t>
      </w:r>
      <w:r>
        <w:rPr>
          <w:rFonts w:hint="eastAsia" w:ascii="仿宋_GB2312" w:hAnsi="仿宋" w:eastAsia="仿宋_GB2312" w:cs="仿宋"/>
          <w:color w:val="auto"/>
          <w:sz w:val="32"/>
          <w:szCs w:val="32"/>
          <w:highlight w:val="none"/>
          <w:lang w:val="en-US" w:eastAsia="zh-CN"/>
        </w:rPr>
        <w:t>3</w:t>
      </w:r>
      <w:r>
        <w:rPr>
          <w:rFonts w:hint="eastAsia" w:ascii="仿宋_GB2312" w:hAnsi="仿宋" w:eastAsia="仿宋_GB2312" w:cs="仿宋"/>
          <w:color w:val="auto"/>
          <w:sz w:val="32"/>
          <w:szCs w:val="32"/>
          <w:highlight w:val="none"/>
          <w:lang w:val="en-US"/>
        </w:rPr>
        <w:t>）西田水厂扩建工程</w:t>
      </w:r>
    </w:p>
    <w:p>
      <w:pPr>
        <w:pStyle w:val="5"/>
        <w:widowControl w:val="0"/>
        <w:spacing w:before="0" w:after="0" w:line="360" w:lineRule="auto"/>
        <w:ind w:firstLine="640"/>
        <w:jc w:val="both"/>
        <w:rPr>
          <w:rFonts w:hint="eastAsia" w:ascii="仿宋_GB2312" w:hAnsi="仿宋" w:eastAsia="仿宋_GB2312" w:cs="仿宋"/>
          <w:color w:val="auto"/>
          <w:sz w:val="32"/>
          <w:szCs w:val="32"/>
          <w:highlight w:val="none"/>
          <w:lang w:val="en-US"/>
        </w:rPr>
      </w:pPr>
      <w:r>
        <w:rPr>
          <w:rFonts w:hint="eastAsia" w:ascii="仿宋_GB2312" w:hAnsi="仿宋" w:eastAsia="仿宋_GB2312" w:cs="仿宋"/>
          <w:color w:val="auto"/>
          <w:sz w:val="32"/>
          <w:szCs w:val="32"/>
          <w:highlight w:val="none"/>
          <w:lang w:val="en-US"/>
        </w:rPr>
        <w:t>对西田水厂进行升级改造，并将供水范围在原潭洞、石潭、桂田、新联片供水基础上增加莲瑶、新坣、王田村、水头镇区附近及大学城、红苹果等企业。本次共计新增清水池1座、一体化净水设备1套，管理房1座；新建取水口一座，敷设引水渠1265m，输水管道130m，铺设配水管网82.73km。</w:t>
      </w:r>
    </w:p>
    <w:p>
      <w:pPr>
        <w:pStyle w:val="5"/>
        <w:widowControl w:val="0"/>
        <w:spacing w:before="0" w:after="0" w:line="360" w:lineRule="auto"/>
        <w:ind w:firstLine="640"/>
        <w:jc w:val="both"/>
        <w:rPr>
          <w:rFonts w:hint="eastAsia" w:ascii="仿宋_GB2312" w:hAnsi="仿宋" w:eastAsia="仿宋_GB2312" w:cs="仿宋"/>
          <w:color w:val="auto"/>
          <w:sz w:val="32"/>
          <w:szCs w:val="32"/>
          <w:highlight w:val="none"/>
          <w:lang w:val="en-US"/>
        </w:rPr>
      </w:pPr>
      <w:r>
        <w:rPr>
          <w:rFonts w:hint="eastAsia" w:ascii="仿宋_GB2312" w:hAnsi="仿宋" w:eastAsia="仿宋_GB2312" w:cs="仿宋"/>
          <w:color w:val="auto"/>
          <w:sz w:val="32"/>
          <w:szCs w:val="32"/>
          <w:highlight w:val="none"/>
          <w:lang w:val="en-US"/>
        </w:rPr>
        <w:t>（</w:t>
      </w:r>
      <w:r>
        <w:rPr>
          <w:rFonts w:hint="eastAsia" w:ascii="仿宋_GB2312" w:hAnsi="仿宋" w:eastAsia="仿宋_GB2312" w:cs="仿宋"/>
          <w:color w:val="auto"/>
          <w:sz w:val="32"/>
          <w:szCs w:val="32"/>
          <w:highlight w:val="none"/>
          <w:lang w:val="en-US" w:eastAsia="zh-CN"/>
        </w:rPr>
        <w:t>4</w:t>
      </w:r>
      <w:r>
        <w:rPr>
          <w:rFonts w:hint="eastAsia" w:ascii="仿宋_GB2312" w:hAnsi="仿宋" w:eastAsia="仿宋_GB2312" w:cs="仿宋"/>
          <w:color w:val="auto"/>
          <w:sz w:val="32"/>
          <w:szCs w:val="32"/>
          <w:highlight w:val="none"/>
          <w:lang w:val="en-US"/>
        </w:rPr>
        <w:t>）水头片区市政提升改造工程</w:t>
      </w:r>
    </w:p>
    <w:p>
      <w:pPr>
        <w:pStyle w:val="5"/>
        <w:widowControl w:val="0"/>
        <w:spacing w:before="0" w:after="0" w:line="360" w:lineRule="auto"/>
        <w:ind w:firstLine="640"/>
        <w:jc w:val="both"/>
        <w:rPr>
          <w:rFonts w:hint="eastAsia" w:ascii="仿宋_GB2312" w:hAnsi="仿宋" w:eastAsia="仿宋_GB2312" w:cs="仿宋"/>
          <w:color w:val="auto"/>
          <w:sz w:val="32"/>
          <w:szCs w:val="32"/>
          <w:highlight w:val="none"/>
          <w:lang w:val="en-US"/>
        </w:rPr>
      </w:pPr>
      <w:r>
        <w:rPr>
          <w:rFonts w:hint="eastAsia" w:ascii="仿宋_GB2312" w:hAnsi="仿宋" w:eastAsia="仿宋_GB2312" w:cs="仿宋"/>
          <w:color w:val="auto"/>
          <w:sz w:val="32"/>
          <w:szCs w:val="32"/>
          <w:highlight w:val="none"/>
          <w:lang w:val="en-US"/>
        </w:rPr>
        <w:t>在对水头镇镇区范围内进行雨污分流，共计新建DN150~DN300污水管道2440m，DN200~DN1500雨水管道1840m。</w:t>
      </w:r>
    </w:p>
    <w:p>
      <w:pPr>
        <w:pStyle w:val="5"/>
        <w:widowControl w:val="0"/>
        <w:spacing w:before="0" w:after="0" w:line="360" w:lineRule="auto"/>
        <w:ind w:firstLine="640"/>
        <w:jc w:val="both"/>
        <w:rPr>
          <w:rFonts w:hint="eastAsia" w:ascii="仿宋_GB2312" w:hAnsi="仿宋" w:eastAsia="仿宋_GB2312" w:cs="仿宋"/>
          <w:color w:val="auto"/>
          <w:sz w:val="32"/>
          <w:szCs w:val="32"/>
          <w:highlight w:val="none"/>
          <w:lang w:val="en-US"/>
        </w:rPr>
      </w:pPr>
      <w:r>
        <w:rPr>
          <w:rFonts w:hint="eastAsia" w:ascii="仿宋_GB2312" w:hAnsi="仿宋" w:eastAsia="仿宋_GB2312" w:cs="仿宋"/>
          <w:color w:val="auto"/>
          <w:sz w:val="32"/>
          <w:szCs w:val="32"/>
          <w:highlight w:val="none"/>
          <w:lang w:val="en-US"/>
        </w:rPr>
        <w:t>（</w:t>
      </w:r>
      <w:r>
        <w:rPr>
          <w:rFonts w:hint="eastAsia" w:ascii="仿宋_GB2312" w:hAnsi="仿宋" w:eastAsia="仿宋_GB2312" w:cs="仿宋"/>
          <w:color w:val="auto"/>
          <w:sz w:val="32"/>
          <w:szCs w:val="32"/>
          <w:highlight w:val="none"/>
          <w:lang w:val="en-US" w:eastAsia="zh-CN"/>
        </w:rPr>
        <w:t>5</w:t>
      </w:r>
      <w:r>
        <w:rPr>
          <w:rFonts w:hint="eastAsia" w:ascii="仿宋_GB2312" w:hAnsi="仿宋" w:eastAsia="仿宋_GB2312" w:cs="仿宋"/>
          <w:color w:val="auto"/>
          <w:sz w:val="32"/>
          <w:szCs w:val="32"/>
          <w:highlight w:val="none"/>
          <w:lang w:val="en-US"/>
        </w:rPr>
        <w:t>）水头镇防洪排涝工程</w:t>
      </w:r>
    </w:p>
    <w:p>
      <w:pPr>
        <w:pStyle w:val="5"/>
        <w:widowControl w:val="0"/>
        <w:spacing w:before="0" w:after="0" w:line="360" w:lineRule="auto"/>
        <w:ind w:firstLine="640"/>
        <w:jc w:val="both"/>
        <w:rPr>
          <w:rFonts w:hint="eastAsia" w:ascii="仿宋_GB2312" w:hAnsi="仿宋" w:eastAsia="仿宋_GB2312" w:cs="仿宋"/>
          <w:color w:val="auto"/>
          <w:sz w:val="32"/>
          <w:szCs w:val="32"/>
          <w:highlight w:val="none"/>
          <w:lang w:val="en-US"/>
        </w:rPr>
      </w:pPr>
      <w:r>
        <w:rPr>
          <w:rFonts w:hint="eastAsia" w:ascii="仿宋_GB2312" w:hAnsi="仿宋" w:eastAsia="仿宋_GB2312" w:cs="仿宋"/>
          <w:color w:val="auto"/>
          <w:sz w:val="32"/>
          <w:szCs w:val="32"/>
          <w:highlight w:val="none"/>
          <w:lang w:val="en-US"/>
        </w:rPr>
        <w:t>对现有丰联坑及王田坑排洪渠箱涵进行改造，改造内容主要是对王田坑水头中学段沟渠进行清淤、新建挡墙护岸、沟渠拓宽，长度约为450m；箱涵改造2处，总长度约为400m；渠道三面光护砌150m；重建渠道1000m；改造涵管1处。</w:t>
      </w:r>
    </w:p>
    <w:p>
      <w:pPr>
        <w:keepNext w:val="0"/>
        <w:keepLines w:val="0"/>
        <w:pageBreakBefore w:val="0"/>
        <w:widowControl w:val="0"/>
        <w:numPr>
          <w:ilvl w:val="0"/>
          <w:numId w:val="1"/>
        </w:numPr>
        <w:kinsoku/>
        <w:wordWrap/>
        <w:overflowPunct/>
        <w:topLinePunct w:val="0"/>
        <w:bidi w:val="0"/>
        <w:snapToGrid w:val="0"/>
        <w:spacing w:line="570" w:lineRule="exact"/>
        <w:ind w:firstLine="643" w:firstLineChars="200"/>
        <w:textAlignment w:val="auto"/>
        <w:rPr>
          <w:rFonts w:hint="eastAsia" w:ascii="楷体_GB2312" w:hAnsi="楷体_GB2312" w:eastAsia="楷体_GB2312" w:cs="楷体_GB2312"/>
          <w:b/>
          <w:bCs w:val="0"/>
          <w:color w:val="000000" w:themeColor="text1"/>
          <w:kern w:val="2"/>
          <w:sz w:val="32"/>
          <w:szCs w:val="32"/>
          <w:lang w:val="en-US" w:eastAsia="zh-CN" w:bidi="ar-SA"/>
          <w14:textFill>
            <w14:solidFill>
              <w14:schemeClr w14:val="tx1"/>
            </w14:solidFill>
          </w14:textFill>
        </w:rPr>
      </w:pPr>
      <w:r>
        <w:rPr>
          <w:rFonts w:hint="eastAsia" w:ascii="楷体_GB2312" w:hAnsi="楷体_GB2312" w:eastAsia="楷体_GB2312" w:cs="楷体_GB2312"/>
          <w:b/>
          <w:bCs w:val="0"/>
          <w:color w:val="000000" w:themeColor="text1"/>
          <w:kern w:val="2"/>
          <w:sz w:val="32"/>
          <w:szCs w:val="32"/>
          <w:lang w:val="en-US" w:eastAsia="zh-CN" w:bidi="ar-SA"/>
          <w14:textFill>
            <w14:solidFill>
              <w14:schemeClr w14:val="tx1"/>
            </w14:solidFill>
          </w14:textFill>
        </w:rPr>
        <w:t>评价金额及支出使用情况</w:t>
      </w:r>
    </w:p>
    <w:p>
      <w:pPr>
        <w:keepNext w:val="0"/>
        <w:keepLines w:val="0"/>
        <w:pageBreakBefore w:val="0"/>
        <w:widowControl w:val="0"/>
        <w:kinsoku/>
        <w:wordWrap/>
        <w:overflowPunct/>
        <w:topLinePunct w:val="0"/>
        <w:bidi w:val="0"/>
        <w:spacing w:line="570" w:lineRule="exact"/>
        <w:ind w:firstLine="640"/>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（1）资金到位情况</w:t>
      </w:r>
    </w:p>
    <w:p>
      <w:pPr>
        <w:keepNext w:val="0"/>
        <w:keepLines w:val="0"/>
        <w:pageBreakBefore w:val="0"/>
        <w:widowControl w:val="0"/>
        <w:kinsoku/>
        <w:wordWrap/>
        <w:overflowPunct/>
        <w:topLinePunct w:val="0"/>
        <w:bidi w:val="0"/>
        <w:spacing w:line="570" w:lineRule="exact"/>
        <w:ind w:firstLine="640"/>
        <w:textAlignment w:val="auto"/>
        <w:outlineLvl w:val="2"/>
        <w:rPr>
          <w:rFonts w:hint="eastAsia" w:ascii="仿宋" w:hAnsi="仿宋" w:eastAsia="仿宋" w:cs="仿宋"/>
          <w:b w:val="0"/>
          <w:bCs w:val="0"/>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kern w:val="2"/>
          <w:sz w:val="32"/>
          <w:szCs w:val="32"/>
          <w:highlight w:val="none"/>
          <w:lang w:val="en-US" w:eastAsia="zh-CN" w:bidi="ar-SA"/>
          <w14:textFill>
            <w14:solidFill>
              <w14:schemeClr w14:val="tx1"/>
            </w14:solidFill>
          </w14:textFill>
        </w:rPr>
        <w:t>2024年已安排</w:t>
      </w:r>
      <w:r>
        <w:rPr>
          <w:rFonts w:hint="eastAsia" w:ascii="仿宋" w:hAnsi="仿宋" w:eastAsia="仿宋" w:cs="仿宋"/>
          <w:b w:val="0"/>
          <w:bCs w:val="0"/>
          <w:color w:val="000000" w:themeColor="text1"/>
          <w:kern w:val="2"/>
          <w:sz w:val="32"/>
          <w:szCs w:val="32"/>
          <w:highlight w:val="none"/>
          <w:lang w:val="en-US" w:eastAsia="zh-CN" w:bidi="ar-SA"/>
          <w14:textFill>
            <w14:solidFill>
              <w14:schemeClr w14:val="tx1"/>
            </w14:solidFill>
          </w14:textFill>
        </w:rPr>
        <w:t>专项债券资金共计1500</w:t>
      </w:r>
      <w:r>
        <w:rPr>
          <w:rFonts w:hint="eastAsia" w:ascii="仿宋" w:hAnsi="仿宋" w:eastAsia="仿宋" w:cs="仿宋"/>
          <w:b w:val="0"/>
          <w:bCs w:val="0"/>
          <w:color w:val="000000" w:themeColor="text1"/>
          <w:sz w:val="32"/>
          <w:szCs w:val="32"/>
          <w:highlight w:val="none"/>
          <w14:textFill>
            <w14:solidFill>
              <w14:schemeClr w14:val="tx1"/>
            </w14:solidFill>
          </w14:textFill>
        </w:rPr>
        <w:t>.00万元</w:t>
      </w:r>
      <w:r>
        <w:rPr>
          <w:rFonts w:hint="eastAsia" w:ascii="仿宋" w:hAnsi="仿宋" w:eastAsia="仿宋" w:cs="仿宋"/>
          <w:b w:val="0"/>
          <w:bCs w:val="0"/>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bidi w:val="0"/>
        <w:spacing w:line="570" w:lineRule="exact"/>
        <w:ind w:firstLine="640"/>
        <w:textAlignment w:val="auto"/>
        <w:outlineLvl w:val="2"/>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（2）资金执行情况</w:t>
      </w:r>
    </w:p>
    <w:p>
      <w:pPr>
        <w:keepNext w:val="0"/>
        <w:keepLines w:val="0"/>
        <w:pageBreakBefore w:val="0"/>
        <w:widowControl w:val="0"/>
        <w:numPr>
          <w:ilvl w:val="0"/>
          <w:numId w:val="0"/>
        </w:numPr>
        <w:kinsoku/>
        <w:wordWrap/>
        <w:overflowPunct/>
        <w:topLinePunct w:val="0"/>
        <w:bidi w:val="0"/>
        <w:snapToGrid w:val="0"/>
        <w:spacing w:line="570" w:lineRule="exact"/>
        <w:ind w:firstLine="640" w:firstLineChars="200"/>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bCs/>
          <w:sz w:val="32"/>
          <w:szCs w:val="32"/>
          <w:lang w:val="en-US" w:eastAsia="zh-CN"/>
        </w:rPr>
        <w:t>潖江水生环境综合整治项目</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工程</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，2024年度下达专项债券资金1500万元，</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截至2024年12月底，共完成投资1500万元（专项债券资金1500万元），投资完成率</w:t>
      </w:r>
      <w:bookmarkStart w:id="0" w:name="BOOK_三12截至2022年12月底投资完成率"/>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100</w:t>
      </w:r>
      <w:bookmarkEnd w:id="0"/>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p>
    <w:p>
      <w:pPr>
        <w:pStyle w:val="7"/>
        <w:keepNext w:val="0"/>
        <w:keepLines w:val="0"/>
        <w:pageBreakBefore w:val="0"/>
        <w:widowControl w:val="0"/>
        <w:numPr>
          <w:ilvl w:val="0"/>
          <w:numId w:val="0"/>
        </w:numPr>
        <w:tabs>
          <w:tab w:val="right" w:leader="dot" w:pos="8958"/>
        </w:tabs>
        <w:kinsoku/>
        <w:wordWrap/>
        <w:overflowPunct/>
        <w:topLinePunct w:val="0"/>
        <w:bidi w:val="0"/>
        <w:snapToGrid w:val="0"/>
        <w:spacing w:line="570" w:lineRule="exact"/>
        <w:ind w:firstLine="640" w:firstLineChars="200"/>
        <w:textAlignment w:val="auto"/>
        <w:rPr>
          <w:rFonts w:hint="eastAsia" w:ascii="黑体" w:hAnsi="黑体" w:eastAsia="黑体" w:cs="黑体"/>
          <w:bCs/>
          <w:color w:val="000000" w:themeColor="text1"/>
          <w:sz w:val="32"/>
          <w:szCs w:val="32"/>
          <w:lang w:eastAsia="zh-CN"/>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二、评价结论与绩效分析</w:t>
      </w:r>
    </w:p>
    <w:p>
      <w:pPr>
        <w:pStyle w:val="7"/>
        <w:keepNext w:val="0"/>
        <w:keepLines w:val="0"/>
        <w:pageBreakBefore w:val="0"/>
        <w:widowControl w:val="0"/>
        <w:numPr>
          <w:ilvl w:val="0"/>
          <w:numId w:val="0"/>
        </w:numPr>
        <w:tabs>
          <w:tab w:val="right" w:leader="dot" w:pos="8958"/>
        </w:tabs>
        <w:kinsoku/>
        <w:wordWrap/>
        <w:overflowPunct/>
        <w:topLinePunct w:val="0"/>
        <w:bidi w:val="0"/>
        <w:snapToGrid w:val="0"/>
        <w:spacing w:line="570" w:lineRule="exact"/>
        <w:ind w:firstLine="643" w:firstLineChars="200"/>
        <w:textAlignment w:val="auto"/>
        <w:rPr>
          <w:rFonts w:hint="eastAsia" w:ascii="楷体_GB2312" w:hAnsi="楷体_GB2312" w:eastAsia="楷体_GB2312" w:cs="楷体_GB2312"/>
          <w:b/>
          <w:bCs w:val="0"/>
          <w:color w:val="000000" w:themeColor="text1"/>
          <w:kern w:val="2"/>
          <w:sz w:val="32"/>
          <w:szCs w:val="32"/>
          <w:lang w:val="en-US" w:eastAsia="zh-CN" w:bidi="ar-SA"/>
          <w14:textFill>
            <w14:solidFill>
              <w14:schemeClr w14:val="tx1"/>
            </w14:solidFill>
          </w14:textFill>
        </w:rPr>
      </w:pPr>
      <w:r>
        <w:rPr>
          <w:rFonts w:hint="eastAsia" w:ascii="楷体_GB2312" w:hAnsi="楷体_GB2312" w:eastAsia="楷体_GB2312" w:cs="楷体_GB2312"/>
          <w:b/>
          <w:bCs w:val="0"/>
          <w:color w:val="000000" w:themeColor="text1"/>
          <w:kern w:val="2"/>
          <w:sz w:val="32"/>
          <w:szCs w:val="32"/>
          <w:lang w:val="en-US" w:eastAsia="zh-CN" w:bidi="ar-SA"/>
          <w14:textFill>
            <w14:solidFill>
              <w14:schemeClr w14:val="tx1"/>
            </w14:solidFill>
          </w14:textFill>
        </w:rPr>
        <w:t>（一）总结结论</w:t>
      </w:r>
    </w:p>
    <w:p>
      <w:pPr>
        <w:pStyle w:val="7"/>
        <w:keepNext w:val="0"/>
        <w:keepLines w:val="0"/>
        <w:pageBreakBefore w:val="0"/>
        <w:widowControl w:val="0"/>
        <w:numPr>
          <w:ilvl w:val="0"/>
          <w:numId w:val="0"/>
        </w:numPr>
        <w:tabs>
          <w:tab w:val="right" w:leader="dot" w:pos="8958"/>
        </w:tabs>
        <w:kinsoku/>
        <w:wordWrap/>
        <w:overflowPunct/>
        <w:topLinePunct w:val="0"/>
        <w:bidi w:val="0"/>
        <w:snapToGrid w:val="0"/>
        <w:spacing w:line="570" w:lineRule="exact"/>
        <w:ind w:firstLine="640" w:firstLineChars="200"/>
        <w:textAlignment w:val="auto"/>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pPr>
      <w:r>
        <w:rPr>
          <w:rFonts w:hint="eastAsia" w:ascii="仿宋_GB2312" w:hAnsi="仿宋_GB2312" w:eastAsia="仿宋_GB2312" w:cs="仿宋_GB2312"/>
          <w:bCs/>
          <w:sz w:val="32"/>
          <w:szCs w:val="32"/>
          <w:lang w:val="en-US" w:eastAsia="zh-CN"/>
        </w:rPr>
        <w:t>潖江水生环境综合整治项目</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工程</w:t>
      </w:r>
      <w:r>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t>资金使用情况评价得分结果是依据年初设定绩效指标及评价表，通过对收集到的佐证材料全面客观地了解、对比目标值与实际结果后，基于项目资金实际使用情况，严格按照评分标准进行打分，计算出评价得分：100分，绩效评价结果等级为：优。</w:t>
      </w:r>
    </w:p>
    <w:p>
      <w:pPr>
        <w:pStyle w:val="7"/>
        <w:keepNext w:val="0"/>
        <w:keepLines w:val="0"/>
        <w:pageBreakBefore w:val="0"/>
        <w:widowControl w:val="0"/>
        <w:numPr>
          <w:ilvl w:val="0"/>
          <w:numId w:val="2"/>
        </w:numPr>
        <w:tabs>
          <w:tab w:val="right" w:leader="dot" w:pos="8958"/>
        </w:tabs>
        <w:kinsoku/>
        <w:wordWrap/>
        <w:overflowPunct/>
        <w:topLinePunct w:val="0"/>
        <w:bidi w:val="0"/>
        <w:snapToGrid w:val="0"/>
        <w:spacing w:line="570" w:lineRule="exact"/>
        <w:ind w:firstLine="643" w:firstLineChars="200"/>
        <w:textAlignment w:val="auto"/>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b/>
          <w:bCs w:val="0"/>
          <w:color w:val="000000" w:themeColor="text1"/>
          <w:kern w:val="2"/>
          <w:sz w:val="32"/>
          <w:szCs w:val="32"/>
          <w:lang w:val="en-US" w:eastAsia="zh-CN" w:bidi="ar-SA"/>
          <w14:textFill>
            <w14:solidFill>
              <w14:schemeClr w14:val="tx1"/>
            </w14:solidFill>
          </w14:textFill>
        </w:rPr>
        <w:t>各部分绩效分析。</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 xml:space="preserve"> </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b/>
          <w:bCs/>
          <w:color w:val="000000" w:themeColor="text1"/>
          <w:sz w:val="32"/>
          <w:szCs w:val="32"/>
          <w:u w:val="none"/>
          <w:lang w:eastAsia="zh-CN"/>
          <w14:textFill>
            <w14:solidFill>
              <w14:schemeClr w14:val="tx1"/>
            </w14:solidFill>
          </w14:textFill>
        </w:rPr>
      </w:pPr>
      <w:r>
        <w:rPr>
          <w:rFonts w:hint="eastAsia" w:ascii="仿宋" w:hAnsi="仿宋" w:eastAsia="仿宋" w:cs="仿宋"/>
          <w:color w:val="000000" w:themeColor="text1"/>
          <w:sz w:val="32"/>
          <w:szCs w:val="32"/>
          <w:u w:val="none"/>
          <w:lang w:eastAsia="zh-CN"/>
          <w14:textFill>
            <w14:solidFill>
              <w14:schemeClr w14:val="tx1"/>
            </w14:solidFill>
          </w14:textFill>
        </w:rPr>
        <w:t>工程</w:t>
      </w:r>
      <w:r>
        <w:rPr>
          <w:rFonts w:hint="eastAsia" w:ascii="仿宋" w:hAnsi="仿宋" w:eastAsia="仿宋" w:cs="仿宋"/>
          <w:color w:val="000000" w:themeColor="text1"/>
          <w:sz w:val="32"/>
          <w:szCs w:val="32"/>
          <w:u w:val="none"/>
          <w:lang w:val="en-US" w:eastAsia="zh-CN"/>
          <w14:textFill>
            <w14:solidFill>
              <w14:schemeClr w14:val="tx1"/>
            </w14:solidFill>
          </w14:textFill>
        </w:rPr>
        <w:t>2024年12月30日前完工，</w:t>
      </w:r>
      <w:r>
        <w:rPr>
          <w:rFonts w:hint="eastAsia" w:ascii="仿宋" w:hAnsi="仿宋" w:eastAsia="仿宋" w:cs="仿宋"/>
          <w:color w:val="000000" w:themeColor="text1"/>
          <w:sz w:val="32"/>
          <w:szCs w:val="32"/>
          <w:u w:val="none"/>
          <w:lang w:eastAsia="zh-CN"/>
          <w14:textFill>
            <w14:solidFill>
              <w14:schemeClr w14:val="tx1"/>
            </w14:solidFill>
          </w14:textFill>
        </w:rPr>
        <w:t>绩效目标与年初预期一致</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w:t>
      </w:r>
    </w:p>
    <w:p>
      <w:pPr>
        <w:pStyle w:val="7"/>
        <w:keepNext w:val="0"/>
        <w:keepLines w:val="0"/>
        <w:pageBreakBefore w:val="0"/>
        <w:widowControl w:val="0"/>
        <w:numPr>
          <w:ilvl w:val="0"/>
          <w:numId w:val="3"/>
        </w:numPr>
        <w:tabs>
          <w:tab w:val="right" w:leader="dot" w:pos="8958"/>
        </w:tabs>
        <w:kinsoku/>
        <w:wordWrap/>
        <w:overflowPunct/>
        <w:topLinePunct w:val="0"/>
        <w:autoSpaceDE/>
        <w:autoSpaceDN/>
        <w:bidi w:val="0"/>
        <w:adjustRightInd/>
        <w:snapToGrid w:val="0"/>
        <w:spacing w:line="570" w:lineRule="exact"/>
        <w:ind w:left="197" w:leftChars="0" w:firstLine="643" w:firstLineChars="0"/>
        <w:textAlignment w:val="auto"/>
        <w:rPr>
          <w:rFonts w:hint="eastAsia" w:ascii="仿宋" w:hAnsi="仿宋" w:eastAsia="仿宋" w:cs="仿宋"/>
          <w:b/>
          <w:bCs/>
          <w:color w:val="000000" w:themeColor="text1"/>
          <w:sz w:val="32"/>
          <w:szCs w:val="32"/>
          <w:u w:val="none"/>
          <w:lang w:eastAsia="zh-CN"/>
          <w14:textFill>
            <w14:solidFill>
              <w14:schemeClr w14:val="tx1"/>
            </w14:solidFill>
          </w14:textFill>
        </w:rPr>
      </w:pPr>
      <w:r>
        <w:rPr>
          <w:rFonts w:hint="eastAsia" w:ascii="仿宋" w:hAnsi="仿宋" w:eastAsia="仿宋" w:cs="仿宋"/>
          <w:b/>
          <w:bCs/>
          <w:color w:val="000000" w:themeColor="text1"/>
          <w:sz w:val="32"/>
          <w:szCs w:val="32"/>
          <w:u w:val="none"/>
          <w:lang w:eastAsia="zh-CN"/>
          <w14:textFill>
            <w14:solidFill>
              <w14:schemeClr w14:val="tx1"/>
            </w14:solidFill>
          </w14:textFill>
        </w:rPr>
        <w:t>产出指标完成情况分析</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 w:hAnsi="仿宋" w:eastAsia="仿宋" w:cs="仿宋"/>
          <w:color w:val="000000" w:themeColor="text1"/>
          <w:sz w:val="32"/>
          <w:szCs w:val="32"/>
          <w:u w:val="none"/>
          <w:lang w:eastAsia="zh-CN"/>
          <w14:textFill>
            <w14:solidFill>
              <w14:schemeClr w14:val="tx1"/>
            </w14:solidFill>
          </w14:textFill>
        </w:rPr>
        <w:t>产出指标分值</w:t>
      </w:r>
      <w:r>
        <w:rPr>
          <w:rFonts w:hint="eastAsia" w:ascii="仿宋" w:hAnsi="仿宋" w:eastAsia="仿宋" w:cs="仿宋"/>
          <w:color w:val="000000" w:themeColor="text1"/>
          <w:sz w:val="32"/>
          <w:szCs w:val="32"/>
          <w:u w:val="none"/>
          <w:lang w:val="en-US" w:eastAsia="zh-CN"/>
          <w14:textFill>
            <w14:solidFill>
              <w14:schemeClr w14:val="tx1"/>
            </w14:solidFill>
          </w14:textFill>
        </w:rPr>
        <w:t>40分，指标得分40分。</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default"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潖江水生环境综合整治项目</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工程</w:t>
      </w:r>
      <w:r>
        <w:rPr>
          <w:rFonts w:hint="eastAsia" w:ascii="仿宋" w:hAnsi="仿宋" w:eastAsia="仿宋" w:cs="仿宋"/>
          <w:color w:val="000000" w:themeColor="text1"/>
          <w:sz w:val="32"/>
          <w:szCs w:val="32"/>
          <w:u w:val="none"/>
          <w:lang w:val="en-US" w:eastAsia="zh-CN"/>
          <w14:textFill>
            <w14:solidFill>
              <w14:schemeClr w14:val="tx1"/>
            </w14:solidFill>
          </w14:textFill>
        </w:rPr>
        <w:t>计划施工内容已基本完成。</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b/>
          <w:bCs/>
          <w:color w:val="000000" w:themeColor="text1"/>
          <w:sz w:val="32"/>
          <w:szCs w:val="32"/>
          <w:u w:val="none"/>
          <w:lang w:eastAsia="zh-CN"/>
          <w14:textFill>
            <w14:solidFill>
              <w14:schemeClr w14:val="tx1"/>
            </w14:solidFill>
          </w14:textFill>
        </w:rPr>
      </w:pPr>
      <w:r>
        <w:rPr>
          <w:rFonts w:hint="eastAsia" w:ascii="仿宋" w:hAnsi="仿宋" w:eastAsia="仿宋" w:cs="仿宋"/>
          <w:color w:val="000000" w:themeColor="text1"/>
          <w:sz w:val="32"/>
          <w:szCs w:val="32"/>
          <w:u w:val="none"/>
          <w:lang w:eastAsia="zh-CN"/>
          <w14:textFill>
            <w14:solidFill>
              <w14:schemeClr w14:val="tx1"/>
            </w14:solidFill>
          </w14:textFill>
        </w:rPr>
        <w:t>（</w:t>
      </w:r>
      <w:r>
        <w:rPr>
          <w:rFonts w:hint="eastAsia" w:ascii="仿宋" w:hAnsi="仿宋" w:eastAsia="仿宋" w:cs="仿宋"/>
          <w:color w:val="000000" w:themeColor="text1"/>
          <w:sz w:val="32"/>
          <w:szCs w:val="32"/>
          <w:u w:val="none"/>
          <w:lang w:val="en-US" w:eastAsia="zh-CN"/>
          <w14:textFill>
            <w14:solidFill>
              <w14:schemeClr w14:val="tx1"/>
            </w14:solidFill>
          </w14:textFill>
        </w:rPr>
        <w:t>1</w:t>
      </w:r>
      <w:r>
        <w:rPr>
          <w:rFonts w:hint="eastAsia" w:ascii="仿宋" w:hAnsi="仿宋" w:eastAsia="仿宋" w:cs="仿宋"/>
          <w:color w:val="000000" w:themeColor="text1"/>
          <w:sz w:val="32"/>
          <w:szCs w:val="32"/>
          <w:u w:val="none"/>
          <w:lang w:eastAsia="zh-CN"/>
          <w14:textFill>
            <w14:solidFill>
              <w14:schemeClr w14:val="tx1"/>
            </w14:solidFill>
          </w14:textFill>
        </w:rPr>
        <w:t>）</w:t>
      </w:r>
      <w:r>
        <w:rPr>
          <w:rFonts w:hint="eastAsia" w:ascii="仿宋" w:hAnsi="仿宋" w:eastAsia="仿宋" w:cs="仿宋"/>
          <w:b/>
          <w:bCs/>
          <w:color w:val="000000" w:themeColor="text1"/>
          <w:sz w:val="32"/>
          <w:szCs w:val="32"/>
          <w:u w:val="none"/>
          <w:lang w:eastAsia="zh-CN"/>
          <w14:textFill>
            <w14:solidFill>
              <w14:schemeClr w14:val="tx1"/>
            </w14:solidFill>
          </w14:textFill>
        </w:rPr>
        <w:t>项目数量指标</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_GB2312" w:hAnsi="仿宋_GB2312" w:eastAsia="仿宋_GB2312" w:cs="仿宋_GB2312"/>
          <w:bCs/>
          <w:color w:val="auto"/>
          <w:sz w:val="32"/>
          <w:szCs w:val="32"/>
          <w:highlight w:val="none"/>
          <w:lang w:val="en-US" w:eastAsia="zh-CN"/>
        </w:rPr>
        <w:t>对佛冈县城潖江右岸城北中学至翻板闸现状DN600污水管原位换管，置换管道总长约1525m。对佛冈县城振兴北片区（篁胜新城、龙溪、英佛公路）配套集污管网，配套污水管网约4289m。</w:t>
      </w:r>
      <w:r>
        <w:rPr>
          <w:rFonts w:hint="eastAsia" w:ascii="仿宋" w:hAnsi="仿宋" w:eastAsia="仿宋" w:cs="仿宋"/>
          <w:color w:val="auto"/>
          <w:sz w:val="32"/>
          <w:szCs w:val="32"/>
          <w:highlight w:val="none"/>
          <w:u w:val="none"/>
          <w:lang w:val="en-US" w:eastAsia="zh-CN"/>
        </w:rPr>
        <w:t>完成绩效目标，达到年初预设的指标值。</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b/>
          <w:bCs/>
          <w:color w:val="000000" w:themeColor="text1"/>
          <w:sz w:val="32"/>
          <w:szCs w:val="32"/>
          <w:u w:val="none"/>
          <w:lang w:eastAsia="zh-CN"/>
          <w14:textFill>
            <w14:solidFill>
              <w14:schemeClr w14:val="tx1"/>
            </w14:solidFill>
          </w14:textFill>
        </w:rPr>
      </w:pPr>
      <w:r>
        <w:rPr>
          <w:rFonts w:hint="eastAsia" w:ascii="仿宋" w:hAnsi="仿宋" w:eastAsia="仿宋" w:cs="仿宋"/>
          <w:color w:val="000000" w:themeColor="text1"/>
          <w:sz w:val="32"/>
          <w:szCs w:val="32"/>
          <w:u w:val="none"/>
          <w:lang w:eastAsia="zh-CN"/>
          <w14:textFill>
            <w14:solidFill>
              <w14:schemeClr w14:val="tx1"/>
            </w14:solidFill>
          </w14:textFill>
        </w:rPr>
        <w:t>（</w:t>
      </w:r>
      <w:r>
        <w:rPr>
          <w:rFonts w:hint="eastAsia" w:ascii="仿宋" w:hAnsi="仿宋" w:eastAsia="仿宋" w:cs="仿宋"/>
          <w:color w:val="000000" w:themeColor="text1"/>
          <w:sz w:val="32"/>
          <w:szCs w:val="32"/>
          <w:u w:val="none"/>
          <w:lang w:val="en-US" w:eastAsia="zh-CN"/>
          <w14:textFill>
            <w14:solidFill>
              <w14:schemeClr w14:val="tx1"/>
            </w14:solidFill>
          </w14:textFill>
        </w:rPr>
        <w:t>2</w:t>
      </w:r>
      <w:r>
        <w:rPr>
          <w:rFonts w:hint="eastAsia" w:ascii="仿宋" w:hAnsi="仿宋" w:eastAsia="仿宋" w:cs="仿宋"/>
          <w:color w:val="000000" w:themeColor="text1"/>
          <w:sz w:val="32"/>
          <w:szCs w:val="32"/>
          <w:u w:val="none"/>
          <w:lang w:eastAsia="zh-CN"/>
          <w14:textFill>
            <w14:solidFill>
              <w14:schemeClr w14:val="tx1"/>
            </w14:solidFill>
          </w14:textFill>
        </w:rPr>
        <w:t>）</w:t>
      </w:r>
      <w:r>
        <w:rPr>
          <w:rFonts w:hint="eastAsia" w:ascii="仿宋" w:hAnsi="仿宋" w:eastAsia="仿宋" w:cs="仿宋"/>
          <w:b/>
          <w:bCs/>
          <w:color w:val="000000" w:themeColor="text1"/>
          <w:sz w:val="32"/>
          <w:szCs w:val="32"/>
          <w:u w:val="none"/>
          <w:lang w:eastAsia="zh-CN"/>
          <w14:textFill>
            <w14:solidFill>
              <w14:schemeClr w14:val="tx1"/>
            </w14:solidFill>
          </w14:textFill>
        </w:rPr>
        <w:t>项目质量指标</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潖江水生环境综合整治项目</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项目验收合格率100%</w:t>
      </w:r>
      <w:r>
        <w:rPr>
          <w:rFonts w:hint="eastAsia" w:ascii="仿宋" w:hAnsi="仿宋" w:eastAsia="仿宋" w:cs="仿宋"/>
          <w:color w:val="000000" w:themeColor="text1"/>
          <w:sz w:val="32"/>
          <w:szCs w:val="32"/>
          <w:u w:val="none"/>
          <w:lang w:val="en-US" w:eastAsia="zh-CN"/>
          <w14:textFill>
            <w14:solidFill>
              <w14:schemeClr w14:val="tx1"/>
            </w14:solidFill>
          </w14:textFill>
        </w:rPr>
        <w:t>。</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color w:val="000000" w:themeColor="text1"/>
          <w:sz w:val="32"/>
          <w:szCs w:val="32"/>
          <w:u w:val="none"/>
          <w:lang w:eastAsia="zh-CN"/>
          <w14:textFill>
            <w14:solidFill>
              <w14:schemeClr w14:val="tx1"/>
            </w14:solidFill>
          </w14:textFill>
        </w:rPr>
      </w:pPr>
      <w:r>
        <w:rPr>
          <w:rFonts w:hint="eastAsia" w:ascii="仿宋" w:hAnsi="仿宋" w:eastAsia="仿宋" w:cs="仿宋"/>
          <w:color w:val="000000" w:themeColor="text1"/>
          <w:sz w:val="32"/>
          <w:szCs w:val="32"/>
          <w:u w:val="none"/>
          <w:lang w:eastAsia="zh-CN"/>
          <w14:textFill>
            <w14:solidFill>
              <w14:schemeClr w14:val="tx1"/>
            </w14:solidFill>
          </w14:textFill>
        </w:rPr>
        <w:t>（</w:t>
      </w:r>
      <w:r>
        <w:rPr>
          <w:rFonts w:hint="eastAsia" w:ascii="仿宋" w:hAnsi="仿宋" w:eastAsia="仿宋" w:cs="仿宋"/>
          <w:color w:val="000000" w:themeColor="text1"/>
          <w:sz w:val="32"/>
          <w:szCs w:val="32"/>
          <w:u w:val="none"/>
          <w:lang w:val="en-US" w:eastAsia="zh-CN"/>
          <w14:textFill>
            <w14:solidFill>
              <w14:schemeClr w14:val="tx1"/>
            </w14:solidFill>
          </w14:textFill>
        </w:rPr>
        <w:t>3</w:t>
      </w:r>
      <w:r>
        <w:rPr>
          <w:rFonts w:hint="eastAsia" w:ascii="仿宋" w:hAnsi="仿宋" w:eastAsia="仿宋" w:cs="仿宋"/>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u w:val="none"/>
          <w:lang w:eastAsia="zh-CN"/>
          <w14:textFill>
            <w14:solidFill>
              <w14:schemeClr w14:val="tx1"/>
            </w14:solidFill>
          </w14:textFill>
        </w:rPr>
        <w:t>项目时效指标</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潖江水生环境综合整治项目</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100%按计划开工</w:t>
      </w:r>
      <w:r>
        <w:rPr>
          <w:rFonts w:hint="eastAsia" w:ascii="仿宋" w:hAnsi="仿宋" w:eastAsia="仿宋" w:cs="仿宋"/>
          <w:color w:val="000000" w:themeColor="text1"/>
          <w:sz w:val="32"/>
          <w:szCs w:val="32"/>
          <w:u w:val="none"/>
          <w:lang w:val="en-US" w:eastAsia="zh-CN"/>
          <w14:textFill>
            <w14:solidFill>
              <w14:schemeClr w14:val="tx1"/>
            </w14:solidFill>
          </w14:textFill>
        </w:rPr>
        <w:t>。</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default" w:ascii="仿宋" w:hAnsi="仿宋" w:eastAsia="仿宋" w:cs="仿宋"/>
          <w:b/>
          <w:bCs/>
          <w:color w:val="000000" w:themeColor="text1"/>
          <w:sz w:val="32"/>
          <w:szCs w:val="32"/>
          <w:u w:val="none"/>
          <w:lang w:val="en-US" w:eastAsia="zh-CN"/>
          <w14:textFill>
            <w14:solidFill>
              <w14:schemeClr w14:val="tx1"/>
            </w14:solidFill>
          </w14:textFill>
        </w:rPr>
      </w:pPr>
      <w:r>
        <w:rPr>
          <w:rFonts w:hint="eastAsia" w:ascii="仿宋" w:hAnsi="仿宋" w:eastAsia="仿宋" w:cs="仿宋"/>
          <w:color w:val="000000" w:themeColor="text1"/>
          <w:sz w:val="32"/>
          <w:szCs w:val="32"/>
          <w:u w:val="none"/>
          <w:lang w:val="en-US" w:eastAsia="zh-CN"/>
          <w14:textFill>
            <w14:solidFill>
              <w14:schemeClr w14:val="tx1"/>
            </w14:solidFill>
          </w14:textFill>
        </w:rPr>
        <w:t>（4）</w:t>
      </w:r>
      <w:r>
        <w:rPr>
          <w:rFonts w:hint="default" w:ascii="仿宋" w:hAnsi="仿宋" w:eastAsia="仿宋" w:cs="仿宋"/>
          <w:b/>
          <w:bCs/>
          <w:color w:val="000000" w:themeColor="text1"/>
          <w:sz w:val="32"/>
          <w:szCs w:val="32"/>
          <w:u w:val="none"/>
          <w:lang w:val="en-US" w:eastAsia="zh-CN"/>
          <w14:textFill>
            <w14:solidFill>
              <w14:schemeClr w14:val="tx1"/>
            </w14:solidFill>
          </w14:textFill>
        </w:rPr>
        <w:t>项目成本指标</w:t>
      </w:r>
    </w:p>
    <w:p>
      <w:pPr>
        <w:pStyle w:val="7"/>
        <w:keepNext w:val="0"/>
        <w:keepLines w:val="0"/>
        <w:pageBreakBefore w:val="0"/>
        <w:widowControl w:val="0"/>
        <w:numPr>
          <w:ilvl w:val="0"/>
          <w:numId w:val="0"/>
        </w:numPr>
        <w:tabs>
          <w:tab w:val="right" w:leader="dot" w:pos="8958"/>
        </w:tabs>
        <w:kinsoku/>
        <w:wordWrap/>
        <w:overflowPunct/>
        <w:topLinePunct w:val="0"/>
        <w:bidi w:val="0"/>
        <w:snapToGrid w:val="0"/>
        <w:spacing w:line="570" w:lineRule="exact"/>
        <w:ind w:firstLine="640" w:firstLineChars="200"/>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潖江水生环境综合整治项目</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工程</w:t>
      </w:r>
      <w:r>
        <w:rPr>
          <w:rFonts w:hint="eastAsia" w:ascii="仿宋" w:hAnsi="仿宋" w:eastAsia="仿宋" w:cs="仿宋"/>
          <w:color w:val="000000" w:themeColor="text1"/>
          <w:sz w:val="32"/>
          <w:szCs w:val="32"/>
          <w:u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2024年度下达专项债券资金1500万元，</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截至2024年12月底，共完成投资1500万元（专项债券资金1500万元），年度预算控制1500万元</w:t>
      </w:r>
      <w:r>
        <w:rPr>
          <w:rFonts w:hint="eastAsia" w:ascii="仿宋" w:hAnsi="仿宋" w:eastAsia="仿宋" w:cs="仿宋"/>
          <w:color w:val="000000" w:themeColor="text1"/>
          <w:sz w:val="32"/>
          <w:szCs w:val="32"/>
          <w:u w:val="none"/>
          <w:lang w:val="en-US" w:eastAsia="zh-CN"/>
          <w14:textFill>
            <w14:solidFill>
              <w14:schemeClr w14:val="tx1"/>
            </w14:solidFill>
          </w14:textFill>
        </w:rPr>
        <w:t>。</w:t>
      </w:r>
    </w:p>
    <w:p>
      <w:pPr>
        <w:pStyle w:val="7"/>
        <w:keepNext w:val="0"/>
        <w:keepLines w:val="0"/>
        <w:pageBreakBefore w:val="0"/>
        <w:widowControl w:val="0"/>
        <w:numPr>
          <w:ilvl w:val="0"/>
          <w:numId w:val="3"/>
        </w:numPr>
        <w:tabs>
          <w:tab w:val="right" w:leader="dot" w:pos="8958"/>
        </w:tabs>
        <w:kinsoku/>
        <w:wordWrap/>
        <w:overflowPunct/>
        <w:topLinePunct w:val="0"/>
        <w:autoSpaceDE/>
        <w:autoSpaceDN/>
        <w:bidi w:val="0"/>
        <w:adjustRightInd/>
        <w:snapToGrid w:val="0"/>
        <w:spacing w:line="570" w:lineRule="exact"/>
        <w:ind w:left="197" w:leftChars="0" w:firstLine="643" w:firstLineChars="0"/>
        <w:textAlignment w:val="auto"/>
        <w:rPr>
          <w:rFonts w:hint="eastAsia" w:ascii="仿宋" w:hAnsi="仿宋" w:eastAsia="仿宋" w:cs="仿宋"/>
          <w:b/>
          <w:bCs/>
          <w:color w:val="000000" w:themeColor="text1"/>
          <w:sz w:val="32"/>
          <w:szCs w:val="32"/>
          <w:u w:val="none"/>
          <w:lang w:eastAsia="zh-CN"/>
          <w14:textFill>
            <w14:solidFill>
              <w14:schemeClr w14:val="tx1"/>
            </w14:solidFill>
          </w14:textFill>
        </w:rPr>
      </w:pPr>
      <w:r>
        <w:rPr>
          <w:rFonts w:hint="eastAsia" w:ascii="仿宋" w:hAnsi="仿宋" w:eastAsia="仿宋" w:cs="仿宋"/>
          <w:b/>
          <w:bCs/>
          <w:color w:val="000000" w:themeColor="text1"/>
          <w:sz w:val="32"/>
          <w:szCs w:val="32"/>
          <w:u w:val="none"/>
          <w:lang w:eastAsia="zh-CN"/>
          <w14:textFill>
            <w14:solidFill>
              <w14:schemeClr w14:val="tx1"/>
            </w14:solidFill>
          </w14:textFill>
        </w:rPr>
        <w:t>效益指标完成情况分析</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 w:hAnsi="仿宋" w:eastAsia="仿宋" w:cs="仿宋"/>
          <w:color w:val="000000" w:themeColor="text1"/>
          <w:sz w:val="32"/>
          <w:szCs w:val="32"/>
          <w:u w:val="none"/>
          <w:lang w:eastAsia="zh-CN"/>
          <w14:textFill>
            <w14:solidFill>
              <w14:schemeClr w14:val="tx1"/>
            </w14:solidFill>
          </w14:textFill>
        </w:rPr>
        <w:t>效益指标分值</w:t>
      </w:r>
      <w:r>
        <w:rPr>
          <w:rFonts w:hint="eastAsia" w:ascii="仿宋" w:hAnsi="仿宋" w:eastAsia="仿宋" w:cs="仿宋"/>
          <w:color w:val="000000" w:themeColor="text1"/>
          <w:sz w:val="32"/>
          <w:szCs w:val="32"/>
          <w:u w:val="none"/>
          <w:lang w:val="en-US" w:eastAsia="zh-CN"/>
          <w14:textFill>
            <w14:solidFill>
              <w14:schemeClr w14:val="tx1"/>
            </w14:solidFill>
          </w14:textFill>
        </w:rPr>
        <w:t>30分，指标得分30分。</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b/>
          <w:bCs/>
          <w:color w:val="000000" w:themeColor="text1"/>
          <w:sz w:val="32"/>
          <w:szCs w:val="32"/>
          <w:u w:val="none"/>
          <w:lang w:val="en-US" w:eastAsia="zh-CN"/>
          <w14:textFill>
            <w14:solidFill>
              <w14:schemeClr w14:val="tx1"/>
            </w14:solidFill>
          </w14:textFill>
        </w:rPr>
      </w:pPr>
      <w:r>
        <w:rPr>
          <w:rFonts w:hint="eastAsia" w:ascii="仿宋" w:hAnsi="仿宋" w:eastAsia="仿宋" w:cs="仿宋"/>
          <w:color w:val="000000" w:themeColor="text1"/>
          <w:sz w:val="32"/>
          <w:szCs w:val="32"/>
          <w:u w:val="none"/>
          <w:lang w:val="en-US" w:eastAsia="zh-CN"/>
          <w14:textFill>
            <w14:solidFill>
              <w14:schemeClr w14:val="tx1"/>
            </w14:solidFill>
          </w14:textFill>
        </w:rPr>
        <w:t>（1）</w:t>
      </w:r>
      <w:r>
        <w:rPr>
          <w:rFonts w:hint="eastAsia" w:ascii="仿宋" w:hAnsi="仿宋" w:eastAsia="仿宋" w:cs="仿宋"/>
          <w:b/>
          <w:bCs/>
          <w:color w:val="000000" w:themeColor="text1"/>
          <w:sz w:val="32"/>
          <w:szCs w:val="32"/>
          <w:u w:val="none"/>
          <w:lang w:val="en-US" w:eastAsia="zh-CN"/>
          <w14:textFill>
            <w14:solidFill>
              <w14:schemeClr w14:val="tx1"/>
            </w14:solidFill>
          </w14:textFill>
        </w:rPr>
        <w:t>经济效益指标</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潖江水生环境综合整治项目</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工程</w:t>
      </w:r>
      <w:r>
        <w:rPr>
          <w:rFonts w:hint="eastAsia" w:ascii="仿宋" w:hAnsi="仿宋" w:eastAsia="仿宋" w:cs="仿宋"/>
          <w:color w:val="000000" w:themeColor="text1"/>
          <w:sz w:val="32"/>
          <w:szCs w:val="32"/>
          <w:u w:val="none"/>
          <w:lang w:val="en-US" w:eastAsia="zh-CN"/>
          <w14:textFill>
            <w14:solidFill>
              <w14:schemeClr w14:val="tx1"/>
            </w14:solidFill>
          </w14:textFill>
        </w:rPr>
        <w:t>实施后，提高县城及周边污水收纳率，完善污水管网建设有利于带动当地经济快速发展，为国民经济持续健康发展和社会稳定提供安全保障。</w:t>
      </w:r>
    </w:p>
    <w:p>
      <w:pPr>
        <w:pStyle w:val="5"/>
        <w:keepNext w:val="0"/>
        <w:keepLines w:val="0"/>
        <w:pageBreakBefore w:val="0"/>
        <w:widowControl w:val="0"/>
        <w:numPr>
          <w:ilvl w:val="0"/>
          <w:numId w:val="0"/>
        </w:numPr>
        <w:kinsoku/>
        <w:wordWrap/>
        <w:overflowPunct/>
        <w:topLinePunct w:val="0"/>
        <w:autoSpaceDE/>
        <w:autoSpaceDN/>
        <w:bidi w:val="0"/>
        <w:adjustRightInd/>
        <w:spacing w:line="570" w:lineRule="exact"/>
        <w:ind w:firstLine="640" w:firstLineChars="200"/>
        <w:textAlignment w:val="auto"/>
        <w:rPr>
          <w:rFonts w:hint="default"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社会效益指标</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潖江水生环境综合整治项目</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工程</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实施后，优化当地水环境，满足当地人民群众对健康生活质量的要求，提供生活质量，保障居民社会生活平稳。</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生态效益指标</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通过项目的建设，能够提高水资源的利用效率，减少水资源的浪费，同时保障水资源的可持续利用。在保障人类生产和发展的同时，保护水生态环境，确保污水达标排放，满足当地用水需求。</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可持续影响指标</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通过项目的建设，完善供水管网是实现社会健康、协调和可持续发展的需要，保障水资源的可持续利用，从宏观战略的观点上看，具有长远的战略发展意义。</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default"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项目满意度情况</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对</w:t>
      </w:r>
      <w:r>
        <w:rPr>
          <w:rFonts w:hint="eastAsia" w:ascii="仿宋_GB2312" w:hAnsi="仿宋_GB2312" w:eastAsia="仿宋_GB2312" w:cs="仿宋_GB2312"/>
          <w:bCs/>
          <w:sz w:val="32"/>
          <w:szCs w:val="32"/>
          <w:lang w:val="en-US" w:eastAsia="zh-CN"/>
        </w:rPr>
        <w:t>潖江水生环境综合整治项目</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工程</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进行问卷调查所获得的的数据进行整理分析，群众满意度为100%。</w:t>
      </w:r>
    </w:p>
    <w:p>
      <w:pPr>
        <w:keepNext w:val="0"/>
        <w:keepLines w:val="0"/>
        <w:pageBreakBefore w:val="0"/>
        <w:widowControl w:val="0"/>
        <w:kinsoku/>
        <w:wordWrap/>
        <w:overflowPunct/>
        <w:topLinePunct w:val="0"/>
        <w:bidi w:val="0"/>
        <w:spacing w:line="570" w:lineRule="exact"/>
        <w:textAlignment w:val="auto"/>
        <w:rPr>
          <w:rFonts w:hint="eastAsia"/>
          <w:color w:val="000000" w:themeColor="text1"/>
          <w:lang w:val="en-US" w:eastAsia="zh-CN"/>
          <w14:textFill>
            <w14:solidFill>
              <w14:schemeClr w14:val="tx1"/>
            </w14:solidFill>
          </w14:textFill>
        </w:rPr>
      </w:pPr>
    </w:p>
    <w:p>
      <w:pPr>
        <w:pStyle w:val="7"/>
        <w:keepNext w:val="0"/>
        <w:keepLines w:val="0"/>
        <w:pageBreakBefore w:val="0"/>
        <w:widowControl w:val="0"/>
        <w:numPr>
          <w:ilvl w:val="0"/>
          <w:numId w:val="0"/>
        </w:numPr>
        <w:tabs>
          <w:tab w:val="right" w:leader="dot" w:pos="8958"/>
        </w:tabs>
        <w:kinsoku/>
        <w:wordWrap/>
        <w:overflowPunct/>
        <w:topLinePunct w:val="0"/>
        <w:bidi w:val="0"/>
        <w:snapToGrid w:val="0"/>
        <w:spacing w:line="570" w:lineRule="exact"/>
        <w:ind w:firstLine="640" w:firstLineChars="200"/>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三、主要绩效</w:t>
      </w:r>
    </w:p>
    <w:p>
      <w:pPr>
        <w:keepNext w:val="0"/>
        <w:keepLines w:val="0"/>
        <w:pageBreakBefore w:val="0"/>
        <w:widowControl w:val="0"/>
        <w:kinsoku/>
        <w:wordWrap/>
        <w:overflowPunct/>
        <w:topLinePunct w:val="0"/>
        <w:bidi w:val="0"/>
        <w:snapToGrid w:val="0"/>
        <w:spacing w:line="570" w:lineRule="exact"/>
        <w:textAlignment w:val="auto"/>
        <w:rPr>
          <w:rFonts w:hint="default" w:eastAsia="黑体"/>
          <w:color w:val="000000" w:themeColor="text1"/>
          <w:sz w:val="32"/>
          <w:szCs w:val="32"/>
          <w:lang w:val="en-US" w:eastAsia="zh-CN"/>
          <w14:textFill>
            <w14:solidFill>
              <w14:schemeClr w14:val="tx1"/>
            </w14:solidFill>
          </w14:textFill>
        </w:rPr>
      </w:pPr>
      <w:r>
        <w:rPr>
          <w:rFonts w:hint="eastAsia" w:ascii="黑体" w:hAnsi="黑体" w:eastAsia="黑体" w:cs="黑体"/>
          <w:bCs/>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 xml:space="preserve"> </w:t>
      </w:r>
      <w:r>
        <w:rPr>
          <w:rFonts w:hint="eastAsia" w:ascii="仿宋_GB2312" w:hAnsi="仿宋" w:eastAsia="仿宋_GB2312" w:cs="仿宋"/>
          <w:color w:val="000000" w:themeColor="text1"/>
          <w:sz w:val="32"/>
          <w:szCs w:val="32"/>
          <w:highlight w:val="none"/>
          <w:lang w:val="en-US"/>
          <w14:textFill>
            <w14:solidFill>
              <w14:schemeClr w14:val="tx1"/>
            </w14:solidFill>
          </w14:textFill>
        </w:rPr>
        <w:t>新建仓迳自来水厂供水工程保证镇区及周边村委居民生活及工业企业用水需求，符合迳头镇有关文件和规划要求，是全面提高迳头镇及周边全域自然村饮水安全保障水平，促进城乡一体化发展的重要民生工程。</w:t>
      </w:r>
    </w:p>
    <w:p>
      <w:pPr>
        <w:pStyle w:val="7"/>
        <w:keepNext w:val="0"/>
        <w:keepLines w:val="0"/>
        <w:pageBreakBefore w:val="0"/>
        <w:widowControl w:val="0"/>
        <w:numPr>
          <w:ilvl w:val="0"/>
          <w:numId w:val="4"/>
        </w:numPr>
        <w:tabs>
          <w:tab w:val="right" w:leader="dot" w:pos="8958"/>
        </w:tabs>
        <w:kinsoku/>
        <w:wordWrap/>
        <w:overflowPunct/>
        <w:topLinePunct w:val="0"/>
        <w:bidi w:val="0"/>
        <w:snapToGrid w:val="0"/>
        <w:spacing w:line="570" w:lineRule="exact"/>
        <w:ind w:firstLine="640" w:firstLineChars="200"/>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存在问题</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绩效指标设定不够细化，对绩效目标的社会效益、生态效益、可持续等方面未设立具体的指标，绩效指标设定的科学性有待提高。</w:t>
      </w:r>
    </w:p>
    <w:p>
      <w:pPr>
        <w:keepNext w:val="0"/>
        <w:keepLines w:val="0"/>
        <w:pageBreakBefore w:val="0"/>
        <w:widowControl w:val="0"/>
        <w:numPr>
          <w:ilvl w:val="0"/>
          <w:numId w:val="0"/>
        </w:numPr>
        <w:kinsoku/>
        <w:wordWrap/>
        <w:overflowPunct/>
        <w:topLinePunct w:val="0"/>
        <w:bidi w:val="0"/>
        <w:snapToGrid w:val="0"/>
        <w:spacing w:line="570" w:lineRule="exact"/>
        <w:ind w:firstLine="640" w:firstLineChars="200"/>
        <w:textAlignment w:val="auto"/>
        <w:rPr>
          <w:rFonts w:hint="eastAsia" w:ascii="黑体" w:hAnsi="黑体" w:eastAsia="黑体" w:cs="黑体"/>
          <w:bCs/>
          <w:color w:val="000000" w:themeColor="text1"/>
          <w:sz w:val="32"/>
          <w:szCs w:val="32"/>
          <w:lang w:val="en-US" w:eastAsia="zh-CN"/>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五、</w:t>
      </w:r>
      <w:r>
        <w:rPr>
          <w:rFonts w:hint="eastAsia" w:ascii="黑体" w:hAnsi="黑体" w:eastAsia="黑体" w:cs="黑体"/>
          <w:bCs/>
          <w:color w:val="000000" w:themeColor="text1"/>
          <w:sz w:val="32"/>
          <w:szCs w:val="32"/>
          <w:lang w:eastAsia="zh-CN"/>
          <w14:textFill>
            <w14:solidFill>
              <w14:schemeClr w14:val="tx1"/>
            </w14:solidFill>
          </w14:textFill>
        </w:rPr>
        <w:t>改进措施</w:t>
      </w:r>
    </w:p>
    <w:p>
      <w:pPr>
        <w:keepNext w:val="0"/>
        <w:keepLines w:val="0"/>
        <w:pageBreakBefore w:val="0"/>
        <w:widowControl w:val="0"/>
        <w:kinsoku/>
        <w:wordWrap/>
        <w:overflowPunct/>
        <w:topLinePunct w:val="0"/>
        <w:bidi w:val="0"/>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是申报债券项目要进一步夯实基础，做好债券前期工作。项目实施单位需高度重视项目预期受益与融资平衡方案及可行性研究报告的编制，充分论证。二是做好项目事前绩效评估，提高成本测算的准确性，三是设置完整细化的绩效指标、完善相应业务和财务管理制度，便于项目日常管理、考核和事后评价，提高财政资金的使用效益，提升财政资金使用的科学化、精细化。</w:t>
      </w:r>
    </w:p>
    <w:p>
      <w:pPr>
        <w:keepNext w:val="0"/>
        <w:keepLines w:val="0"/>
        <w:pageBreakBefore w:val="0"/>
        <w:widowControl w:val="0"/>
        <w:kinsoku/>
        <w:wordWrap/>
        <w:overflowPunct/>
        <w:topLinePunct w:val="0"/>
        <w:bidi w:val="0"/>
        <w:snapToGrid w:val="0"/>
        <w:spacing w:line="570" w:lineRule="exact"/>
        <w:jc w:val="center"/>
        <w:textAlignment w:val="auto"/>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bidi w:val="0"/>
        <w:snapToGrid w:val="0"/>
        <w:spacing w:line="570" w:lineRule="exact"/>
        <w:jc w:val="center"/>
        <w:textAlignment w:val="auto"/>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bidi w:val="0"/>
        <w:snapToGrid w:val="0"/>
        <w:spacing w:line="570" w:lineRule="exact"/>
        <w:jc w:val="center"/>
        <w:textAlignment w:val="auto"/>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bidi w:val="0"/>
        <w:snapToGrid w:val="0"/>
        <w:spacing w:line="570" w:lineRule="exact"/>
        <w:jc w:val="center"/>
        <w:textAlignment w:val="auto"/>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bidi w:val="0"/>
        <w:snapToGrid w:val="0"/>
        <w:spacing w:line="570" w:lineRule="exact"/>
        <w:jc w:val="center"/>
        <w:textAlignment w:val="auto"/>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bidi w:val="0"/>
        <w:snapToGrid w:val="0"/>
        <w:spacing w:line="570" w:lineRule="exact"/>
        <w:jc w:val="center"/>
        <w:textAlignment w:val="auto"/>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bidi w:val="0"/>
        <w:snapToGrid w:val="0"/>
        <w:spacing w:line="570" w:lineRule="exact"/>
        <w:jc w:val="center"/>
        <w:textAlignment w:val="auto"/>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t>第二部分：分析报告</w:t>
      </w:r>
    </w:p>
    <w:p>
      <w:pPr>
        <w:keepNext w:val="0"/>
        <w:keepLines w:val="0"/>
        <w:pageBreakBefore w:val="0"/>
        <w:widowControl w:val="0"/>
        <w:kinsoku/>
        <w:wordWrap/>
        <w:overflowPunct/>
        <w:topLinePunct w:val="0"/>
        <w:bidi w:val="0"/>
        <w:snapToGrid w:val="0"/>
        <w:spacing w:line="570" w:lineRule="exac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bidi w:val="0"/>
        <w:snapToGrid w:val="0"/>
        <w:spacing w:line="570" w:lineRule="exact"/>
        <w:ind w:firstLine="640" w:firstLineChars="200"/>
        <w:textAlignment w:val="auto"/>
        <w:rPr>
          <w:rFonts w:hint="eastAsia" w:ascii="黑体" w:hAnsi="黑体" w:eastAsia="黑体" w:cs="黑体"/>
          <w:color w:val="000000" w:themeColor="text1"/>
          <w:sz w:val="32"/>
          <w:szCs w:val="32"/>
          <w:highlight w:val="green"/>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一、基本情况</w:t>
      </w:r>
    </w:p>
    <w:p>
      <w:pPr>
        <w:adjustRightInd w:val="0"/>
        <w:snapToGrid w:val="0"/>
        <w:spacing w:line="360" w:lineRule="auto"/>
        <w:ind w:firstLine="643"/>
        <w:outlineLvl w:val="1"/>
        <w:rPr>
          <w:rFonts w:hint="default" w:ascii="仿宋_GB2312" w:hAnsi="仿宋" w:eastAsia="仿宋_GB2312" w:cs="仿宋_GB2312"/>
          <w:b/>
          <w:bCs/>
          <w:color w:val="000000"/>
          <w:sz w:val="32"/>
          <w:szCs w:val="32"/>
          <w:lang w:val="en-US" w:eastAsia="zh-CN"/>
        </w:rPr>
      </w:pPr>
      <w:bookmarkStart w:id="1" w:name="_Toc10033"/>
      <w:bookmarkStart w:id="2" w:name="_Toc99030931"/>
      <w:bookmarkStart w:id="3" w:name="_Toc4459"/>
      <w:bookmarkStart w:id="4" w:name="_Toc4999"/>
      <w:bookmarkStart w:id="5" w:name="_Toc101973055"/>
      <w:bookmarkStart w:id="6" w:name="_Toc10133"/>
      <w:bookmarkStart w:id="7" w:name="_Toc21139"/>
      <w:bookmarkStart w:id="8" w:name="_Toc15306"/>
      <w:r>
        <w:rPr>
          <w:rFonts w:hint="eastAsia" w:ascii="仿宋_GB2312" w:hAnsi="仿宋" w:eastAsia="仿宋_GB2312" w:cs="仿宋_GB2312"/>
          <w:b/>
          <w:bCs/>
          <w:color w:val="000000"/>
          <w:sz w:val="32"/>
          <w:szCs w:val="32"/>
          <w:lang w:eastAsia="zh-CN"/>
        </w:rPr>
        <w:t>（</w:t>
      </w:r>
      <w:r>
        <w:rPr>
          <w:rFonts w:hint="eastAsia" w:ascii="仿宋_GB2312" w:hAnsi="仿宋" w:eastAsia="仿宋_GB2312" w:cs="仿宋_GB2312"/>
          <w:b/>
          <w:bCs/>
          <w:color w:val="000000"/>
          <w:sz w:val="32"/>
          <w:szCs w:val="32"/>
          <w:lang w:val="en-US" w:eastAsia="zh-CN"/>
        </w:rPr>
        <w:t>一</w:t>
      </w:r>
      <w:r>
        <w:rPr>
          <w:rFonts w:hint="eastAsia" w:ascii="仿宋_GB2312" w:hAnsi="仿宋" w:eastAsia="仿宋_GB2312" w:cs="仿宋_GB2312"/>
          <w:b/>
          <w:bCs/>
          <w:color w:val="000000"/>
          <w:sz w:val="32"/>
          <w:szCs w:val="32"/>
          <w:lang w:eastAsia="zh-CN"/>
        </w:rPr>
        <w:t>）</w:t>
      </w:r>
      <w:r>
        <w:rPr>
          <w:rFonts w:hint="eastAsia" w:ascii="仿宋_GB2312" w:hAnsi="仿宋" w:eastAsia="仿宋_GB2312" w:cs="仿宋_GB2312"/>
          <w:b/>
          <w:bCs/>
          <w:color w:val="000000"/>
          <w:sz w:val="32"/>
          <w:szCs w:val="32"/>
          <w:lang w:val="en-US" w:eastAsia="zh-CN"/>
        </w:rPr>
        <w:t>项目基本情况</w:t>
      </w:r>
    </w:p>
    <w:p>
      <w:pPr>
        <w:adjustRightInd w:val="0"/>
        <w:snapToGrid w:val="0"/>
        <w:spacing w:line="360" w:lineRule="auto"/>
        <w:ind w:firstLine="643"/>
        <w:outlineLvl w:val="1"/>
        <w:rPr>
          <w:rFonts w:hint="eastAsia" w:ascii="仿宋_GB2312" w:hAnsi="仿宋" w:eastAsia="仿宋_GB2312" w:cs="仿宋_GB2312"/>
          <w:b/>
          <w:bCs/>
          <w:color w:val="000000"/>
          <w:sz w:val="32"/>
          <w:szCs w:val="32"/>
        </w:rPr>
      </w:pPr>
      <w:r>
        <w:rPr>
          <w:rFonts w:hint="eastAsia" w:ascii="仿宋_GB2312" w:hAnsi="仿宋" w:eastAsia="仿宋_GB2312" w:cs="仿宋_GB2312"/>
          <w:b/>
          <w:bCs/>
          <w:color w:val="000000"/>
          <w:sz w:val="32"/>
          <w:szCs w:val="32"/>
        </w:rPr>
        <w:t>（</w:t>
      </w:r>
      <w:r>
        <w:rPr>
          <w:rFonts w:hint="eastAsia" w:ascii="仿宋_GB2312" w:hAnsi="仿宋" w:eastAsia="仿宋_GB2312" w:cs="仿宋_GB2312"/>
          <w:b/>
          <w:bCs/>
          <w:color w:val="000000"/>
          <w:sz w:val="32"/>
          <w:szCs w:val="32"/>
          <w:lang w:val="en-US" w:eastAsia="zh-CN"/>
        </w:rPr>
        <w:t>1</w:t>
      </w:r>
      <w:r>
        <w:rPr>
          <w:rFonts w:hint="eastAsia" w:ascii="仿宋_GB2312" w:hAnsi="仿宋" w:eastAsia="仿宋_GB2312" w:cs="仿宋_GB2312"/>
          <w:b/>
          <w:bCs/>
          <w:color w:val="000000"/>
          <w:sz w:val="32"/>
          <w:szCs w:val="32"/>
        </w:rPr>
        <w:t>）项目所处区域财政经济情况</w:t>
      </w:r>
      <w:bookmarkEnd w:id="1"/>
      <w:bookmarkEnd w:id="2"/>
      <w:bookmarkEnd w:id="3"/>
      <w:bookmarkEnd w:id="4"/>
      <w:bookmarkEnd w:id="5"/>
      <w:bookmarkEnd w:id="6"/>
      <w:bookmarkEnd w:id="7"/>
      <w:bookmarkEnd w:id="8"/>
    </w:p>
    <w:p>
      <w:pPr>
        <w:adjustRightInd w:val="0"/>
        <w:snapToGrid w:val="0"/>
        <w:spacing w:line="360" w:lineRule="auto"/>
        <w:ind w:firstLine="640"/>
        <w:jc w:val="both"/>
        <w:rPr>
          <w:rFonts w:hint="eastAsia" w:ascii="仿宋_GB2312" w:hAnsi="仿宋_GB2312" w:eastAsia="仿宋_GB2312" w:cs="仿宋_GB2312"/>
          <w:color w:val="auto"/>
          <w:sz w:val="32"/>
          <w:szCs w:val="32"/>
          <w:highlight w:val="none"/>
        </w:rPr>
      </w:pPr>
      <w:bookmarkStart w:id="9" w:name="_Hlk102395787"/>
      <w:bookmarkStart w:id="10" w:name="_Toc31763"/>
      <w:bookmarkStart w:id="11" w:name="_Toc9605"/>
      <w:bookmarkStart w:id="12" w:name="_Toc99030932"/>
      <w:bookmarkStart w:id="13" w:name="_Toc26219"/>
      <w:bookmarkStart w:id="14" w:name="_Toc11398"/>
      <w:bookmarkStart w:id="15" w:name="_Toc6768"/>
      <w:bookmarkStart w:id="16" w:name="_Toc101973056"/>
      <w:bookmarkStart w:id="17" w:name="_Toc24251"/>
      <w:bookmarkStart w:id="18" w:name="_Toc17951"/>
      <w:bookmarkStart w:id="19" w:name="_Toc8194"/>
      <w:r>
        <w:rPr>
          <w:rFonts w:hint="eastAsia" w:ascii="仿宋_GB2312" w:hAnsi="仿宋_GB2312" w:eastAsia="仿宋_GB2312" w:cs="仿宋_GB2312"/>
          <w:color w:val="auto"/>
          <w:sz w:val="32"/>
          <w:szCs w:val="32"/>
          <w:highlight w:val="none"/>
        </w:rPr>
        <w:t>佛冈县，广东省清远市下辖县，位于广东省中部，珠江三角洲大三角边缘，属山区县，与从化、新丰、英德和清远市清城区毗邻，是历代兵家必争之地。地形地势自东北向西南倾斜，境内低山、丘陵、谷地、平原交错，面积1295平方公里，六普户籍人口32.07万。佛冈有多处的史前文化遗址，且留存西周的古窑，</w:t>
      </w:r>
    </w:p>
    <w:p>
      <w:pPr>
        <w:adjustRightInd w:val="0"/>
        <w:snapToGrid w:val="0"/>
        <w:spacing w:line="360" w:lineRule="auto"/>
        <w:ind w:left="0" w:leftChars="0"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春秋时期的青铜剑、唐宋的古道等。</w:t>
      </w:r>
    </w:p>
    <w:bookmarkEnd w:id="9"/>
    <w:p>
      <w:pPr>
        <w:adjustRightInd w:val="0"/>
        <w:snapToGrid w:val="0"/>
        <w:spacing w:line="360" w:lineRule="auto"/>
        <w:ind w:firstLine="64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佛冈县20</w:t>
      </w:r>
      <w:r>
        <w:rPr>
          <w:rFonts w:hint="eastAsia" w:ascii="仿宋_GB2312" w:hAnsi="仿宋_GB2312" w:eastAsia="仿宋_GB2312" w:cs="仿宋_GB2312"/>
          <w:color w:val="auto"/>
          <w:sz w:val="32"/>
          <w:szCs w:val="32"/>
          <w:highlight w:val="none"/>
          <w:lang w:val="en-US" w:eastAsia="zh-CN"/>
        </w:rPr>
        <w:t>21</w:t>
      </w:r>
      <w:r>
        <w:rPr>
          <w:rFonts w:hint="eastAsia" w:ascii="仿宋_GB2312" w:hAnsi="仿宋_GB2312" w:eastAsia="仿宋_GB2312" w:cs="仿宋_GB2312"/>
          <w:color w:val="auto"/>
          <w:sz w:val="32"/>
          <w:szCs w:val="32"/>
          <w:highlight w:val="none"/>
        </w:rPr>
        <w:t>年至202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年地区生产总值分别为</w:t>
      </w:r>
      <w:r>
        <w:rPr>
          <w:rFonts w:ascii="仿宋_GB2312" w:hAnsi="仿宋_GB2312" w:eastAsia="仿宋_GB2312" w:cs="仿宋_GB2312"/>
          <w:color w:val="auto"/>
          <w:sz w:val="32"/>
          <w:szCs w:val="32"/>
          <w:highlight w:val="none"/>
        </w:rPr>
        <w:t>158.52</w:t>
      </w:r>
      <w:r>
        <w:rPr>
          <w:rFonts w:hint="eastAsia" w:ascii="仿宋_GB2312" w:hAnsi="仿宋_GB2312" w:eastAsia="仿宋_GB2312" w:cs="仿宋_GB2312"/>
          <w:color w:val="auto"/>
          <w:sz w:val="32"/>
          <w:szCs w:val="32"/>
          <w:highlight w:val="none"/>
        </w:rPr>
        <w:t>亿元</w:t>
      </w:r>
      <w:r>
        <w:rPr>
          <w:rFonts w:hint="eastAsia" w:ascii="仿宋_GB2312" w:hAnsi="仿宋_GB2312" w:eastAsia="仿宋_GB2312" w:cs="仿宋_GB2312"/>
          <w:color w:val="auto"/>
          <w:sz w:val="32"/>
          <w:szCs w:val="32"/>
          <w:highlight w:val="none"/>
          <w:lang w:val="en-US" w:eastAsia="zh-CN"/>
        </w:rPr>
        <w:t>、161.34亿元和171.57亿元</w:t>
      </w:r>
      <w:r>
        <w:rPr>
          <w:rFonts w:hint="eastAsia" w:ascii="仿宋_GB2312" w:hAnsi="仿宋_GB2312" w:eastAsia="仿宋_GB2312" w:cs="仿宋_GB2312"/>
          <w:color w:val="auto"/>
          <w:sz w:val="32"/>
          <w:szCs w:val="32"/>
          <w:highlight w:val="none"/>
        </w:rPr>
        <w:t>，政府性基金支出分别为11.80亿元</w:t>
      </w:r>
      <w:r>
        <w:rPr>
          <w:rFonts w:hint="eastAsia" w:ascii="仿宋_GB2312" w:hAnsi="仿宋_GB2312" w:eastAsia="仿宋_GB2312" w:cs="仿宋_GB2312"/>
          <w:color w:val="auto"/>
          <w:sz w:val="32"/>
          <w:szCs w:val="32"/>
          <w:highlight w:val="none"/>
          <w:lang w:val="en-US" w:eastAsia="zh-CN"/>
        </w:rPr>
        <w:t>、16.79亿元和18.76亿元</w:t>
      </w:r>
      <w:r>
        <w:rPr>
          <w:rFonts w:hint="eastAsia" w:ascii="仿宋_GB2312" w:hAnsi="仿宋_GB2312" w:eastAsia="仿宋_GB2312" w:cs="仿宋_GB2312"/>
          <w:color w:val="auto"/>
          <w:sz w:val="32"/>
          <w:szCs w:val="32"/>
          <w:highlight w:val="none"/>
        </w:rPr>
        <w:t>。</w:t>
      </w:r>
    </w:p>
    <w:p>
      <w:pPr>
        <w:spacing w:line="360" w:lineRule="auto"/>
        <w:ind w:firstLine="0" w:firstLineChars="0"/>
        <w:jc w:val="center"/>
        <w:rPr>
          <w:rFonts w:hint="eastAsia" w:ascii="仿宋_GB2312" w:hAnsi="仿宋_GB2312" w:eastAsia="仿宋_GB2312" w:cs="仿宋_GB2312"/>
          <w:color w:val="auto"/>
          <w:szCs w:val="28"/>
          <w:highlight w:val="none"/>
        </w:rPr>
      </w:pPr>
      <w:r>
        <w:rPr>
          <w:rFonts w:hint="eastAsia" w:ascii="仿宋_GB2312" w:hAnsi="仿宋_GB2312" w:eastAsia="仿宋_GB2312" w:cs="仿宋_GB2312"/>
          <w:color w:val="auto"/>
          <w:szCs w:val="28"/>
          <w:highlight w:val="none"/>
        </w:rPr>
        <w:t>近三年佛冈县财政经济情况</w:t>
      </w:r>
    </w:p>
    <w:tbl>
      <w:tblPr>
        <w:tblStyle w:val="8"/>
        <w:tblW w:w="9118"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502"/>
        <w:gridCol w:w="1433"/>
        <w:gridCol w:w="1530"/>
        <w:gridCol w:w="165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502" w:type="dxa"/>
            <w:tcBorders>
              <w:left w:val="single" w:color="auto" w:sz="4" w:space="0"/>
            </w:tcBorders>
            <w:shd w:val="clear" w:color="auto" w:fill="BEBEBE"/>
            <w:noWrap w:val="0"/>
            <w:vAlign w:val="center"/>
          </w:tcPr>
          <w:p>
            <w:pPr>
              <w:ind w:firstLine="48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项目</w:t>
            </w:r>
          </w:p>
        </w:tc>
        <w:tc>
          <w:tcPr>
            <w:tcW w:w="1433" w:type="dxa"/>
            <w:shd w:val="clear" w:color="auto" w:fill="BEBEBE"/>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2021年</w:t>
            </w:r>
          </w:p>
        </w:tc>
        <w:tc>
          <w:tcPr>
            <w:tcW w:w="1530" w:type="dxa"/>
            <w:shd w:val="clear" w:color="auto" w:fill="BEBEBE"/>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202</w:t>
            </w:r>
            <w:r>
              <w:rPr>
                <w:rFonts w:hint="eastAsia" w:ascii="仿宋_GB2312" w:hAnsi="黑体" w:eastAsia="仿宋_GB2312" w:cs="黑体"/>
                <w:bCs/>
                <w:color w:val="auto"/>
                <w:sz w:val="24"/>
                <w:szCs w:val="24"/>
                <w:highlight w:val="none"/>
                <w:lang w:val="en-US" w:eastAsia="zh-CN"/>
              </w:rPr>
              <w:t>2</w:t>
            </w:r>
            <w:r>
              <w:rPr>
                <w:rFonts w:hint="eastAsia" w:ascii="仿宋_GB2312" w:hAnsi="黑体" w:eastAsia="仿宋_GB2312" w:cs="黑体"/>
                <w:bCs/>
                <w:color w:val="auto"/>
                <w:sz w:val="24"/>
                <w:szCs w:val="24"/>
                <w:highlight w:val="none"/>
              </w:rPr>
              <w:t>年</w:t>
            </w:r>
          </w:p>
        </w:tc>
        <w:tc>
          <w:tcPr>
            <w:tcW w:w="1653" w:type="dxa"/>
            <w:tcBorders>
              <w:right w:val="single" w:color="auto" w:sz="4" w:space="0"/>
            </w:tcBorders>
            <w:shd w:val="clear" w:color="auto" w:fill="BEBEBE"/>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202</w:t>
            </w:r>
            <w:r>
              <w:rPr>
                <w:rFonts w:hint="eastAsia" w:ascii="仿宋_GB2312" w:hAnsi="黑体" w:eastAsia="仿宋_GB2312" w:cs="黑体"/>
                <w:bCs/>
                <w:color w:val="auto"/>
                <w:sz w:val="24"/>
                <w:szCs w:val="24"/>
                <w:highlight w:val="none"/>
                <w:lang w:val="en-US" w:eastAsia="zh-CN"/>
              </w:rPr>
              <w:t>3</w:t>
            </w:r>
            <w:r>
              <w:rPr>
                <w:rFonts w:hint="eastAsia" w:ascii="仿宋_GB2312" w:hAnsi="黑体" w:eastAsia="仿宋_GB2312" w:cs="黑体"/>
                <w:bCs/>
                <w:color w:val="auto"/>
                <w:sz w:val="24"/>
                <w:szCs w:val="24"/>
                <w:highlight w:val="none"/>
              </w:rPr>
              <w:t>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4502" w:type="dxa"/>
            <w:tcBorders>
              <w:left w:val="single" w:color="auto" w:sz="4" w:space="0"/>
            </w:tcBorders>
            <w:noWrap w:val="0"/>
            <w:vAlign w:val="center"/>
          </w:tcPr>
          <w:p>
            <w:pPr>
              <w:pStyle w:val="2"/>
              <w:jc w:val="center"/>
              <w:rPr>
                <w:rFonts w:hAnsi="仿宋" w:cs="仿宋"/>
                <w:color w:val="auto"/>
                <w:highlight w:val="none"/>
              </w:rPr>
            </w:pPr>
            <w:r>
              <w:rPr>
                <w:rFonts w:hAnsi="仿宋" w:cs="仿宋"/>
                <w:color w:val="auto"/>
                <w:highlight w:val="none"/>
              </w:rPr>
              <w:t>地区生产总值（亿元）</w:t>
            </w:r>
          </w:p>
        </w:tc>
        <w:tc>
          <w:tcPr>
            <w:tcW w:w="1433"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w:t>
            </w:r>
            <w:r>
              <w:rPr>
                <w:rFonts w:hint="default" w:ascii="仿宋_GB2312" w:hAnsi="黑体" w:eastAsia="仿宋_GB2312" w:cs="黑体"/>
                <w:bCs/>
                <w:color w:val="auto"/>
                <w:sz w:val="24"/>
                <w:szCs w:val="24"/>
                <w:highlight w:val="none"/>
              </w:rPr>
              <w:t>58.52</w:t>
            </w:r>
          </w:p>
        </w:tc>
        <w:tc>
          <w:tcPr>
            <w:tcW w:w="1530"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161.34</w:t>
            </w:r>
          </w:p>
        </w:tc>
        <w:tc>
          <w:tcPr>
            <w:tcW w:w="1653" w:type="dxa"/>
            <w:tcBorders>
              <w:right w:val="single" w:color="auto" w:sz="4" w:space="0"/>
            </w:tcBorders>
            <w:noWrap w:val="0"/>
            <w:vAlign w:val="center"/>
          </w:tcPr>
          <w:p>
            <w:pPr>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171.57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4502" w:type="dxa"/>
            <w:tcBorders>
              <w:left w:val="single" w:color="auto" w:sz="4" w:space="0"/>
            </w:tcBorders>
            <w:noWrap w:val="0"/>
            <w:vAlign w:val="center"/>
          </w:tcPr>
          <w:p>
            <w:pPr>
              <w:pStyle w:val="2"/>
              <w:jc w:val="center"/>
              <w:rPr>
                <w:rFonts w:hAnsi="仿宋" w:cs="仿宋"/>
                <w:color w:val="auto"/>
                <w:highlight w:val="none"/>
              </w:rPr>
            </w:pPr>
            <w:r>
              <w:rPr>
                <w:rFonts w:hAnsi="仿宋" w:cs="仿宋"/>
                <w:color w:val="auto"/>
                <w:highlight w:val="none"/>
              </w:rPr>
              <w:t>一般预算收入（亿元）</w:t>
            </w:r>
          </w:p>
        </w:tc>
        <w:tc>
          <w:tcPr>
            <w:tcW w:w="1433"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11.61</w:t>
            </w:r>
          </w:p>
        </w:tc>
        <w:tc>
          <w:tcPr>
            <w:tcW w:w="1530"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12.77</w:t>
            </w:r>
          </w:p>
        </w:tc>
        <w:tc>
          <w:tcPr>
            <w:tcW w:w="1653" w:type="dxa"/>
            <w:tcBorders>
              <w:right w:val="single" w:color="auto" w:sz="4" w:space="0"/>
            </w:tcBorders>
            <w:noWrap w:val="0"/>
            <w:vAlign w:val="center"/>
          </w:tcPr>
          <w:p>
            <w:pPr>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13.59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4502" w:type="dxa"/>
            <w:tcBorders>
              <w:left w:val="single" w:color="auto" w:sz="4" w:space="0"/>
            </w:tcBorders>
            <w:noWrap w:val="0"/>
            <w:vAlign w:val="center"/>
          </w:tcPr>
          <w:p>
            <w:pPr>
              <w:pStyle w:val="2"/>
              <w:jc w:val="center"/>
              <w:rPr>
                <w:rFonts w:hAnsi="仿宋" w:cs="仿宋"/>
                <w:color w:val="auto"/>
                <w:highlight w:val="none"/>
              </w:rPr>
            </w:pPr>
            <w:r>
              <w:rPr>
                <w:rFonts w:hAnsi="仿宋" w:cs="仿宋"/>
                <w:color w:val="auto"/>
                <w:highlight w:val="none"/>
              </w:rPr>
              <w:t>政府性基金收入（亿元）</w:t>
            </w:r>
          </w:p>
        </w:tc>
        <w:tc>
          <w:tcPr>
            <w:tcW w:w="1433"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16.27</w:t>
            </w:r>
          </w:p>
        </w:tc>
        <w:tc>
          <w:tcPr>
            <w:tcW w:w="1530"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w:t>
            </w:r>
            <w:r>
              <w:rPr>
                <w:rFonts w:hint="eastAsia" w:ascii="仿宋_GB2312" w:hAnsi="黑体" w:eastAsia="仿宋_GB2312" w:cs="黑体"/>
                <w:bCs/>
                <w:color w:val="auto"/>
                <w:sz w:val="24"/>
                <w:szCs w:val="24"/>
                <w:highlight w:val="none"/>
                <w:lang w:val="en-US" w:eastAsia="zh-CN"/>
              </w:rPr>
              <w:t>0.76</w:t>
            </w:r>
          </w:p>
        </w:tc>
        <w:tc>
          <w:tcPr>
            <w:tcW w:w="1653" w:type="dxa"/>
            <w:tcBorders>
              <w:right w:val="single" w:color="auto" w:sz="4" w:space="0"/>
            </w:tcBorders>
            <w:noWrap w:val="0"/>
            <w:vAlign w:val="center"/>
          </w:tcPr>
          <w:p>
            <w:pPr>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6.44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502" w:type="dxa"/>
            <w:tcBorders>
              <w:left w:val="single" w:color="auto" w:sz="4" w:space="0"/>
            </w:tcBorders>
            <w:noWrap w:val="0"/>
            <w:vAlign w:val="center"/>
          </w:tcPr>
          <w:p>
            <w:pPr>
              <w:pStyle w:val="2"/>
              <w:jc w:val="center"/>
              <w:rPr>
                <w:rFonts w:hAnsi="仿宋" w:cs="仿宋"/>
                <w:color w:val="auto"/>
                <w:highlight w:val="none"/>
              </w:rPr>
            </w:pPr>
            <w:r>
              <w:rPr>
                <w:rFonts w:hAnsi="仿宋" w:cs="仿宋"/>
                <w:color w:val="auto"/>
                <w:highlight w:val="none"/>
              </w:rPr>
              <w:t>其中：国有土地出让收入（亿元）</w:t>
            </w:r>
          </w:p>
        </w:tc>
        <w:tc>
          <w:tcPr>
            <w:tcW w:w="1433"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14.61</w:t>
            </w:r>
          </w:p>
        </w:tc>
        <w:tc>
          <w:tcPr>
            <w:tcW w:w="1530"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9.36</w:t>
            </w:r>
          </w:p>
        </w:tc>
        <w:tc>
          <w:tcPr>
            <w:tcW w:w="1653" w:type="dxa"/>
            <w:tcBorders>
              <w:right w:val="single" w:color="auto" w:sz="4" w:space="0"/>
            </w:tcBorders>
            <w:noWrap w:val="0"/>
            <w:vAlign w:val="center"/>
          </w:tcPr>
          <w:p>
            <w:pPr>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5.25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4502" w:type="dxa"/>
            <w:tcBorders>
              <w:left w:val="single" w:color="auto" w:sz="4" w:space="0"/>
            </w:tcBorders>
            <w:noWrap w:val="0"/>
            <w:vAlign w:val="center"/>
          </w:tcPr>
          <w:p>
            <w:pPr>
              <w:pStyle w:val="2"/>
              <w:jc w:val="center"/>
              <w:rPr>
                <w:rFonts w:hAnsi="仿宋" w:cs="仿宋"/>
                <w:color w:val="auto"/>
                <w:highlight w:val="none"/>
              </w:rPr>
            </w:pPr>
            <w:r>
              <w:rPr>
                <w:rFonts w:hAnsi="仿宋" w:cs="仿宋"/>
                <w:color w:val="auto"/>
                <w:highlight w:val="none"/>
              </w:rPr>
              <w:t>政府性基金支出（亿元）</w:t>
            </w:r>
          </w:p>
        </w:tc>
        <w:tc>
          <w:tcPr>
            <w:tcW w:w="1433"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11.80</w:t>
            </w:r>
          </w:p>
        </w:tc>
        <w:tc>
          <w:tcPr>
            <w:tcW w:w="1530"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16.79</w:t>
            </w:r>
          </w:p>
        </w:tc>
        <w:tc>
          <w:tcPr>
            <w:tcW w:w="1653" w:type="dxa"/>
            <w:tcBorders>
              <w:right w:val="single" w:color="auto" w:sz="4" w:space="0"/>
            </w:tcBorders>
            <w:noWrap w:val="0"/>
            <w:vAlign w:val="center"/>
          </w:tcPr>
          <w:p>
            <w:pPr>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18.76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4502" w:type="dxa"/>
            <w:tcBorders>
              <w:left w:val="single" w:color="auto" w:sz="4" w:space="0"/>
            </w:tcBorders>
            <w:noWrap w:val="0"/>
            <w:vAlign w:val="center"/>
          </w:tcPr>
          <w:p>
            <w:pPr>
              <w:pStyle w:val="2"/>
              <w:jc w:val="center"/>
              <w:rPr>
                <w:rFonts w:hAnsi="仿宋" w:cs="仿宋"/>
                <w:color w:val="auto"/>
                <w:highlight w:val="none"/>
              </w:rPr>
            </w:pPr>
            <w:r>
              <w:rPr>
                <w:rFonts w:hAnsi="仿宋" w:cs="仿宋"/>
                <w:color w:val="auto"/>
                <w:highlight w:val="none"/>
              </w:rPr>
              <w:t>其中：国有土地出让支出（亿元）</w:t>
            </w:r>
          </w:p>
        </w:tc>
        <w:tc>
          <w:tcPr>
            <w:tcW w:w="1433"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8.60</w:t>
            </w:r>
          </w:p>
        </w:tc>
        <w:tc>
          <w:tcPr>
            <w:tcW w:w="1530"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3.70</w:t>
            </w:r>
          </w:p>
        </w:tc>
        <w:tc>
          <w:tcPr>
            <w:tcW w:w="1653" w:type="dxa"/>
            <w:tcBorders>
              <w:right w:val="single" w:color="auto" w:sz="4" w:space="0"/>
            </w:tcBorders>
            <w:noWrap w:val="0"/>
            <w:vAlign w:val="center"/>
          </w:tcPr>
          <w:p>
            <w:pPr>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2.92</w:t>
            </w:r>
          </w:p>
        </w:tc>
      </w:tr>
    </w:tbl>
    <w:p>
      <w:pPr>
        <w:pStyle w:val="3"/>
        <w:spacing w:before="0" w:after="0"/>
        <w:ind w:firstLine="643"/>
        <w:rPr>
          <w:rFonts w:hint="eastAsia" w:ascii="仿宋_GB2312" w:hAnsi="仿宋" w:eastAsia="仿宋_GB2312" w:cs="仿宋_GB2312"/>
          <w:b w:val="0"/>
          <w:bCs w:val="0"/>
          <w:sz w:val="32"/>
        </w:rPr>
      </w:pPr>
      <w:r>
        <w:rPr>
          <w:rFonts w:hint="eastAsia" w:ascii="仿宋_GB2312" w:hAnsi="仿宋" w:eastAsia="仿宋_GB2312" w:cs="仿宋_GB2312"/>
          <w:sz w:val="32"/>
        </w:rPr>
        <w:t>（</w:t>
      </w:r>
      <w:r>
        <w:rPr>
          <w:rFonts w:hint="eastAsia" w:ascii="仿宋_GB2312" w:hAnsi="仿宋" w:eastAsia="仿宋_GB2312" w:cs="仿宋_GB2312"/>
          <w:sz w:val="32"/>
          <w:lang w:val="en-US" w:eastAsia="zh-CN"/>
        </w:rPr>
        <w:t>2</w:t>
      </w:r>
      <w:r>
        <w:rPr>
          <w:rFonts w:hint="eastAsia" w:ascii="仿宋_GB2312" w:hAnsi="仿宋" w:eastAsia="仿宋_GB2312" w:cs="仿宋_GB2312"/>
          <w:sz w:val="32"/>
        </w:rPr>
        <w:t>）本地社会发展规划和</w:t>
      </w:r>
      <w:r>
        <w:rPr>
          <w:rFonts w:hint="eastAsia" w:ascii="仿宋_GB2312" w:hAnsi="仿宋" w:eastAsia="仿宋_GB2312" w:cs="仿宋_GB2312"/>
          <w:sz w:val="32"/>
          <w:lang w:val="en-US"/>
        </w:rPr>
        <w:t>行业相关规划</w:t>
      </w:r>
      <w:bookmarkEnd w:id="10"/>
      <w:bookmarkEnd w:id="11"/>
      <w:bookmarkEnd w:id="12"/>
      <w:bookmarkEnd w:id="13"/>
      <w:bookmarkEnd w:id="14"/>
      <w:bookmarkEnd w:id="15"/>
      <w:bookmarkEnd w:id="16"/>
      <w:bookmarkEnd w:id="17"/>
      <w:bookmarkEnd w:id="18"/>
      <w:bookmarkEnd w:id="19"/>
    </w:p>
    <w:p>
      <w:pPr>
        <w:adjustRightInd w:val="0"/>
        <w:snapToGrid w:val="0"/>
        <w:spacing w:line="360" w:lineRule="auto"/>
        <w:ind w:firstLine="640"/>
        <w:jc w:val="both"/>
        <w:rPr>
          <w:rFonts w:hint="eastAsia" w:ascii="仿宋_GB2312" w:hAnsi="仿宋_GB2312" w:eastAsia="仿宋_GB2312" w:cs="仿宋_GB2312"/>
          <w:color w:val="auto"/>
          <w:sz w:val="32"/>
          <w:szCs w:val="32"/>
          <w:highlight w:val="none"/>
          <w:lang w:eastAsia="zh-CN"/>
        </w:rPr>
      </w:pPr>
      <w:bookmarkStart w:id="20" w:name="_Toc28496"/>
      <w:bookmarkStart w:id="21" w:name="_Toc19892"/>
      <w:bookmarkStart w:id="22" w:name="_Toc21002"/>
      <w:bookmarkStart w:id="23" w:name="_Toc18098"/>
      <w:bookmarkStart w:id="24" w:name="_Toc99030933"/>
      <w:bookmarkStart w:id="25" w:name="_Toc26478"/>
      <w:bookmarkStart w:id="26" w:name="_Toc101973057"/>
      <w:bookmarkStart w:id="27" w:name="_Toc28114"/>
      <w:r>
        <w:rPr>
          <w:rFonts w:hint="eastAsia" w:ascii="仿宋_GB2312" w:hAnsi="仿宋_GB2312" w:eastAsia="仿宋_GB2312" w:cs="仿宋_GB2312"/>
          <w:color w:val="auto"/>
          <w:sz w:val="32"/>
          <w:szCs w:val="32"/>
          <w:highlight w:val="none"/>
        </w:rPr>
        <w:t>本工程主要是</w:t>
      </w:r>
      <w:r>
        <w:rPr>
          <w:rFonts w:hint="eastAsia" w:ascii="仿宋_GB2312" w:hAnsi="仿宋_GB2312" w:eastAsia="仿宋_GB2312" w:cs="仿宋_GB2312"/>
          <w:color w:val="auto"/>
          <w:sz w:val="32"/>
          <w:szCs w:val="32"/>
          <w:highlight w:val="none"/>
          <w:lang w:eastAsia="zh-CN"/>
        </w:rPr>
        <w:t>：</w:t>
      </w:r>
    </w:p>
    <w:p>
      <w:pPr>
        <w:adjustRightInd w:val="0"/>
        <w:snapToGrid w:val="0"/>
        <w:spacing w:line="360" w:lineRule="auto"/>
        <w:ind w:firstLine="64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（1）水排放综合治理</w:t>
      </w:r>
    </w:p>
    <w:p>
      <w:pPr>
        <w:adjustRightInd w:val="0"/>
        <w:snapToGrid w:val="0"/>
        <w:spacing w:line="360" w:lineRule="auto"/>
        <w:ind w:firstLine="64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对佛冈县城潖江右岸城北中学至翻板闸现状DN600污水管原位换管，置换管道总长约1525m。对佛冈县城振兴北片区（篁胜新城、龙溪、英佛公路）配套集污管网，配套污水管网约4289m。</w:t>
      </w:r>
    </w:p>
    <w:p>
      <w:pPr>
        <w:adjustRightInd w:val="0"/>
        <w:snapToGrid w:val="0"/>
        <w:spacing w:line="360" w:lineRule="auto"/>
        <w:ind w:firstLine="64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（2）水生态保护和修复</w:t>
      </w:r>
    </w:p>
    <w:p>
      <w:pPr>
        <w:adjustRightInd w:val="0"/>
        <w:snapToGrid w:val="0"/>
        <w:spacing w:line="360" w:lineRule="auto"/>
        <w:ind w:firstLine="64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对潖江干流（奥园桥～二七桥段）进行清淤清障，治理长度3.95km。对潖江干流（建滔桥河道～大庙峡段）进行清淤清障，治理长度5.4km。</w:t>
      </w:r>
    </w:p>
    <w:p>
      <w:pPr>
        <w:adjustRightInd w:val="0"/>
        <w:snapToGrid w:val="0"/>
        <w:spacing w:line="360" w:lineRule="auto"/>
        <w:ind w:firstLine="64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（3）西田水厂扩建工程</w:t>
      </w:r>
    </w:p>
    <w:p>
      <w:pPr>
        <w:adjustRightInd w:val="0"/>
        <w:snapToGrid w:val="0"/>
        <w:spacing w:line="360" w:lineRule="auto"/>
        <w:ind w:firstLine="64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西田水厂进行升级改造，并将供水范围在原潭洞、石潭、桂田、新联片供水基础上增加莲瑶、新坣、王田村、水头镇区附近及大学城、红苹果等企业。本次共计新增清水池1座、一体化净水设备1套，管理房1座；新建取水口一座，敷设引水渠1265m，输水管道130m，铺设配水管网82.73km。</w:t>
      </w:r>
    </w:p>
    <w:p>
      <w:pPr>
        <w:adjustRightInd w:val="0"/>
        <w:snapToGrid w:val="0"/>
        <w:spacing w:line="360" w:lineRule="auto"/>
        <w:ind w:firstLine="64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（4）水头片区市政提升改造工程</w:t>
      </w:r>
    </w:p>
    <w:p>
      <w:pPr>
        <w:adjustRightInd w:val="0"/>
        <w:snapToGrid w:val="0"/>
        <w:spacing w:line="360" w:lineRule="auto"/>
        <w:ind w:firstLine="64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在对水头镇镇区范围内进行雨污分流，共计新建DN150~DN300污水管道2440m，DN200~DN1500雨水管道1840m。</w:t>
      </w:r>
    </w:p>
    <w:p>
      <w:pPr>
        <w:adjustRightInd w:val="0"/>
        <w:snapToGrid w:val="0"/>
        <w:spacing w:line="360" w:lineRule="auto"/>
        <w:ind w:firstLine="64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（5）水头镇防洪排涝工程</w:t>
      </w:r>
    </w:p>
    <w:p>
      <w:pPr>
        <w:adjustRightInd w:val="0"/>
        <w:snapToGrid w:val="0"/>
        <w:spacing w:line="360" w:lineRule="auto"/>
        <w:ind w:firstLine="64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对现有丰联坑及王田坑排洪渠箱涵进行改造，改造内容主要是对王田坑水头中学段沟渠进行清淤、新建挡墙护岸、沟渠拓宽，长度约为450m；箱涵改造2处，总长度约为400m；渠道三面光护砌150m；重建渠道1000m；改造涵管1处。根据《佛冈县迳头镇总体规划（2014～2030）》，规划期限：近期2014-2020年，中期2021～2025年，远期2026～2030年。抓住珠</w:t>
      </w:r>
      <w:r>
        <w:rPr>
          <w:rFonts w:hint="eastAsia" w:ascii="仿宋_GB2312" w:hAnsi="仿宋_GB2312" w:eastAsia="仿宋_GB2312" w:cs="仿宋_GB2312"/>
          <w:color w:val="auto"/>
          <w:sz w:val="32"/>
          <w:szCs w:val="32"/>
          <w:highlight w:val="none"/>
          <w:lang w:val="en-US" w:eastAsia="zh-CN"/>
        </w:rPr>
        <w:t>江</w:t>
      </w:r>
      <w:r>
        <w:rPr>
          <w:rFonts w:hint="eastAsia" w:ascii="仿宋_GB2312" w:hAnsi="仿宋_GB2312" w:eastAsia="仿宋_GB2312" w:cs="仿宋_GB2312"/>
          <w:color w:val="auto"/>
          <w:sz w:val="32"/>
          <w:szCs w:val="32"/>
          <w:highlight w:val="none"/>
        </w:rPr>
        <w:t>三角洲产业转移这一历史机遇，充分利用和发挥本地资源、地缘、交通等优势，积极营造良好的投资环境，吸引外资本投入，以工业发展带动整个镇域经济全面发展。</w:t>
      </w:r>
    </w:p>
    <w:p>
      <w:pPr>
        <w:widowControl w:val="0"/>
        <w:adjustRightInd w:val="0"/>
        <w:snapToGrid w:val="0"/>
        <w:spacing w:line="360" w:lineRule="auto"/>
        <w:ind w:firstLine="643"/>
        <w:jc w:val="both"/>
        <w:outlineLvl w:val="1"/>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w:t>
      </w:r>
      <w:r>
        <w:rPr>
          <w:rFonts w:hint="eastAsia" w:ascii="仿宋_GB2312" w:hAnsi="仿宋_GB2312" w:eastAsia="仿宋_GB2312" w:cs="仿宋_GB2312"/>
          <w:b/>
          <w:bCs/>
          <w:color w:val="000000"/>
          <w:sz w:val="32"/>
          <w:szCs w:val="32"/>
          <w:lang w:val="en-US" w:eastAsia="zh-CN"/>
        </w:rPr>
        <w:t>3</w:t>
      </w:r>
      <w:r>
        <w:rPr>
          <w:rFonts w:hint="eastAsia" w:ascii="仿宋_GB2312" w:hAnsi="仿宋_GB2312" w:eastAsia="仿宋_GB2312" w:cs="仿宋_GB2312"/>
          <w:b/>
          <w:bCs/>
          <w:color w:val="000000"/>
          <w:sz w:val="32"/>
          <w:szCs w:val="32"/>
        </w:rPr>
        <w:t>）项目</w:t>
      </w:r>
      <w:bookmarkEnd w:id="20"/>
      <w:bookmarkEnd w:id="21"/>
      <w:bookmarkEnd w:id="22"/>
      <w:bookmarkEnd w:id="23"/>
      <w:r>
        <w:rPr>
          <w:rFonts w:hint="eastAsia" w:ascii="仿宋_GB2312" w:hAnsi="仿宋_GB2312" w:eastAsia="仿宋_GB2312" w:cs="仿宋_GB2312"/>
          <w:b/>
          <w:bCs/>
          <w:color w:val="000000"/>
          <w:sz w:val="32"/>
          <w:szCs w:val="32"/>
        </w:rPr>
        <w:t>情况</w:t>
      </w:r>
      <w:bookmarkEnd w:id="24"/>
      <w:bookmarkEnd w:id="25"/>
      <w:bookmarkEnd w:id="26"/>
      <w:bookmarkEnd w:id="27"/>
    </w:p>
    <w:p>
      <w:pPr>
        <w:spacing w:line="360" w:lineRule="auto"/>
        <w:ind w:firstLine="640"/>
        <w:jc w:val="both"/>
        <w:rPr>
          <w:rFonts w:hint="eastAsia" w:ascii="仿宋_GB2312" w:hAnsi="仿宋" w:eastAsia="仿宋_GB2312" w:cs="仿宋"/>
          <w:color w:val="auto"/>
          <w:sz w:val="32"/>
          <w:szCs w:val="32"/>
          <w:highlight w:val="none"/>
          <w:lang w:val="en-US" w:eastAsia="zh-CN"/>
        </w:rPr>
      </w:pPr>
      <w:bookmarkStart w:id="28" w:name="_Toc2548"/>
      <w:bookmarkStart w:id="29" w:name="_Toc18655"/>
      <w:bookmarkStart w:id="30" w:name="_Toc101973059"/>
      <w:bookmarkStart w:id="31" w:name="_Toc99030935"/>
      <w:bookmarkStart w:id="32" w:name="_Toc11700"/>
      <w:bookmarkStart w:id="33" w:name="_Toc8096"/>
      <w:bookmarkStart w:id="34" w:name="_Toc7674"/>
      <w:bookmarkStart w:id="35" w:name="_Toc26791"/>
      <w:r>
        <w:rPr>
          <w:rFonts w:hint="eastAsia" w:ascii="仿宋_GB2312" w:hAnsi="仿宋" w:eastAsia="仿宋_GB2312" w:cs="仿宋"/>
          <w:color w:val="auto"/>
          <w:sz w:val="32"/>
          <w:szCs w:val="32"/>
          <w:highlight w:val="none"/>
          <w:lang w:val="en-US" w:eastAsia="zh-CN"/>
        </w:rPr>
        <w:t>项目建设概况：</w:t>
      </w:r>
      <w:r>
        <w:rPr>
          <w:rFonts w:hint="eastAsia" w:ascii="仿宋_GB2312" w:hAnsi="仿宋_GB2312" w:eastAsia="仿宋_GB2312" w:cs="仿宋_GB2312"/>
          <w:bCs/>
          <w:sz w:val="32"/>
          <w:szCs w:val="32"/>
          <w:lang w:val="en-US" w:eastAsia="zh-CN"/>
        </w:rPr>
        <w:t>潖江水生环境综合整治项目</w:t>
      </w:r>
      <w:r>
        <w:rPr>
          <w:rFonts w:hint="eastAsia" w:ascii="仿宋_GB2312" w:hAnsi="仿宋" w:eastAsia="仿宋_GB2312" w:cs="仿宋"/>
          <w:color w:val="auto"/>
          <w:sz w:val="32"/>
          <w:szCs w:val="32"/>
          <w:highlight w:val="none"/>
          <w:lang w:val="en-US"/>
        </w:rPr>
        <w:t>工程位于</w:t>
      </w:r>
      <w:r>
        <w:rPr>
          <w:rFonts w:hint="eastAsia" w:ascii="仿宋_GB2312" w:hAnsi="仿宋" w:eastAsia="仿宋_GB2312" w:cs="仿宋"/>
          <w:color w:val="auto"/>
          <w:sz w:val="32"/>
          <w:szCs w:val="32"/>
          <w:highlight w:val="none"/>
          <w:lang w:val="en-US" w:eastAsia="zh-CN"/>
        </w:rPr>
        <w:t>石角镇，。本项目靠近现106国道，106国道新线和X373、X839县道，对外交通较为便利。</w:t>
      </w:r>
    </w:p>
    <w:p>
      <w:pPr>
        <w:spacing w:line="360" w:lineRule="auto"/>
        <w:ind w:firstLine="640"/>
        <w:jc w:val="both"/>
        <w:rPr>
          <w:rFonts w:hint="eastAsia" w:ascii="仿宋_GB2312" w:hAnsi="仿宋" w:eastAsia="仿宋_GB2312" w:cs="仿宋"/>
          <w:color w:val="auto"/>
          <w:sz w:val="32"/>
          <w:szCs w:val="32"/>
          <w:highlight w:val="none"/>
          <w:lang w:val="en-US"/>
        </w:rPr>
      </w:pPr>
      <w:r>
        <w:rPr>
          <w:rFonts w:hint="eastAsia" w:ascii="仿宋_GB2312" w:hAnsi="仿宋" w:eastAsia="仿宋_GB2312" w:cs="仿宋"/>
          <w:color w:val="auto"/>
          <w:sz w:val="32"/>
          <w:szCs w:val="32"/>
          <w:highlight w:val="none"/>
          <w:lang w:val="en-US"/>
        </w:rPr>
        <w:t>本项目属于有一定收益的公益性项目。</w:t>
      </w:r>
    </w:p>
    <w:p>
      <w:pPr>
        <w:widowControl w:val="0"/>
        <w:adjustRightInd w:val="0"/>
        <w:snapToGrid w:val="0"/>
        <w:spacing w:line="360" w:lineRule="auto"/>
        <w:ind w:firstLine="561" w:firstLineChars="0"/>
        <w:jc w:val="both"/>
        <w:outlineLvl w:val="1"/>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w:t>
      </w:r>
      <w:r>
        <w:rPr>
          <w:rFonts w:hint="eastAsia" w:ascii="仿宋_GB2312" w:hAnsi="仿宋_GB2312" w:eastAsia="仿宋_GB2312" w:cs="仿宋_GB2312"/>
          <w:b/>
          <w:bCs/>
          <w:color w:val="000000"/>
          <w:sz w:val="32"/>
          <w:szCs w:val="32"/>
          <w:lang w:val="en-US" w:eastAsia="zh-CN"/>
        </w:rPr>
        <w:t>4</w:t>
      </w:r>
      <w:r>
        <w:rPr>
          <w:rFonts w:hint="eastAsia" w:ascii="仿宋_GB2312" w:hAnsi="仿宋_GB2312" w:eastAsia="仿宋_GB2312" w:cs="仿宋_GB2312"/>
          <w:b/>
          <w:bCs/>
          <w:color w:val="000000"/>
          <w:sz w:val="32"/>
          <w:szCs w:val="32"/>
        </w:rPr>
        <w:t>）项目立项情况或实施依据</w:t>
      </w:r>
      <w:bookmarkEnd w:id="28"/>
      <w:bookmarkEnd w:id="29"/>
      <w:bookmarkEnd w:id="30"/>
      <w:bookmarkEnd w:id="31"/>
      <w:bookmarkEnd w:id="32"/>
      <w:bookmarkEnd w:id="33"/>
      <w:bookmarkEnd w:id="34"/>
      <w:bookmarkEnd w:id="35"/>
    </w:p>
    <w:p>
      <w:pPr>
        <w:widowControl w:val="0"/>
        <w:adjustRightInd w:val="0"/>
        <w:snapToGrid w:val="0"/>
        <w:spacing w:line="360" w:lineRule="auto"/>
        <w:ind w:firstLine="561" w:firstLineChars="0"/>
        <w:jc w:val="both"/>
        <w:outlineLvl w:val="1"/>
        <w:rPr>
          <w:rFonts w:hint="eastAsia" w:ascii="仿宋_GB2312" w:hAnsi="仿宋" w:eastAsia="仿宋_GB2312" w:cs="仿宋"/>
          <w:color w:val="auto"/>
          <w:sz w:val="32"/>
          <w:szCs w:val="32"/>
          <w:highlight w:val="none"/>
          <w:lang w:val="en-US"/>
        </w:rPr>
      </w:pPr>
      <w:bookmarkStart w:id="36" w:name="_Toc4489"/>
      <w:bookmarkStart w:id="37" w:name="_Toc99030936"/>
      <w:bookmarkStart w:id="38" w:name="_Toc22609"/>
      <w:bookmarkStart w:id="39" w:name="_Toc29630"/>
      <w:bookmarkStart w:id="40" w:name="_Toc14727"/>
      <w:bookmarkStart w:id="41" w:name="_Toc16947"/>
      <w:bookmarkStart w:id="42" w:name="_Toc101973060"/>
      <w:bookmarkStart w:id="43" w:name="_Toc8867"/>
      <w:r>
        <w:rPr>
          <w:rFonts w:hint="eastAsia" w:ascii="仿宋_GB2312" w:hAnsi="仿宋" w:eastAsia="仿宋_GB2312" w:cs="仿宋"/>
          <w:color w:val="auto"/>
          <w:sz w:val="32"/>
          <w:szCs w:val="32"/>
          <w:highlight w:val="none"/>
          <w:lang w:val="en-US"/>
        </w:rPr>
        <w:t>2022年4月27日，取得佛冈县发展改革局出具《关于潖江水生环境综合整治可行性研究报告的批复》佛发改〔2022〕96号，同意项目实施。</w:t>
      </w:r>
    </w:p>
    <w:p>
      <w:pPr>
        <w:widowControl w:val="0"/>
        <w:adjustRightInd w:val="0"/>
        <w:snapToGrid w:val="0"/>
        <w:spacing w:line="360" w:lineRule="auto"/>
        <w:ind w:firstLine="561" w:firstLineChars="0"/>
        <w:jc w:val="both"/>
        <w:outlineLvl w:val="1"/>
        <w:rPr>
          <w:rFonts w:hint="eastAsia" w:ascii="仿宋_GB2312" w:hAnsi="仿宋" w:eastAsia="仿宋_GB2312" w:cs="仿宋_GB2312"/>
          <w:b/>
          <w:bCs/>
          <w:color w:val="000000"/>
          <w:sz w:val="32"/>
          <w:szCs w:val="32"/>
        </w:rPr>
      </w:pPr>
      <w:r>
        <w:rPr>
          <w:rFonts w:hint="eastAsia" w:ascii="仿宋_GB2312" w:hAnsi="仿宋" w:eastAsia="仿宋_GB2312" w:cs="仿宋_GB2312"/>
          <w:b/>
          <w:bCs/>
          <w:color w:val="000000"/>
          <w:sz w:val="32"/>
          <w:szCs w:val="32"/>
        </w:rPr>
        <w:t>（</w:t>
      </w:r>
      <w:r>
        <w:rPr>
          <w:rFonts w:hint="eastAsia" w:ascii="仿宋_GB2312" w:hAnsi="仿宋" w:eastAsia="仿宋_GB2312" w:cs="仿宋_GB2312"/>
          <w:b/>
          <w:bCs/>
          <w:color w:val="000000"/>
          <w:sz w:val="32"/>
          <w:szCs w:val="32"/>
          <w:lang w:val="en-US" w:eastAsia="zh-CN"/>
        </w:rPr>
        <w:t>5</w:t>
      </w:r>
      <w:r>
        <w:rPr>
          <w:rFonts w:hint="eastAsia" w:ascii="仿宋_GB2312" w:hAnsi="仿宋" w:eastAsia="仿宋_GB2312" w:cs="仿宋_GB2312"/>
          <w:b/>
          <w:bCs/>
          <w:color w:val="000000"/>
          <w:sz w:val="32"/>
          <w:szCs w:val="32"/>
        </w:rPr>
        <w:t>）责任主体</w:t>
      </w:r>
      <w:bookmarkEnd w:id="36"/>
      <w:bookmarkEnd w:id="37"/>
      <w:bookmarkEnd w:id="38"/>
      <w:bookmarkEnd w:id="39"/>
      <w:bookmarkEnd w:id="40"/>
      <w:bookmarkEnd w:id="41"/>
      <w:bookmarkEnd w:id="42"/>
      <w:bookmarkEnd w:id="43"/>
    </w:p>
    <w:p>
      <w:pPr>
        <w:adjustRightInd w:val="0"/>
        <w:snapToGrid w:val="0"/>
        <w:spacing w:line="360" w:lineRule="auto"/>
        <w:ind w:firstLine="560" w:firstLineChars="0"/>
        <w:rPr>
          <w:rFonts w:hint="eastAsia"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rPr>
        <w:t>1.本项目实施单位为佛冈县</w:t>
      </w:r>
      <w:r>
        <w:rPr>
          <w:rFonts w:hint="eastAsia" w:ascii="仿宋_GB2312" w:hAnsi="仿宋" w:eastAsia="仿宋_GB2312" w:cs="仿宋"/>
          <w:color w:val="auto"/>
          <w:sz w:val="32"/>
          <w:szCs w:val="32"/>
          <w:highlight w:val="none"/>
          <w:lang w:eastAsia="zh-CN"/>
        </w:rPr>
        <w:t>水务工程建设管理</w:t>
      </w:r>
      <w:r>
        <w:rPr>
          <w:rFonts w:hint="eastAsia" w:ascii="仿宋_GB2312" w:hAnsi="仿宋" w:eastAsia="仿宋_GB2312" w:cs="仿宋"/>
          <w:color w:val="auto"/>
          <w:sz w:val="32"/>
          <w:szCs w:val="32"/>
          <w:highlight w:val="none"/>
        </w:rPr>
        <w:t>中心，机构详细信息如下表：</w:t>
      </w:r>
    </w:p>
    <w:tbl>
      <w:tblPr>
        <w:tblStyle w:val="8"/>
        <w:tblW w:w="501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64"/>
        <w:gridCol w:w="5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2"/>
              <w:ind w:firstLine="480" w:firstLineChars="200"/>
              <w:jc w:val="both"/>
              <w:rPr>
                <w:rFonts w:hAnsi="仿宋" w:cs="仿宋"/>
                <w:color w:val="auto"/>
                <w:highlight w:val="none"/>
              </w:rPr>
            </w:pPr>
            <w:r>
              <w:rPr>
                <w:rFonts w:hAnsi="仿宋" w:cs="仿宋"/>
                <w:color w:val="auto"/>
                <w:highlight w:val="none"/>
              </w:rPr>
              <w:t>名称</w:t>
            </w:r>
          </w:p>
        </w:tc>
        <w:tc>
          <w:tcPr>
            <w:tcW w:w="3147" w:type="pct"/>
            <w:noWrap w:val="0"/>
            <w:vAlign w:val="center"/>
          </w:tcPr>
          <w:p>
            <w:pPr>
              <w:pStyle w:val="2"/>
              <w:ind w:firstLine="480" w:firstLineChars="200"/>
              <w:jc w:val="both"/>
              <w:rPr>
                <w:rFonts w:hAnsi="仿宋" w:cs="仿宋"/>
                <w:color w:val="auto"/>
                <w:highlight w:val="none"/>
              </w:rPr>
            </w:pPr>
            <w:r>
              <w:rPr>
                <w:rFonts w:hint="eastAsia" w:ascii="仿宋_GB2312" w:hAnsi="仿宋_GB2312" w:eastAsia="仿宋_GB2312" w:cs="仿宋_GB2312"/>
                <w:color w:val="auto"/>
                <w:sz w:val="24"/>
                <w:szCs w:val="24"/>
                <w:highlight w:val="none"/>
                <w:lang w:val="en-US" w:bidi="ar"/>
              </w:rPr>
              <w:t>佛冈县水务工程建设管理中心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2"/>
              <w:ind w:firstLine="480" w:firstLineChars="200"/>
              <w:jc w:val="both"/>
              <w:rPr>
                <w:rFonts w:hAnsi="仿宋" w:cs="仿宋"/>
                <w:color w:val="auto"/>
                <w:highlight w:val="none"/>
              </w:rPr>
            </w:pPr>
            <w:r>
              <w:rPr>
                <w:rFonts w:hAnsi="仿宋" w:cs="仿宋"/>
                <w:color w:val="auto"/>
                <w:highlight w:val="none"/>
              </w:rPr>
              <w:t>统一社会信用代码</w:t>
            </w:r>
          </w:p>
        </w:tc>
        <w:tc>
          <w:tcPr>
            <w:tcW w:w="3147" w:type="pct"/>
            <w:noWrap w:val="0"/>
            <w:vAlign w:val="center"/>
          </w:tcPr>
          <w:p>
            <w:pPr>
              <w:pStyle w:val="2"/>
              <w:ind w:firstLine="480" w:firstLineChars="200"/>
              <w:jc w:val="both"/>
              <w:rPr>
                <w:rFonts w:hAnsi="仿宋" w:cs="仿宋"/>
                <w:color w:val="auto"/>
                <w:highlight w:val="none"/>
              </w:rPr>
            </w:pPr>
            <w:r>
              <w:rPr>
                <w:rFonts w:hAnsi="仿宋" w:cs="仿宋"/>
                <w:color w:val="auto"/>
                <w:highlight w:val="none"/>
              </w:rPr>
              <w:t>12441821MB2D51612H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2"/>
              <w:ind w:firstLine="480" w:firstLineChars="200"/>
              <w:jc w:val="both"/>
              <w:rPr>
                <w:rFonts w:hAnsi="仿宋" w:cs="仿宋"/>
                <w:color w:val="auto"/>
                <w:highlight w:val="none"/>
              </w:rPr>
            </w:pPr>
            <w:r>
              <w:rPr>
                <w:rFonts w:hAnsi="仿宋" w:cs="仿宋"/>
                <w:color w:val="auto"/>
                <w:highlight w:val="none"/>
              </w:rPr>
              <w:t>机构地址</w:t>
            </w:r>
          </w:p>
        </w:tc>
        <w:tc>
          <w:tcPr>
            <w:tcW w:w="3147" w:type="pct"/>
            <w:noWrap w:val="0"/>
            <w:vAlign w:val="center"/>
          </w:tcPr>
          <w:p>
            <w:pPr>
              <w:pStyle w:val="2"/>
              <w:ind w:firstLine="480" w:firstLineChars="200"/>
              <w:jc w:val="both"/>
              <w:rPr>
                <w:rFonts w:hint="default" w:hAnsi="仿宋" w:eastAsia="仿宋_GB2312" w:cs="仿宋"/>
                <w:color w:val="auto"/>
                <w:highlight w:val="none"/>
                <w:lang w:val="en-US" w:eastAsia="zh-CN"/>
              </w:rPr>
            </w:pPr>
            <w:r>
              <w:rPr>
                <w:rFonts w:hAnsi="仿宋" w:cs="仿宋"/>
                <w:color w:val="auto"/>
                <w:highlight w:val="none"/>
              </w:rPr>
              <w:t>佛冈县</w:t>
            </w:r>
            <w:r>
              <w:rPr>
                <w:rFonts w:hint="eastAsia" w:hAnsi="仿宋" w:cs="仿宋"/>
                <w:color w:val="auto"/>
                <w:highlight w:val="none"/>
                <w:lang w:eastAsia="zh-CN"/>
              </w:rPr>
              <w:t>人民政府西楼</w:t>
            </w:r>
            <w:r>
              <w:rPr>
                <w:rFonts w:hint="eastAsia" w:hAnsi="仿宋" w:cs="仿宋"/>
                <w:color w:val="auto"/>
                <w:highlight w:val="none"/>
                <w:lang w:val="en-US" w:eastAsia="zh-CN"/>
              </w:rPr>
              <w:t>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2"/>
              <w:ind w:firstLine="480" w:firstLineChars="200"/>
              <w:jc w:val="both"/>
              <w:rPr>
                <w:rFonts w:hAnsi="仿宋" w:cs="仿宋"/>
                <w:color w:val="auto"/>
                <w:highlight w:val="none"/>
              </w:rPr>
            </w:pPr>
            <w:r>
              <w:rPr>
                <w:rFonts w:hAnsi="仿宋" w:cs="仿宋"/>
                <w:color w:val="auto"/>
                <w:highlight w:val="none"/>
              </w:rPr>
              <w:t>负责人</w:t>
            </w:r>
          </w:p>
        </w:tc>
        <w:tc>
          <w:tcPr>
            <w:tcW w:w="3147" w:type="pct"/>
            <w:noWrap w:val="0"/>
            <w:vAlign w:val="center"/>
          </w:tcPr>
          <w:p>
            <w:pPr>
              <w:pStyle w:val="2"/>
              <w:ind w:firstLine="480" w:firstLineChars="200"/>
              <w:jc w:val="both"/>
              <w:rPr>
                <w:rFonts w:hint="eastAsia" w:hAnsi="仿宋" w:eastAsia="仿宋_GB2312" w:cs="仿宋"/>
                <w:color w:val="auto"/>
                <w:highlight w:val="none"/>
                <w:lang w:eastAsia="zh-CN"/>
              </w:rPr>
            </w:pPr>
            <w:r>
              <w:rPr>
                <w:rFonts w:hint="eastAsia" w:hAnsi="仿宋" w:cs="仿宋"/>
                <w:color w:val="auto"/>
                <w:highlight w:val="none"/>
                <w:lang w:eastAsia="zh-CN"/>
              </w:rPr>
              <w:t>吕常省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852" w:type="pct"/>
            <w:shd w:val="clear" w:color="auto" w:fill="D7D7D7"/>
            <w:noWrap w:val="0"/>
            <w:vAlign w:val="center"/>
          </w:tcPr>
          <w:p>
            <w:pPr>
              <w:pStyle w:val="2"/>
              <w:ind w:firstLine="480" w:firstLineChars="200"/>
              <w:jc w:val="both"/>
              <w:rPr>
                <w:rFonts w:hAnsi="仿宋" w:cs="仿宋"/>
                <w:color w:val="auto"/>
                <w:highlight w:val="none"/>
              </w:rPr>
            </w:pPr>
            <w:r>
              <w:rPr>
                <w:rFonts w:hAnsi="仿宋" w:cs="仿宋"/>
                <w:color w:val="auto"/>
                <w:highlight w:val="none"/>
              </w:rPr>
              <w:t>机构性质</w:t>
            </w:r>
          </w:p>
        </w:tc>
        <w:tc>
          <w:tcPr>
            <w:tcW w:w="3147" w:type="pct"/>
            <w:noWrap w:val="0"/>
            <w:vAlign w:val="center"/>
          </w:tcPr>
          <w:p>
            <w:pPr>
              <w:pStyle w:val="2"/>
              <w:ind w:firstLine="480" w:firstLineChars="200"/>
              <w:jc w:val="both"/>
              <w:rPr>
                <w:rFonts w:hAnsi="仿宋" w:cs="仿宋"/>
                <w:color w:val="auto"/>
                <w:highlight w:val="none"/>
              </w:rPr>
            </w:pPr>
            <w:r>
              <w:rPr>
                <w:rFonts w:hAnsi="仿宋" w:cs="仿宋"/>
                <w:color w:val="auto"/>
                <w:highlight w:val="none"/>
              </w:rPr>
              <w:t>事业单位</w:t>
            </w:r>
          </w:p>
        </w:tc>
      </w:tr>
    </w:tbl>
    <w:p>
      <w:pPr>
        <w:spacing w:line="360" w:lineRule="auto"/>
        <w:ind w:firstLine="640"/>
        <w:jc w:val="both"/>
        <w:rPr>
          <w:rFonts w:hint="eastAsia" w:ascii="仿宋_GB2312" w:hAnsi="仿宋" w:eastAsia="仿宋_GB2312" w:cs="仿宋"/>
          <w:color w:val="auto"/>
          <w:sz w:val="32"/>
          <w:szCs w:val="32"/>
          <w:highlight w:val="none"/>
          <w:lang w:val="en-US"/>
        </w:rPr>
      </w:pPr>
      <w:r>
        <w:rPr>
          <w:rFonts w:hint="eastAsia" w:ascii="仿宋_GB2312" w:hAnsi="仿宋" w:eastAsia="仿宋_GB2312" w:cs="仿宋"/>
          <w:color w:val="auto"/>
          <w:sz w:val="32"/>
          <w:szCs w:val="32"/>
          <w:highlight w:val="none"/>
          <w:lang w:val="en-US"/>
        </w:rPr>
        <w:t>本项目主管部门为：佛冈县水利局</w:t>
      </w:r>
    </w:p>
    <w:p>
      <w:pPr>
        <w:ind w:firstLine="640" w:firstLineChars="200"/>
        <w:rPr>
          <w:rFonts w:hint="eastAsia" w:ascii="仿宋_GB2312" w:hAnsi="仿宋" w:eastAsia="仿宋_GB2312" w:cs="仿宋"/>
          <w:color w:val="auto"/>
          <w:sz w:val="32"/>
          <w:szCs w:val="32"/>
          <w:highlight w:val="none"/>
          <w:lang w:val="en-US" w:eastAsia="zh-CN"/>
        </w:rPr>
      </w:pPr>
      <w:r>
        <w:rPr>
          <w:rFonts w:hint="eastAsia" w:ascii="仿宋_GB2312" w:hAnsi="仿宋" w:eastAsia="仿宋_GB2312" w:cs="仿宋"/>
          <w:color w:val="auto"/>
          <w:sz w:val="32"/>
          <w:szCs w:val="32"/>
          <w:highlight w:val="none"/>
          <w:lang w:val="en-US"/>
        </w:rPr>
        <w:t>潖江水生环境综合整治</w:t>
      </w:r>
      <w:r>
        <w:rPr>
          <w:rFonts w:hint="eastAsia" w:ascii="仿宋_GB2312" w:hAnsi="仿宋" w:eastAsia="仿宋_GB2312" w:cs="仿宋"/>
          <w:color w:val="auto"/>
          <w:sz w:val="32"/>
          <w:szCs w:val="32"/>
          <w:highlight w:val="none"/>
          <w:lang w:val="en-US" w:eastAsia="zh-CN"/>
        </w:rPr>
        <w:t>工程</w:t>
      </w:r>
      <w:r>
        <w:rPr>
          <w:rFonts w:hint="eastAsia" w:ascii="仿宋_GB2312" w:hAnsi="仿宋" w:eastAsia="仿宋_GB2312" w:cs="仿宋"/>
          <w:color w:val="auto"/>
          <w:sz w:val="32"/>
          <w:szCs w:val="32"/>
          <w:highlight w:val="none"/>
          <w:lang w:val="en-US"/>
        </w:rPr>
        <w:t>项目完工后形成资产的权属，归属于佛冈县水务工程建设管理中心。</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3" w:firstLineChars="200"/>
        <w:textAlignment w:val="auto"/>
        <w:rPr>
          <w:rFonts w:hint="eastAsia" w:ascii="楷体_GB2312" w:hAnsi="楷体_GB2312" w:eastAsia="楷体_GB2312" w:cs="楷体_GB2312"/>
          <w:b/>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b/>
          <w:color w:val="000000" w:themeColor="text1"/>
          <w:sz w:val="32"/>
          <w:szCs w:val="32"/>
          <w:lang w:val="en-US" w:eastAsia="zh-CN"/>
          <w14:textFill>
            <w14:solidFill>
              <w14:schemeClr w14:val="tx1"/>
            </w14:solidFill>
          </w14:textFill>
        </w:rPr>
        <w:fldChar w:fldCharType="begin"/>
      </w:r>
      <w:r>
        <w:rPr>
          <w:rFonts w:hint="eastAsia" w:ascii="楷体_GB2312" w:hAnsi="楷体_GB2312" w:eastAsia="楷体_GB2312" w:cs="楷体_GB2312"/>
          <w:b/>
          <w:color w:val="000000" w:themeColor="text1"/>
          <w:sz w:val="32"/>
          <w:szCs w:val="32"/>
          <w:lang w:val="en-US" w:eastAsia="zh-CN"/>
          <w14:textFill>
            <w14:solidFill>
              <w14:schemeClr w14:val="tx1"/>
            </w14:solidFill>
          </w14:textFill>
        </w:rPr>
        <w:instrText xml:space="preserve"> HYPERLINK \l _Toc29791 </w:instrText>
      </w:r>
      <w:r>
        <w:rPr>
          <w:rFonts w:hint="eastAsia" w:ascii="楷体_GB2312" w:hAnsi="楷体_GB2312" w:eastAsia="楷体_GB2312" w:cs="楷体_GB2312"/>
          <w:b/>
          <w:color w:val="000000" w:themeColor="text1"/>
          <w:sz w:val="32"/>
          <w:szCs w:val="32"/>
          <w:lang w:val="en-US" w:eastAsia="zh-CN"/>
          <w14:textFill>
            <w14:solidFill>
              <w14:schemeClr w14:val="tx1"/>
            </w14:solidFill>
          </w14:textFill>
        </w:rPr>
        <w:fldChar w:fldCharType="separate"/>
      </w:r>
      <w:r>
        <w:rPr>
          <w:rFonts w:hint="eastAsia" w:ascii="楷体_GB2312" w:hAnsi="楷体_GB2312" w:eastAsia="楷体_GB2312" w:cs="楷体_GB2312"/>
          <w:b/>
          <w:bCs w:val="0"/>
          <w:color w:val="000000" w:themeColor="text1"/>
          <w:kern w:val="2"/>
          <w:sz w:val="32"/>
          <w:szCs w:val="32"/>
          <w:lang w:val="en-US" w:eastAsia="zh-CN" w:bidi="ar-SA"/>
          <w14:textFill>
            <w14:solidFill>
              <w14:schemeClr w14:val="tx1"/>
            </w14:solidFill>
          </w14:textFill>
        </w:rPr>
        <w:t>（二）绩效目标</w:t>
      </w:r>
      <w:r>
        <w:rPr>
          <w:rFonts w:hint="eastAsia" w:ascii="楷体_GB2312" w:hAnsi="楷体_GB2312" w:eastAsia="楷体_GB2312" w:cs="楷体_GB2312"/>
          <w:b/>
          <w:color w:val="000000" w:themeColor="text1"/>
          <w:sz w:val="32"/>
          <w:szCs w:val="32"/>
          <w:lang w:val="en-US" w:eastAsia="zh-CN"/>
          <w14:textFill>
            <w14:solidFill>
              <w14:schemeClr w14:val="tx1"/>
            </w14:solidFill>
          </w14:textFill>
        </w:rPr>
        <w:fldChar w:fldCharType="end"/>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本工程主要是（1）对佛冈县城潖江右岸城北中学至翻板闸现状DN600污水管原位换管，置换管道总长约1525m。对佛冈县城振兴北片区（篁胜新城、龙溪、英佛公路）配套集污管网，配套污水管网约4289m。</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（2）对潖江干流（奥园桥～二七桥段）进行清淤清障，治理长度3.95km。对潖江干流（建滔桥河道～大庙峡段）进行清淤清障，治理长度5.4km。</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3）对西田水厂进行升级改造，并将供水范围在原潭洞、石潭、桂田、新联片供水基础上增加莲瑶、新坣、王田村、水头镇区附近及大学城、红苹果等企业。本次共计新增清水池1座、一体化净水设备1套，管理房1座；新建取水口一座，敷设引水渠1265m，输水管道130m，铺设配水管网82.73km。</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（4）在对水头镇镇区范围内进行雨污分流，共计新建DN150~DN300污水管道2440m，DN200~DN1500雨水管道1840m。</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5）对现有丰联坑及王田坑排洪渠箱涵进行改造，改造内容主要是对王田坑水头中学段沟渠进行清淤、新建挡墙护岸、沟渠拓宽，长度约为450m；箱涵改造2处，总长度约为400m；渠道三面光护砌150m；重建渠道1000m；改造涵管1处。</w:t>
      </w:r>
    </w:p>
    <w:p>
      <w:pPr>
        <w:keepNext w:val="0"/>
        <w:keepLines w:val="0"/>
        <w:pageBreakBefore w:val="0"/>
        <w:widowControl w:val="0"/>
        <w:numPr>
          <w:ilvl w:val="0"/>
          <w:numId w:val="0"/>
        </w:numPr>
        <w:kinsoku/>
        <w:wordWrap/>
        <w:overflowPunct/>
        <w:topLinePunct w:val="0"/>
        <w:bidi w:val="0"/>
        <w:snapToGrid w:val="0"/>
        <w:spacing w:line="570" w:lineRule="exact"/>
        <w:ind w:firstLine="643" w:firstLineChars="200"/>
        <w:textAlignment w:val="auto"/>
        <w:rPr>
          <w:rFonts w:hint="eastAsia" w:ascii="楷体_GB2312" w:hAnsi="楷体_GB2312" w:eastAsia="楷体_GB2312" w:cs="楷体_GB2312"/>
          <w:b/>
          <w:bCs w:val="0"/>
          <w:color w:val="000000" w:themeColor="text1"/>
          <w:kern w:val="2"/>
          <w:sz w:val="32"/>
          <w:szCs w:val="32"/>
          <w:lang w:val="en-US" w:eastAsia="zh-CN" w:bidi="ar-SA"/>
          <w14:textFill>
            <w14:solidFill>
              <w14:schemeClr w14:val="tx1"/>
            </w14:solidFill>
          </w14:textFill>
        </w:rPr>
      </w:pPr>
      <w:r>
        <w:rPr>
          <w:rFonts w:hint="eastAsia" w:ascii="楷体_GB2312" w:hAnsi="楷体_GB2312" w:eastAsia="楷体_GB2312" w:cs="楷体_GB2312"/>
          <w:b/>
          <w:bCs w:val="0"/>
          <w:color w:val="000000" w:themeColor="text1"/>
          <w:kern w:val="2"/>
          <w:sz w:val="32"/>
          <w:szCs w:val="32"/>
          <w:lang w:val="en-US" w:eastAsia="zh-CN" w:bidi="ar-SA"/>
          <w14:textFill>
            <w14:solidFill>
              <w14:schemeClr w14:val="tx1"/>
            </w14:solidFill>
          </w14:textFill>
        </w:rPr>
        <w:t>（三）评价金额及支出使用情况</w:t>
      </w:r>
    </w:p>
    <w:p>
      <w:pPr>
        <w:keepNext w:val="0"/>
        <w:keepLines w:val="0"/>
        <w:pageBreakBefore w:val="0"/>
        <w:widowControl w:val="0"/>
        <w:kinsoku/>
        <w:wordWrap/>
        <w:overflowPunct/>
        <w:topLinePunct w:val="0"/>
        <w:bidi w:val="0"/>
        <w:spacing w:line="570" w:lineRule="exact"/>
        <w:ind w:firstLine="640"/>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（1）资金到位情况</w:t>
      </w:r>
    </w:p>
    <w:p>
      <w:pPr>
        <w:keepNext w:val="0"/>
        <w:keepLines w:val="0"/>
        <w:pageBreakBefore w:val="0"/>
        <w:widowControl w:val="0"/>
        <w:kinsoku/>
        <w:wordWrap/>
        <w:overflowPunct/>
        <w:topLinePunct w:val="0"/>
        <w:bidi w:val="0"/>
        <w:spacing w:line="570" w:lineRule="exact"/>
        <w:ind w:firstLine="640"/>
        <w:textAlignment w:val="auto"/>
        <w:outlineLvl w:val="2"/>
        <w:rPr>
          <w:rFonts w:hint="eastAsia" w:ascii="仿宋" w:hAnsi="仿宋" w:cs="仿宋"/>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2024年已安排专项债券资金共计150</w:t>
      </w:r>
      <w:r>
        <w:rPr>
          <w:rFonts w:hint="eastAsia" w:ascii="仿宋_GB2312" w:hAnsi="仿宋" w:eastAsia="仿宋_GB2312" w:cs="仿宋"/>
          <w:color w:val="000000" w:themeColor="text1"/>
          <w:sz w:val="32"/>
          <w:szCs w:val="32"/>
          <w:highlight w:val="none"/>
          <w14:textFill>
            <w14:solidFill>
              <w14:schemeClr w14:val="tx1"/>
            </w14:solidFill>
          </w14:textFill>
        </w:rPr>
        <w:t>0.00</w:t>
      </w:r>
      <w:r>
        <w:rPr>
          <w:rFonts w:hint="eastAsia" w:ascii="仿宋" w:hAnsi="仿宋" w:eastAsia="仿宋" w:cs="仿宋"/>
          <w:color w:val="000000" w:themeColor="text1"/>
          <w:sz w:val="32"/>
          <w:szCs w:val="32"/>
          <w:highlight w:val="none"/>
          <w14:textFill>
            <w14:solidFill>
              <w14:schemeClr w14:val="tx1"/>
            </w14:solidFill>
          </w14:textFill>
        </w:rPr>
        <w:t>万元</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bidi w:val="0"/>
        <w:spacing w:line="570" w:lineRule="exact"/>
        <w:ind w:firstLine="640"/>
        <w:textAlignment w:val="auto"/>
        <w:outlineLvl w:val="2"/>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（2）资金执行情况</w:t>
      </w:r>
    </w:p>
    <w:p>
      <w:pPr>
        <w:keepNext w:val="0"/>
        <w:keepLines w:val="0"/>
        <w:pageBreakBefore w:val="0"/>
        <w:widowControl w:val="0"/>
        <w:kinsoku/>
        <w:wordWrap/>
        <w:overflowPunct/>
        <w:topLinePunct w:val="0"/>
        <w:bidi w:val="0"/>
        <w:snapToGrid w:val="0"/>
        <w:spacing w:line="570" w:lineRule="exact"/>
        <w:ind w:firstLine="640" w:firstLineChars="200"/>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 w:eastAsia="仿宋_GB2312" w:cs="仿宋"/>
          <w:color w:val="auto"/>
          <w:sz w:val="32"/>
          <w:szCs w:val="32"/>
          <w:highlight w:val="none"/>
          <w:lang w:val="en-US"/>
        </w:rPr>
        <w:t>潖江水生环境综合整治</w:t>
      </w:r>
      <w:r>
        <w:rPr>
          <w:rFonts w:hint="eastAsia" w:ascii="仿宋_GB2312" w:hAnsi="仿宋" w:eastAsia="仿宋_GB2312" w:cs="仿宋"/>
          <w:color w:val="auto"/>
          <w:sz w:val="32"/>
          <w:szCs w:val="32"/>
          <w:highlight w:val="none"/>
          <w:lang w:val="en-US" w:eastAsia="zh-CN"/>
        </w:rPr>
        <w:t>工程</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工程</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，2024年度下达专项债券资金1500万元，</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截至2024年12月底，共完成投资1500万元（专项债券资金1500万元），投资完成率100%。</w:t>
      </w:r>
    </w:p>
    <w:p>
      <w:pPr>
        <w:pStyle w:val="2"/>
        <w:ind w:firstLine="640" w:firstLineChars="200"/>
        <w:rPr>
          <w:rFonts w:hint="default" w:cs="仿宋_GB2312"/>
          <w:color w:val="auto"/>
          <w:sz w:val="32"/>
          <w:szCs w:val="32"/>
          <w:highlight w:val="none"/>
          <w:lang w:val="en-US" w:eastAsia="zh-CN"/>
        </w:rPr>
      </w:pPr>
      <w:r>
        <w:rPr>
          <w:rFonts w:hint="eastAsia" w:cs="仿宋_GB2312"/>
          <w:color w:val="auto"/>
          <w:sz w:val="32"/>
          <w:szCs w:val="32"/>
          <w:highlight w:val="none"/>
          <w:lang w:val="en-US" w:eastAsia="zh-CN"/>
        </w:rPr>
        <w:t>（3）资金用途</w:t>
      </w:r>
    </w:p>
    <w:p>
      <w:pPr>
        <w:pStyle w:val="2"/>
        <w:ind w:firstLine="640" w:firstLineChars="200"/>
        <w:rPr>
          <w:rFonts w:cs="仿宋_GB2312"/>
          <w:color w:val="auto"/>
          <w:sz w:val="32"/>
          <w:szCs w:val="32"/>
          <w:highlight w:val="none"/>
        </w:rPr>
      </w:pPr>
      <w:r>
        <w:rPr>
          <w:rFonts w:hint="eastAsia" w:cs="仿宋_GB2312"/>
          <w:color w:val="auto"/>
          <w:sz w:val="32"/>
          <w:szCs w:val="32"/>
          <w:highlight w:val="none"/>
          <w:lang w:eastAsia="zh-CN"/>
        </w:rPr>
        <w:t>本次</w:t>
      </w:r>
      <w:r>
        <w:rPr>
          <w:rFonts w:cs="仿宋_GB2312"/>
          <w:color w:val="auto"/>
          <w:sz w:val="32"/>
          <w:szCs w:val="32"/>
          <w:highlight w:val="none"/>
        </w:rPr>
        <w:t>专项债券主要用于支付</w:t>
      </w:r>
      <w:r>
        <w:rPr>
          <w:rFonts w:hint="eastAsia" w:cs="仿宋_GB2312"/>
          <w:color w:val="auto"/>
          <w:sz w:val="32"/>
          <w:szCs w:val="32"/>
          <w:highlight w:val="none"/>
          <w:lang w:eastAsia="zh-CN"/>
        </w:rPr>
        <w:t>项目工程费、监理费、设计费等</w:t>
      </w:r>
      <w:r>
        <w:rPr>
          <w:rFonts w:cs="仿宋_GB2312"/>
          <w:color w:val="auto"/>
          <w:sz w:val="32"/>
          <w:szCs w:val="32"/>
          <w:highlight w:val="none"/>
        </w:rPr>
        <w:t>。</w:t>
      </w:r>
    </w:p>
    <w:p>
      <w:pPr>
        <w:pStyle w:val="2"/>
        <w:ind w:firstLine="640" w:firstLineChars="200"/>
        <w:jc w:val="center"/>
        <w:rPr>
          <w:rFonts w:cs="仿宋_GB2312"/>
          <w:color w:val="auto"/>
          <w:sz w:val="32"/>
          <w:szCs w:val="32"/>
          <w:highlight w:val="none"/>
        </w:rPr>
      </w:pPr>
      <w:r>
        <w:rPr>
          <w:rFonts w:cs="仿宋_GB2312"/>
          <w:color w:val="auto"/>
          <w:sz w:val="32"/>
          <w:szCs w:val="32"/>
          <w:highlight w:val="none"/>
        </w:rPr>
        <w:t>专项债券资金用途</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89"/>
        <w:gridCol w:w="4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2" w:type="dxa"/>
            <w:noWrap w:val="0"/>
            <w:vAlign w:val="top"/>
          </w:tcPr>
          <w:p>
            <w:pPr>
              <w:ind w:firstLine="0" w:firstLineChars="0"/>
              <w:jc w:val="center"/>
              <w:rPr>
                <w:rFonts w:hint="eastAsia" w:ascii="仿宋_GB2312" w:hAnsi="仿宋_GB2312" w:eastAsia="仿宋_GB2312" w:cs="仿宋_GB2312"/>
                <w:color w:val="auto"/>
                <w:sz w:val="22"/>
                <w:highlight w:val="none"/>
              </w:rPr>
            </w:pPr>
            <w:r>
              <w:rPr>
                <w:rFonts w:hint="eastAsia" w:ascii="仿宋_GB2312" w:hAnsi="仿宋_GB2312" w:eastAsia="仿宋_GB2312" w:cs="仿宋_GB2312"/>
                <w:color w:val="auto"/>
                <w:sz w:val="22"/>
                <w:highlight w:val="none"/>
              </w:rPr>
              <w:t>用途</w:t>
            </w:r>
          </w:p>
        </w:tc>
        <w:tc>
          <w:tcPr>
            <w:tcW w:w="4196" w:type="dxa"/>
            <w:noWrap w:val="0"/>
            <w:vAlign w:val="top"/>
          </w:tcPr>
          <w:p>
            <w:pPr>
              <w:ind w:firstLine="0" w:firstLineChars="0"/>
              <w:jc w:val="center"/>
              <w:rPr>
                <w:rFonts w:hint="eastAsia" w:ascii="仿宋_GB2312" w:hAnsi="仿宋_GB2312" w:eastAsia="仿宋_GB2312" w:cs="仿宋_GB2312"/>
                <w:color w:val="auto"/>
                <w:sz w:val="22"/>
                <w:highlight w:val="none"/>
              </w:rPr>
            </w:pPr>
            <w:r>
              <w:rPr>
                <w:rFonts w:hint="eastAsia" w:ascii="仿宋_GB2312" w:hAnsi="仿宋_GB2312" w:eastAsia="仿宋_GB2312" w:cs="仿宋_GB2312"/>
                <w:color w:val="auto"/>
                <w:sz w:val="22"/>
                <w:highlight w:val="none"/>
              </w:rPr>
              <w:t>专项债券金额（万元）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2" w:type="dxa"/>
            <w:noWrap w:val="0"/>
            <w:vAlign w:val="top"/>
          </w:tcPr>
          <w:p>
            <w:pPr>
              <w:ind w:firstLine="0" w:firstLineChars="0"/>
              <w:jc w:val="center"/>
              <w:rPr>
                <w:rFonts w:hint="eastAsia" w:ascii="仿宋_GB2312" w:hAnsi="仿宋_GB2312" w:eastAsia="仿宋_GB2312" w:cs="仿宋_GB2312"/>
                <w:color w:val="auto"/>
                <w:sz w:val="22"/>
                <w:highlight w:val="none"/>
              </w:rPr>
            </w:pPr>
            <w:r>
              <w:rPr>
                <w:rFonts w:hint="eastAsia" w:ascii="仿宋_GB2312" w:hAnsi="仿宋_GB2312" w:eastAsia="仿宋_GB2312" w:cs="仿宋_GB2312"/>
                <w:color w:val="auto"/>
                <w:sz w:val="22"/>
                <w:highlight w:val="none"/>
                <w:lang w:eastAsia="zh-CN"/>
              </w:rPr>
              <w:t>工程费、监理费、设计费等</w:t>
            </w:r>
          </w:p>
        </w:tc>
        <w:tc>
          <w:tcPr>
            <w:tcW w:w="4196" w:type="dxa"/>
            <w:noWrap w:val="0"/>
            <w:vAlign w:val="top"/>
          </w:tcPr>
          <w:p>
            <w:pPr>
              <w:ind w:firstLine="0" w:firstLineChars="0"/>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1500.00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2" w:type="dxa"/>
            <w:noWrap w:val="0"/>
            <w:vAlign w:val="top"/>
          </w:tcPr>
          <w:p>
            <w:pPr>
              <w:ind w:firstLine="0" w:firstLineChars="0"/>
              <w:jc w:val="center"/>
              <w:rPr>
                <w:rFonts w:hint="eastAsia" w:ascii="仿宋_GB2312" w:hAnsi="仿宋_GB2312" w:eastAsia="仿宋_GB2312" w:cs="仿宋_GB2312"/>
                <w:color w:val="auto"/>
                <w:sz w:val="22"/>
                <w:highlight w:val="none"/>
              </w:rPr>
            </w:pPr>
            <w:r>
              <w:rPr>
                <w:rFonts w:hint="eastAsia" w:ascii="仿宋_GB2312" w:hAnsi="仿宋_GB2312" w:eastAsia="仿宋_GB2312" w:cs="仿宋_GB2312"/>
                <w:color w:val="auto"/>
                <w:sz w:val="22"/>
                <w:highlight w:val="none"/>
              </w:rPr>
              <w:t>合计</w:t>
            </w:r>
          </w:p>
        </w:tc>
        <w:tc>
          <w:tcPr>
            <w:tcW w:w="4196" w:type="dxa"/>
            <w:noWrap w:val="0"/>
            <w:vAlign w:val="top"/>
          </w:tcPr>
          <w:p>
            <w:pPr>
              <w:ind w:firstLine="0" w:firstLineChars="0"/>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1500.00</w:t>
            </w:r>
          </w:p>
        </w:tc>
      </w:tr>
    </w:tbl>
    <w:p>
      <w:pPr>
        <w:pStyle w:val="5"/>
        <w:rPr>
          <w:rFonts w:hint="eastAsia"/>
          <w:lang w:val="en-US" w:eastAsia="zh-CN"/>
        </w:rPr>
      </w:pPr>
    </w:p>
    <w:p>
      <w:pPr>
        <w:keepNext w:val="0"/>
        <w:keepLines w:val="0"/>
        <w:pageBreakBefore w:val="0"/>
        <w:widowControl w:val="0"/>
        <w:numPr>
          <w:ilvl w:val="0"/>
          <w:numId w:val="0"/>
        </w:numPr>
        <w:kinsoku/>
        <w:wordWrap/>
        <w:overflowPunct/>
        <w:topLinePunct w:val="0"/>
        <w:bidi w:val="0"/>
        <w:snapToGrid w:val="0"/>
        <w:spacing w:line="57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二、绩效指标分析</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b/>
          <w:bCs/>
          <w:sz w:val="32"/>
          <w:szCs w:val="32"/>
          <w:u w:val="none"/>
          <w:lang w:eastAsia="zh-CN"/>
        </w:rPr>
      </w:pPr>
      <w:r>
        <w:rPr>
          <w:rFonts w:hint="eastAsia" w:ascii="仿宋" w:hAnsi="仿宋" w:eastAsia="仿宋" w:cs="仿宋"/>
          <w:sz w:val="32"/>
          <w:szCs w:val="32"/>
          <w:u w:val="none"/>
          <w:lang w:eastAsia="zh-CN"/>
        </w:rPr>
        <w:t>工程在</w:t>
      </w:r>
      <w:r>
        <w:rPr>
          <w:rFonts w:hint="eastAsia" w:ascii="仿宋" w:hAnsi="仿宋" w:eastAsia="仿宋" w:cs="仿宋"/>
          <w:sz w:val="32"/>
          <w:szCs w:val="32"/>
          <w:u w:val="none"/>
          <w:lang w:val="en-US" w:eastAsia="zh-CN"/>
        </w:rPr>
        <w:t>2024年12月30日前完工，</w:t>
      </w:r>
      <w:r>
        <w:rPr>
          <w:rFonts w:hint="eastAsia" w:ascii="仿宋" w:hAnsi="仿宋" w:eastAsia="仿宋" w:cs="仿宋"/>
          <w:sz w:val="32"/>
          <w:szCs w:val="32"/>
          <w:u w:val="none"/>
          <w:lang w:eastAsia="zh-CN"/>
        </w:rPr>
        <w:t>绩效目标与年初预期一致</w:t>
      </w:r>
      <w:r>
        <w:rPr>
          <w:rFonts w:hint="eastAsia" w:ascii="仿宋_GB2312" w:hAnsi="仿宋_GB2312" w:eastAsia="仿宋_GB2312" w:cs="仿宋_GB2312"/>
          <w:bCs/>
          <w:sz w:val="32"/>
          <w:szCs w:val="32"/>
          <w:lang w:val="en-US" w:eastAsia="zh-CN"/>
        </w:rPr>
        <w:t>。</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left="840" w:leftChars="0"/>
        <w:textAlignment w:val="auto"/>
        <w:rPr>
          <w:rFonts w:hint="eastAsia" w:ascii="仿宋" w:hAnsi="仿宋" w:eastAsia="仿宋" w:cs="仿宋"/>
          <w:b/>
          <w:bCs/>
          <w:sz w:val="32"/>
          <w:szCs w:val="32"/>
          <w:u w:val="none"/>
          <w:lang w:eastAsia="zh-CN"/>
        </w:rPr>
      </w:pPr>
      <w:r>
        <w:rPr>
          <w:rFonts w:hint="eastAsia" w:ascii="仿宋" w:hAnsi="仿宋" w:eastAsia="仿宋" w:cs="仿宋"/>
          <w:b/>
          <w:bCs/>
          <w:sz w:val="32"/>
          <w:szCs w:val="32"/>
          <w:u w:val="none"/>
          <w:lang w:val="en-US" w:eastAsia="zh-CN"/>
        </w:rPr>
        <w:t>（一）</w:t>
      </w:r>
      <w:r>
        <w:rPr>
          <w:rFonts w:hint="eastAsia" w:ascii="仿宋" w:hAnsi="仿宋" w:eastAsia="仿宋" w:cs="仿宋"/>
          <w:b/>
          <w:bCs/>
          <w:sz w:val="32"/>
          <w:szCs w:val="32"/>
          <w:u w:val="none"/>
          <w:lang w:eastAsia="zh-CN"/>
        </w:rPr>
        <w:t>产出指标完成情况分析</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 w:hAnsi="仿宋" w:eastAsia="仿宋" w:cs="仿宋"/>
          <w:color w:val="000000" w:themeColor="text1"/>
          <w:sz w:val="32"/>
          <w:szCs w:val="32"/>
          <w:u w:val="none"/>
          <w:lang w:eastAsia="zh-CN"/>
          <w14:textFill>
            <w14:solidFill>
              <w14:schemeClr w14:val="tx1"/>
            </w14:solidFill>
          </w14:textFill>
        </w:rPr>
        <w:t>产出指标分值</w:t>
      </w:r>
      <w:r>
        <w:rPr>
          <w:rFonts w:hint="eastAsia" w:ascii="仿宋" w:hAnsi="仿宋" w:eastAsia="仿宋" w:cs="仿宋"/>
          <w:color w:val="000000" w:themeColor="text1"/>
          <w:sz w:val="32"/>
          <w:szCs w:val="32"/>
          <w:u w:val="none"/>
          <w:lang w:val="en-US" w:eastAsia="zh-CN"/>
          <w14:textFill>
            <w14:solidFill>
              <w14:schemeClr w14:val="tx1"/>
            </w14:solidFill>
          </w14:textFill>
        </w:rPr>
        <w:t>40分，指标得分40分。</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default"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潖江水生环境综合整治项目</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工程</w:t>
      </w:r>
      <w:r>
        <w:rPr>
          <w:rFonts w:hint="eastAsia" w:ascii="仿宋" w:hAnsi="仿宋" w:eastAsia="仿宋" w:cs="仿宋"/>
          <w:color w:val="000000" w:themeColor="text1"/>
          <w:sz w:val="32"/>
          <w:szCs w:val="32"/>
          <w:u w:val="none"/>
          <w:lang w:val="en-US" w:eastAsia="zh-CN"/>
          <w14:textFill>
            <w14:solidFill>
              <w14:schemeClr w14:val="tx1"/>
            </w14:solidFill>
          </w14:textFill>
        </w:rPr>
        <w:t>计划施工内容已基本完成。</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b/>
          <w:bCs/>
          <w:color w:val="000000" w:themeColor="text1"/>
          <w:sz w:val="32"/>
          <w:szCs w:val="32"/>
          <w:u w:val="none"/>
          <w:lang w:eastAsia="zh-CN"/>
          <w14:textFill>
            <w14:solidFill>
              <w14:schemeClr w14:val="tx1"/>
            </w14:solidFill>
          </w14:textFill>
        </w:rPr>
      </w:pPr>
      <w:r>
        <w:rPr>
          <w:rFonts w:hint="eastAsia" w:ascii="仿宋" w:hAnsi="仿宋" w:eastAsia="仿宋" w:cs="仿宋"/>
          <w:color w:val="000000" w:themeColor="text1"/>
          <w:sz w:val="32"/>
          <w:szCs w:val="32"/>
          <w:u w:val="none"/>
          <w:lang w:eastAsia="zh-CN"/>
          <w14:textFill>
            <w14:solidFill>
              <w14:schemeClr w14:val="tx1"/>
            </w14:solidFill>
          </w14:textFill>
        </w:rPr>
        <w:t>（</w:t>
      </w:r>
      <w:r>
        <w:rPr>
          <w:rFonts w:hint="eastAsia" w:ascii="仿宋" w:hAnsi="仿宋" w:eastAsia="仿宋" w:cs="仿宋"/>
          <w:color w:val="000000" w:themeColor="text1"/>
          <w:sz w:val="32"/>
          <w:szCs w:val="32"/>
          <w:u w:val="none"/>
          <w:lang w:val="en-US" w:eastAsia="zh-CN"/>
          <w14:textFill>
            <w14:solidFill>
              <w14:schemeClr w14:val="tx1"/>
            </w14:solidFill>
          </w14:textFill>
        </w:rPr>
        <w:t>1</w:t>
      </w:r>
      <w:r>
        <w:rPr>
          <w:rFonts w:hint="eastAsia" w:ascii="仿宋" w:hAnsi="仿宋" w:eastAsia="仿宋" w:cs="仿宋"/>
          <w:color w:val="000000" w:themeColor="text1"/>
          <w:sz w:val="32"/>
          <w:szCs w:val="32"/>
          <w:u w:val="none"/>
          <w:lang w:eastAsia="zh-CN"/>
          <w14:textFill>
            <w14:solidFill>
              <w14:schemeClr w14:val="tx1"/>
            </w14:solidFill>
          </w14:textFill>
        </w:rPr>
        <w:t>）</w:t>
      </w:r>
      <w:r>
        <w:rPr>
          <w:rFonts w:hint="eastAsia" w:ascii="仿宋" w:hAnsi="仿宋" w:eastAsia="仿宋" w:cs="仿宋"/>
          <w:b/>
          <w:bCs/>
          <w:color w:val="000000" w:themeColor="text1"/>
          <w:sz w:val="32"/>
          <w:szCs w:val="32"/>
          <w:u w:val="none"/>
          <w:lang w:eastAsia="zh-CN"/>
          <w14:textFill>
            <w14:solidFill>
              <w14:schemeClr w14:val="tx1"/>
            </w14:solidFill>
          </w14:textFill>
        </w:rPr>
        <w:t>项目数量指标</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color w:val="auto"/>
          <w:sz w:val="32"/>
          <w:szCs w:val="32"/>
          <w:highlight w:val="none"/>
          <w:u w:val="none"/>
          <w:lang w:val="en-US" w:eastAsia="zh-CN"/>
        </w:rPr>
      </w:pPr>
      <w:r>
        <w:rPr>
          <w:rFonts w:hint="eastAsia" w:ascii="仿宋_GB2312" w:hAnsi="仿宋_GB2312" w:eastAsia="仿宋_GB2312" w:cs="仿宋_GB2312"/>
          <w:bCs/>
          <w:color w:val="auto"/>
          <w:sz w:val="32"/>
          <w:szCs w:val="32"/>
          <w:highlight w:val="none"/>
          <w:lang w:val="en-US" w:eastAsia="zh-CN"/>
        </w:rPr>
        <w:t>对佛冈县城潖江右岸城北中学至翻板闸现状DN600污水管原位换管，置换管道总长约1525m。对佛冈县城振兴北片区（篁胜新城、龙溪、英佛公路）配套集污管网，配套污水管网约4289m。</w:t>
      </w:r>
      <w:r>
        <w:rPr>
          <w:rFonts w:hint="eastAsia" w:ascii="仿宋" w:hAnsi="仿宋" w:eastAsia="仿宋" w:cs="仿宋"/>
          <w:color w:val="auto"/>
          <w:sz w:val="32"/>
          <w:szCs w:val="32"/>
          <w:highlight w:val="none"/>
          <w:u w:val="none"/>
          <w:lang w:val="en-US" w:eastAsia="zh-CN"/>
        </w:rPr>
        <w:t>完成绩效目标，达到年初预设的指标值。</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b/>
          <w:bCs/>
          <w:color w:val="000000" w:themeColor="text1"/>
          <w:sz w:val="32"/>
          <w:szCs w:val="32"/>
          <w:u w:val="none"/>
          <w:lang w:eastAsia="zh-CN"/>
          <w14:textFill>
            <w14:solidFill>
              <w14:schemeClr w14:val="tx1"/>
            </w14:solidFill>
          </w14:textFill>
        </w:rPr>
      </w:pPr>
      <w:r>
        <w:rPr>
          <w:rFonts w:hint="eastAsia" w:ascii="仿宋" w:hAnsi="仿宋" w:eastAsia="仿宋" w:cs="仿宋"/>
          <w:color w:val="000000" w:themeColor="text1"/>
          <w:sz w:val="32"/>
          <w:szCs w:val="32"/>
          <w:u w:val="none"/>
          <w:lang w:eastAsia="zh-CN"/>
          <w14:textFill>
            <w14:solidFill>
              <w14:schemeClr w14:val="tx1"/>
            </w14:solidFill>
          </w14:textFill>
        </w:rPr>
        <w:t>（</w:t>
      </w:r>
      <w:r>
        <w:rPr>
          <w:rFonts w:hint="eastAsia" w:ascii="仿宋" w:hAnsi="仿宋" w:eastAsia="仿宋" w:cs="仿宋"/>
          <w:color w:val="000000" w:themeColor="text1"/>
          <w:sz w:val="32"/>
          <w:szCs w:val="32"/>
          <w:u w:val="none"/>
          <w:lang w:val="en-US" w:eastAsia="zh-CN"/>
          <w14:textFill>
            <w14:solidFill>
              <w14:schemeClr w14:val="tx1"/>
            </w14:solidFill>
          </w14:textFill>
        </w:rPr>
        <w:t>2</w:t>
      </w:r>
      <w:r>
        <w:rPr>
          <w:rFonts w:hint="eastAsia" w:ascii="仿宋" w:hAnsi="仿宋" w:eastAsia="仿宋" w:cs="仿宋"/>
          <w:color w:val="000000" w:themeColor="text1"/>
          <w:sz w:val="32"/>
          <w:szCs w:val="32"/>
          <w:u w:val="none"/>
          <w:lang w:eastAsia="zh-CN"/>
          <w14:textFill>
            <w14:solidFill>
              <w14:schemeClr w14:val="tx1"/>
            </w14:solidFill>
          </w14:textFill>
        </w:rPr>
        <w:t>）</w:t>
      </w:r>
      <w:r>
        <w:rPr>
          <w:rFonts w:hint="eastAsia" w:ascii="仿宋" w:hAnsi="仿宋" w:eastAsia="仿宋" w:cs="仿宋"/>
          <w:b/>
          <w:bCs/>
          <w:color w:val="000000" w:themeColor="text1"/>
          <w:sz w:val="32"/>
          <w:szCs w:val="32"/>
          <w:u w:val="none"/>
          <w:lang w:eastAsia="zh-CN"/>
          <w14:textFill>
            <w14:solidFill>
              <w14:schemeClr w14:val="tx1"/>
            </w14:solidFill>
          </w14:textFill>
        </w:rPr>
        <w:t>项目质量指标</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潖江水生环境综合整治项目</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项目验收合格率100%</w:t>
      </w:r>
      <w:r>
        <w:rPr>
          <w:rFonts w:hint="eastAsia" w:ascii="仿宋" w:hAnsi="仿宋" w:eastAsia="仿宋" w:cs="仿宋"/>
          <w:color w:val="000000" w:themeColor="text1"/>
          <w:sz w:val="32"/>
          <w:szCs w:val="32"/>
          <w:u w:val="none"/>
          <w:lang w:val="en-US" w:eastAsia="zh-CN"/>
          <w14:textFill>
            <w14:solidFill>
              <w14:schemeClr w14:val="tx1"/>
            </w14:solidFill>
          </w14:textFill>
        </w:rPr>
        <w:t>。</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color w:val="000000" w:themeColor="text1"/>
          <w:sz w:val="32"/>
          <w:szCs w:val="32"/>
          <w:u w:val="none"/>
          <w:lang w:eastAsia="zh-CN"/>
          <w14:textFill>
            <w14:solidFill>
              <w14:schemeClr w14:val="tx1"/>
            </w14:solidFill>
          </w14:textFill>
        </w:rPr>
      </w:pPr>
      <w:r>
        <w:rPr>
          <w:rFonts w:hint="eastAsia" w:ascii="仿宋" w:hAnsi="仿宋" w:eastAsia="仿宋" w:cs="仿宋"/>
          <w:color w:val="000000" w:themeColor="text1"/>
          <w:sz w:val="32"/>
          <w:szCs w:val="32"/>
          <w:u w:val="none"/>
          <w:lang w:eastAsia="zh-CN"/>
          <w14:textFill>
            <w14:solidFill>
              <w14:schemeClr w14:val="tx1"/>
            </w14:solidFill>
          </w14:textFill>
        </w:rPr>
        <w:t>（</w:t>
      </w:r>
      <w:r>
        <w:rPr>
          <w:rFonts w:hint="eastAsia" w:ascii="仿宋" w:hAnsi="仿宋" w:eastAsia="仿宋" w:cs="仿宋"/>
          <w:color w:val="000000" w:themeColor="text1"/>
          <w:sz w:val="32"/>
          <w:szCs w:val="32"/>
          <w:u w:val="none"/>
          <w:lang w:val="en-US" w:eastAsia="zh-CN"/>
          <w14:textFill>
            <w14:solidFill>
              <w14:schemeClr w14:val="tx1"/>
            </w14:solidFill>
          </w14:textFill>
        </w:rPr>
        <w:t>3</w:t>
      </w:r>
      <w:r>
        <w:rPr>
          <w:rFonts w:hint="eastAsia" w:ascii="仿宋" w:hAnsi="仿宋" w:eastAsia="仿宋" w:cs="仿宋"/>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u w:val="none"/>
          <w:lang w:eastAsia="zh-CN"/>
          <w14:textFill>
            <w14:solidFill>
              <w14:schemeClr w14:val="tx1"/>
            </w14:solidFill>
          </w14:textFill>
        </w:rPr>
        <w:t>项目时效指标</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潖江水生环境综合整治项目</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100%按计划开工</w:t>
      </w:r>
      <w:r>
        <w:rPr>
          <w:rFonts w:hint="eastAsia" w:ascii="仿宋" w:hAnsi="仿宋" w:eastAsia="仿宋" w:cs="仿宋"/>
          <w:color w:val="000000" w:themeColor="text1"/>
          <w:sz w:val="32"/>
          <w:szCs w:val="32"/>
          <w:u w:val="none"/>
          <w:lang w:val="en-US" w:eastAsia="zh-CN"/>
          <w14:textFill>
            <w14:solidFill>
              <w14:schemeClr w14:val="tx1"/>
            </w14:solidFill>
          </w14:textFill>
        </w:rPr>
        <w:t>。</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default" w:ascii="仿宋" w:hAnsi="仿宋" w:eastAsia="仿宋" w:cs="仿宋"/>
          <w:b/>
          <w:bCs/>
          <w:color w:val="000000" w:themeColor="text1"/>
          <w:sz w:val="32"/>
          <w:szCs w:val="32"/>
          <w:u w:val="none"/>
          <w:lang w:val="en-US" w:eastAsia="zh-CN"/>
          <w14:textFill>
            <w14:solidFill>
              <w14:schemeClr w14:val="tx1"/>
            </w14:solidFill>
          </w14:textFill>
        </w:rPr>
      </w:pPr>
      <w:r>
        <w:rPr>
          <w:rFonts w:hint="eastAsia" w:ascii="仿宋" w:hAnsi="仿宋" w:eastAsia="仿宋" w:cs="仿宋"/>
          <w:color w:val="000000" w:themeColor="text1"/>
          <w:sz w:val="32"/>
          <w:szCs w:val="32"/>
          <w:u w:val="none"/>
          <w:lang w:val="en-US" w:eastAsia="zh-CN"/>
          <w14:textFill>
            <w14:solidFill>
              <w14:schemeClr w14:val="tx1"/>
            </w14:solidFill>
          </w14:textFill>
        </w:rPr>
        <w:t>（4）</w:t>
      </w:r>
      <w:r>
        <w:rPr>
          <w:rFonts w:hint="default" w:ascii="仿宋" w:hAnsi="仿宋" w:eastAsia="仿宋" w:cs="仿宋"/>
          <w:b/>
          <w:bCs/>
          <w:color w:val="000000" w:themeColor="text1"/>
          <w:sz w:val="32"/>
          <w:szCs w:val="32"/>
          <w:u w:val="none"/>
          <w:lang w:val="en-US" w:eastAsia="zh-CN"/>
          <w14:textFill>
            <w14:solidFill>
              <w14:schemeClr w14:val="tx1"/>
            </w14:solidFill>
          </w14:textFill>
        </w:rPr>
        <w:t>项目成本指标</w:t>
      </w:r>
    </w:p>
    <w:p>
      <w:pPr>
        <w:pStyle w:val="7"/>
        <w:keepNext w:val="0"/>
        <w:keepLines w:val="0"/>
        <w:pageBreakBefore w:val="0"/>
        <w:widowControl w:val="0"/>
        <w:numPr>
          <w:ilvl w:val="0"/>
          <w:numId w:val="0"/>
        </w:numPr>
        <w:tabs>
          <w:tab w:val="right" w:leader="dot" w:pos="8958"/>
        </w:tabs>
        <w:kinsoku/>
        <w:wordWrap/>
        <w:overflowPunct/>
        <w:topLinePunct w:val="0"/>
        <w:bidi w:val="0"/>
        <w:snapToGrid w:val="0"/>
        <w:spacing w:line="570" w:lineRule="exact"/>
        <w:ind w:firstLine="640" w:firstLineChars="200"/>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潖江水生环境综合整治项目</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工程</w:t>
      </w:r>
      <w:r>
        <w:rPr>
          <w:rFonts w:hint="eastAsia" w:ascii="仿宋" w:hAnsi="仿宋" w:eastAsia="仿宋" w:cs="仿宋"/>
          <w:color w:val="000000" w:themeColor="text1"/>
          <w:sz w:val="32"/>
          <w:szCs w:val="32"/>
          <w:u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2024年度下达专项债券资金1500万元，</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截至2024年12月底，共完成投资1500万元（专项债券资金1500万元），年度预算控制1500万元</w:t>
      </w:r>
      <w:r>
        <w:rPr>
          <w:rFonts w:hint="eastAsia" w:ascii="仿宋" w:hAnsi="仿宋" w:eastAsia="仿宋" w:cs="仿宋"/>
          <w:color w:val="000000" w:themeColor="text1"/>
          <w:sz w:val="32"/>
          <w:szCs w:val="32"/>
          <w:u w:val="none"/>
          <w:lang w:val="en-US" w:eastAsia="zh-CN"/>
          <w14:textFill>
            <w14:solidFill>
              <w14:schemeClr w14:val="tx1"/>
            </w14:solidFill>
          </w14:textFill>
        </w:rPr>
        <w:t>。</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left="840" w:leftChars="0"/>
        <w:textAlignment w:val="auto"/>
        <w:rPr>
          <w:rFonts w:hint="eastAsia" w:ascii="仿宋" w:hAnsi="仿宋" w:eastAsia="仿宋" w:cs="仿宋"/>
          <w:b/>
          <w:bCs/>
          <w:color w:val="000000" w:themeColor="text1"/>
          <w:sz w:val="32"/>
          <w:szCs w:val="32"/>
          <w:u w:val="none"/>
          <w:lang w:eastAsia="zh-CN"/>
          <w14:textFill>
            <w14:solidFill>
              <w14:schemeClr w14:val="tx1"/>
            </w14:solidFill>
          </w14:textFill>
        </w:rPr>
      </w:pPr>
      <w:r>
        <w:rPr>
          <w:rFonts w:hint="eastAsia" w:ascii="仿宋" w:hAnsi="仿宋" w:eastAsia="仿宋" w:cs="仿宋"/>
          <w:b/>
          <w:bCs/>
          <w:color w:val="000000" w:themeColor="text1"/>
          <w:sz w:val="32"/>
          <w:szCs w:val="32"/>
          <w:u w:val="none"/>
          <w:lang w:val="en-US" w:eastAsia="zh-CN"/>
          <w14:textFill>
            <w14:solidFill>
              <w14:schemeClr w14:val="tx1"/>
            </w14:solidFill>
          </w14:textFill>
        </w:rPr>
        <w:t>（二）</w:t>
      </w:r>
      <w:r>
        <w:rPr>
          <w:rFonts w:hint="eastAsia" w:ascii="仿宋" w:hAnsi="仿宋" w:eastAsia="仿宋" w:cs="仿宋"/>
          <w:b/>
          <w:bCs/>
          <w:color w:val="000000" w:themeColor="text1"/>
          <w:sz w:val="32"/>
          <w:szCs w:val="32"/>
          <w:u w:val="none"/>
          <w:lang w:eastAsia="zh-CN"/>
          <w14:textFill>
            <w14:solidFill>
              <w14:schemeClr w14:val="tx1"/>
            </w14:solidFill>
          </w14:textFill>
        </w:rPr>
        <w:t>效益指标完成情况分析</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 w:hAnsi="仿宋" w:eastAsia="仿宋" w:cs="仿宋"/>
          <w:color w:val="000000" w:themeColor="text1"/>
          <w:sz w:val="32"/>
          <w:szCs w:val="32"/>
          <w:u w:val="none"/>
          <w:lang w:eastAsia="zh-CN"/>
          <w14:textFill>
            <w14:solidFill>
              <w14:schemeClr w14:val="tx1"/>
            </w14:solidFill>
          </w14:textFill>
        </w:rPr>
        <w:t>效益指标分值</w:t>
      </w:r>
      <w:r>
        <w:rPr>
          <w:rFonts w:hint="eastAsia" w:ascii="仿宋" w:hAnsi="仿宋" w:eastAsia="仿宋" w:cs="仿宋"/>
          <w:color w:val="000000" w:themeColor="text1"/>
          <w:sz w:val="32"/>
          <w:szCs w:val="32"/>
          <w:u w:val="none"/>
          <w:lang w:val="en-US" w:eastAsia="zh-CN"/>
          <w14:textFill>
            <w14:solidFill>
              <w14:schemeClr w14:val="tx1"/>
            </w14:solidFill>
          </w14:textFill>
        </w:rPr>
        <w:t>30分，指标得分30分。</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b/>
          <w:bCs/>
          <w:color w:val="000000" w:themeColor="text1"/>
          <w:sz w:val="32"/>
          <w:szCs w:val="32"/>
          <w:u w:val="none"/>
          <w:lang w:val="en-US" w:eastAsia="zh-CN"/>
          <w14:textFill>
            <w14:solidFill>
              <w14:schemeClr w14:val="tx1"/>
            </w14:solidFill>
          </w14:textFill>
        </w:rPr>
      </w:pPr>
      <w:r>
        <w:rPr>
          <w:rFonts w:hint="eastAsia" w:ascii="仿宋" w:hAnsi="仿宋" w:eastAsia="仿宋" w:cs="仿宋"/>
          <w:color w:val="000000" w:themeColor="text1"/>
          <w:sz w:val="32"/>
          <w:szCs w:val="32"/>
          <w:u w:val="none"/>
          <w:lang w:val="en-US" w:eastAsia="zh-CN"/>
          <w14:textFill>
            <w14:solidFill>
              <w14:schemeClr w14:val="tx1"/>
            </w14:solidFill>
          </w14:textFill>
        </w:rPr>
        <w:t>（1）</w:t>
      </w:r>
      <w:r>
        <w:rPr>
          <w:rFonts w:hint="eastAsia" w:ascii="仿宋" w:hAnsi="仿宋" w:eastAsia="仿宋" w:cs="仿宋"/>
          <w:b/>
          <w:bCs/>
          <w:color w:val="000000" w:themeColor="text1"/>
          <w:sz w:val="32"/>
          <w:szCs w:val="32"/>
          <w:u w:val="none"/>
          <w:lang w:val="en-US" w:eastAsia="zh-CN"/>
          <w14:textFill>
            <w14:solidFill>
              <w14:schemeClr w14:val="tx1"/>
            </w14:solidFill>
          </w14:textFill>
        </w:rPr>
        <w:t>经济效益指标</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潖江水生环境综合整治</w:t>
      </w:r>
      <w:bookmarkStart w:id="44" w:name="_GoBack"/>
      <w:r>
        <w:rPr>
          <w:rFonts w:hint="eastAsia" w:ascii="仿宋_GB2312" w:hAnsi="仿宋_GB2312" w:eastAsia="仿宋_GB2312" w:cs="仿宋_GB2312"/>
          <w:bCs/>
          <w:sz w:val="32"/>
          <w:szCs w:val="32"/>
          <w:lang w:val="en-US" w:eastAsia="zh-CN"/>
        </w:rPr>
        <w:t>项目</w:t>
      </w:r>
      <w:bookmarkEnd w:id="44"/>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工程</w:t>
      </w:r>
      <w:r>
        <w:rPr>
          <w:rFonts w:hint="eastAsia" w:ascii="仿宋" w:hAnsi="仿宋" w:eastAsia="仿宋" w:cs="仿宋"/>
          <w:color w:val="000000" w:themeColor="text1"/>
          <w:sz w:val="32"/>
          <w:szCs w:val="32"/>
          <w:u w:val="none"/>
          <w:lang w:val="en-US" w:eastAsia="zh-CN"/>
          <w14:textFill>
            <w14:solidFill>
              <w14:schemeClr w14:val="tx1"/>
            </w14:solidFill>
          </w14:textFill>
        </w:rPr>
        <w:t>实施后，提高县城及周边污水收纳率，完善污水管网建设有利于带动当地经济快速发展，为国民经济持续健康发展和社会稳定提供安全保障。</w:t>
      </w:r>
    </w:p>
    <w:p>
      <w:pPr>
        <w:pStyle w:val="5"/>
        <w:keepNext w:val="0"/>
        <w:keepLines w:val="0"/>
        <w:pageBreakBefore w:val="0"/>
        <w:widowControl w:val="0"/>
        <w:numPr>
          <w:ilvl w:val="0"/>
          <w:numId w:val="0"/>
        </w:numPr>
        <w:kinsoku/>
        <w:wordWrap/>
        <w:overflowPunct/>
        <w:topLinePunct w:val="0"/>
        <w:autoSpaceDE/>
        <w:autoSpaceDN/>
        <w:bidi w:val="0"/>
        <w:adjustRightInd/>
        <w:spacing w:line="570" w:lineRule="exact"/>
        <w:ind w:firstLine="640" w:firstLineChars="200"/>
        <w:textAlignment w:val="auto"/>
        <w:rPr>
          <w:rFonts w:hint="default"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社会效益指标</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潖江水生环境综合整治项目</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工程</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实施后，优化当地水环境，满足当地人民群众对健康生活质量的要求，提供生活质量，保障居民社会生活平稳。</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生态效益指标</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通过项目的建设，能够提高水资源的利用效率，减少水资源的浪费，同时保障水资源的可持续利用。在保障人类生产和发展的同时，保护水生态环境，确保污水达标排放，满足当地用水需求。</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可持续影响指标</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通过项目的建设，完善供水管网是实现社会健康、协调和可持续发展的需要，保障水资源的可持续利用，从宏观战略的观点上看，具有长远的战略发展意义。</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default"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项目满意度情况</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对</w:t>
      </w:r>
      <w:r>
        <w:rPr>
          <w:rFonts w:hint="eastAsia" w:ascii="仿宋_GB2312" w:hAnsi="仿宋_GB2312" w:eastAsia="仿宋_GB2312" w:cs="仿宋_GB2312"/>
          <w:bCs/>
          <w:sz w:val="32"/>
          <w:szCs w:val="32"/>
          <w:lang w:val="en-US" w:eastAsia="zh-CN"/>
        </w:rPr>
        <w:t>潖江水生环境综合整治项目</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工程</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进行问卷调查所获得的的数据进行整理分析，群众满意度为100%。</w:t>
      </w:r>
    </w:p>
    <w:p>
      <w:pPr>
        <w:keepNext w:val="0"/>
        <w:keepLines w:val="0"/>
        <w:pageBreakBefore w:val="0"/>
        <w:widowControl w:val="0"/>
        <w:kinsoku/>
        <w:wordWrap/>
        <w:overflowPunct/>
        <w:topLinePunct w:val="0"/>
        <w:bidi w:val="0"/>
        <w:spacing w:line="570" w:lineRule="exact"/>
        <w:ind w:firstLine="640" w:firstLineChars="200"/>
        <w:textAlignment w:val="auto"/>
        <w:rPr>
          <w:rFonts w:hint="eastAsia"/>
          <w:lang w:val="en-US" w:eastAsia="zh-CN"/>
        </w:rPr>
      </w:pPr>
      <w:r>
        <w:rPr>
          <w:rFonts w:hint="eastAsia" w:ascii="仿宋_GB2312" w:hAnsi="仿宋" w:eastAsia="仿宋_GB2312" w:cs="仿宋"/>
          <w:color w:val="auto"/>
          <w:sz w:val="32"/>
          <w:szCs w:val="32"/>
          <w:highlight w:val="none"/>
          <w:lang w:val="en-US"/>
        </w:rPr>
        <w:t>潖江水生环境综合整治</w:t>
      </w:r>
      <w:r>
        <w:rPr>
          <w:rFonts w:hint="eastAsia" w:ascii="仿宋_GB2312" w:hAnsi="仿宋" w:eastAsia="仿宋_GB2312" w:cs="仿宋"/>
          <w:color w:val="auto"/>
          <w:sz w:val="32"/>
          <w:szCs w:val="32"/>
          <w:highlight w:val="none"/>
          <w:lang w:val="en-US" w:eastAsia="zh-CN"/>
        </w:rPr>
        <w:t>工程</w:t>
      </w:r>
      <w:r>
        <w:rPr>
          <w:rFonts w:hint="eastAsia" w:ascii="仿宋_GB2312" w:hAnsi="仿宋_GB2312" w:eastAsia="仿宋_GB2312" w:cs="仿宋_GB2312"/>
          <w:kern w:val="2"/>
          <w:sz w:val="32"/>
          <w:szCs w:val="32"/>
          <w:u w:val="none"/>
          <w:lang w:val="en-US" w:eastAsia="zh-CN" w:bidi="ar-SA"/>
        </w:rPr>
        <w:t>资金使用情况评价得分结果是依据年初设定绩效指标及评价表，通过对收集到的佐证材料全面客观地了解、对比目标值与实际结果后，基于项目资金实际使用情况，严格按照评分标准进行打分，计算出评价得分：100分，绩效评价结果等级为：优。</w:t>
      </w:r>
    </w:p>
    <w:p>
      <w:pPr>
        <w:wordWrap w:val="0"/>
        <w:jc w:val="right"/>
        <w:rPr>
          <w:rFonts w:hint="default" w:ascii="仿宋" w:hAnsi="仿宋" w:eastAsia="仿宋" w:cs="仿宋"/>
          <w:sz w:val="32"/>
          <w:szCs w:val="32"/>
          <w:lang w:val="en-US" w:eastAsia="zh-CN"/>
        </w:rPr>
      </w:pPr>
      <w:r>
        <w:rPr>
          <w:rFonts w:hint="eastAsia" w:ascii="仿宋" w:hAnsi="仿宋" w:eastAsia="仿宋" w:cs="仿宋"/>
          <w:sz w:val="32"/>
          <w:szCs w:val="32"/>
          <w:lang w:eastAsia="zh-CN"/>
        </w:rPr>
        <w:t>佛冈县水利局</w:t>
      </w:r>
      <w:r>
        <w:rPr>
          <w:rFonts w:hint="eastAsia" w:ascii="仿宋" w:hAnsi="仿宋" w:eastAsia="仿宋" w:cs="仿宋"/>
          <w:sz w:val="32"/>
          <w:szCs w:val="32"/>
          <w:lang w:val="en-US" w:eastAsia="zh-CN"/>
        </w:rPr>
        <w:t xml:space="preserve">            </w:t>
      </w:r>
    </w:p>
    <w:p>
      <w:pPr>
        <w:pStyle w:val="2"/>
        <w:wordWrap w:val="0"/>
        <w:jc w:val="righ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2025年4月28日           </w:t>
      </w:r>
    </w:p>
    <w:sectPr>
      <w:pgSz w:w="11906" w:h="16838"/>
      <w:pgMar w:top="2154"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CAE333"/>
    <w:multiLevelType w:val="singleLevel"/>
    <w:tmpl w:val="B7CAE333"/>
    <w:lvl w:ilvl="0" w:tentative="0">
      <w:start w:val="1"/>
      <w:numFmt w:val="decimal"/>
      <w:suff w:val="nothing"/>
      <w:lvlText w:val="%1．"/>
      <w:lvlJc w:val="left"/>
      <w:pPr>
        <w:ind w:left="197" w:firstLine="400"/>
      </w:pPr>
      <w:rPr>
        <w:rFonts w:hint="default"/>
      </w:rPr>
    </w:lvl>
  </w:abstractNum>
  <w:abstractNum w:abstractNumId="1">
    <w:nsid w:val="BCEFAF51"/>
    <w:multiLevelType w:val="singleLevel"/>
    <w:tmpl w:val="BCEFAF51"/>
    <w:lvl w:ilvl="0" w:tentative="0">
      <w:start w:val="4"/>
      <w:numFmt w:val="chineseCounting"/>
      <w:suff w:val="nothing"/>
      <w:lvlText w:val="%1、"/>
      <w:lvlJc w:val="left"/>
      <w:rPr>
        <w:rFonts w:hint="eastAsia"/>
      </w:rPr>
    </w:lvl>
  </w:abstractNum>
  <w:abstractNum w:abstractNumId="2">
    <w:nsid w:val="CFAD8D72"/>
    <w:multiLevelType w:val="singleLevel"/>
    <w:tmpl w:val="CFAD8D72"/>
    <w:lvl w:ilvl="0" w:tentative="0">
      <w:start w:val="3"/>
      <w:numFmt w:val="chineseCounting"/>
      <w:suff w:val="nothing"/>
      <w:lvlText w:val="（%1）"/>
      <w:lvlJc w:val="left"/>
      <w:rPr>
        <w:rFonts w:hint="eastAsia"/>
      </w:rPr>
    </w:lvl>
  </w:abstractNum>
  <w:abstractNum w:abstractNumId="3">
    <w:nsid w:val="EEA25B0A"/>
    <w:multiLevelType w:val="singleLevel"/>
    <w:tmpl w:val="EEA25B0A"/>
    <w:lvl w:ilvl="0" w:tentative="0">
      <w:start w:val="2"/>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4919CE"/>
    <w:rsid w:val="11D47D09"/>
    <w:rsid w:val="13A4462E"/>
    <w:rsid w:val="16530BEB"/>
    <w:rsid w:val="1DF20784"/>
    <w:rsid w:val="2A585FAA"/>
    <w:rsid w:val="344919CE"/>
    <w:rsid w:val="453268EB"/>
    <w:rsid w:val="45901121"/>
    <w:rsid w:val="67B31B53"/>
    <w:rsid w:val="6D9D5BEE"/>
    <w:rsid w:val="72A06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2"/>
    <w:basedOn w:val="4"/>
    <w:next w:val="5"/>
    <w:qFormat/>
    <w:uiPriority w:val="9"/>
    <w:pPr>
      <w:keepNext/>
      <w:keepLines/>
      <w:spacing w:line="360" w:lineRule="auto"/>
      <w:outlineLvl w:val="1"/>
    </w:pPr>
    <w:rPr>
      <w:rFonts w:ascii="Calibri Light" w:hAnsi="Calibri Light" w:cs="Times New Roman"/>
      <w:szCs w:val="32"/>
    </w:rPr>
  </w:style>
  <w:style w:type="paragraph" w:styleId="4">
    <w:name w:val="heading 3"/>
    <w:basedOn w:val="5"/>
    <w:next w:val="5"/>
    <w:qFormat/>
    <w:uiPriority w:val="0"/>
    <w:pPr>
      <w:keepNext/>
      <w:keepLines/>
      <w:adjustRightInd w:val="0"/>
      <w:snapToGrid w:val="0"/>
      <w:outlineLvl w:val="2"/>
    </w:pPr>
    <w:rPr>
      <w:rFonts w:ascii="宋体" w:hAnsi="宋体"/>
      <w:b/>
      <w:bCs/>
      <w:color w:val="00000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5">
    <w:name w:val="Body Text"/>
    <w:basedOn w:val="1"/>
    <w:qFormat/>
    <w:uiPriority w:val="1"/>
    <w:rPr>
      <w:sz w:val="32"/>
      <w:szCs w:val="32"/>
    </w:rPr>
  </w:style>
  <w:style w:type="paragraph" w:styleId="6">
    <w:name w:val="Normal Indent"/>
    <w:basedOn w:val="1"/>
    <w:unhideWhenUsed/>
    <w:qFormat/>
    <w:uiPriority w:val="99"/>
    <w:pPr>
      <w:widowControl w:val="0"/>
      <w:spacing w:line="240" w:lineRule="auto"/>
      <w:ind w:firstLine="420"/>
      <w:jc w:val="both"/>
    </w:pPr>
    <w:rPr>
      <w:rFonts w:ascii="Times New Roman" w:hAnsi="Times New Roman" w:eastAsia="宋体" w:cs="Times New Roman"/>
      <w:kern w:val="2"/>
      <w:sz w:val="21"/>
      <w:szCs w:val="21"/>
    </w:rPr>
  </w:style>
  <w:style w:type="paragraph" w:styleId="7">
    <w:name w:val="toc 1"/>
    <w:basedOn w:val="1"/>
    <w:next w:val="1"/>
    <w:unhideWhenUsed/>
    <w:qFormat/>
    <w:uiPriority w:val="39"/>
  </w:style>
  <w:style w:type="paragraph" w:customStyle="1" w:styleId="10">
    <w:name w:val="正文（缩进）"/>
    <w:basedOn w:val="1"/>
    <w:qFormat/>
    <w:uiPriority w:val="0"/>
    <w:pPr>
      <w:spacing w:before="156" w:beforeLines="50" w:after="156" w:afterLines="50" w:line="360" w:lineRule="auto"/>
      <w:ind w:firstLine="480" w:firstLineChars="200"/>
    </w:pPr>
    <w:rPr>
      <w:kern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2023-07-13T07:19:00Z</dcterms:created>
  <dc:creator>Anson</dc:creator>
  <cp:lastModifiedBy>admin</cp:lastModifiedBy>
  <dcterms:modified xsi:type="dcterms:W3CDTF">2025-06-10T01:11:29Z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