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jc w:val="center"/>
        <w:rPr>
          <w:rFonts w:hint="default" w:ascii="方正小标宋简体" w:hAnsi="Times New Roman" w:eastAsia="方正小标宋简体"/>
          <w:sz w:val="44"/>
          <w:szCs w:val="44"/>
        </w:rPr>
      </w:pPr>
      <w:r>
        <w:rPr>
          <w:rFonts w:hint="default" w:ascii="方正小标宋简体" w:hAnsi="Times New Roman" w:eastAsia="方正小标宋简体"/>
          <w:sz w:val="44"/>
          <w:szCs w:val="44"/>
        </w:rPr>
        <w:t>佛冈县迳头镇仓迳自来水厂供水工程</w:t>
      </w:r>
    </w:p>
    <w:p>
      <w:pPr>
        <w:snapToGrid w:val="0"/>
        <w:spacing w:line="288" w:lineRule="auto"/>
        <w:jc w:val="center"/>
        <w:rPr>
          <w:rFonts w:hint="eastAsia" w:ascii="楷体_GB2312" w:hAnsi="楷体_GB2312" w:eastAsia="楷体_GB2312" w:cs="楷体_GB2312"/>
          <w:b w:val="0"/>
          <w:bCs w:val="0"/>
          <w:sz w:val="44"/>
          <w:szCs w:val="44"/>
        </w:rPr>
      </w:pPr>
      <w:r>
        <w:rPr>
          <w:rFonts w:hint="eastAsia" w:ascii="方正小标宋简体" w:hAnsi="Times New Roman" w:eastAsia="方正小标宋简体" w:cs="Times New Roman"/>
          <w:sz w:val="44"/>
          <w:szCs w:val="44"/>
          <w:lang w:val="en-US" w:eastAsia="zh-CN"/>
        </w:rPr>
        <w:t>专项债券项目</w:t>
      </w:r>
      <w:r>
        <w:rPr>
          <w:rFonts w:hint="eastAsia" w:ascii="方正小标宋简体" w:hAnsi="Times New Roman" w:eastAsia="方正小标宋简体" w:cs="Times New Roman"/>
          <w:sz w:val="44"/>
          <w:szCs w:val="44"/>
        </w:rPr>
        <w:t>资金绩效评价报告</w:t>
      </w:r>
    </w:p>
    <w:p>
      <w:pPr>
        <w:snapToGrid w:val="0"/>
        <w:spacing w:line="288" w:lineRule="auto"/>
        <w:rPr>
          <w:rFonts w:hint="eastAsia" w:ascii="仿宋_GB2312" w:hAnsi="仿宋_GB2312" w:eastAsia="仿宋_GB2312" w:cs="仿宋_GB2312"/>
          <w:sz w:val="32"/>
          <w:szCs w:val="32"/>
        </w:rPr>
      </w:pPr>
    </w:p>
    <w:p>
      <w:pPr>
        <w:snapToGrid w:val="0"/>
        <w:spacing w:line="288"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第一部分：绩效报告</w:t>
      </w:r>
    </w:p>
    <w:p>
      <w:pPr>
        <w:pStyle w:val="6"/>
        <w:numPr>
          <w:ilvl w:val="0"/>
          <w:numId w:val="0"/>
        </w:numPr>
        <w:tabs>
          <w:tab w:val="right" w:leader="dot" w:pos="8958"/>
        </w:tabs>
        <w:snapToGrid w:val="0"/>
        <w:spacing w:line="288" w:lineRule="auto"/>
        <w:ind w:firstLine="0" w:firstLineChars="0"/>
        <w:rPr>
          <w:rFonts w:hint="eastAsia" w:ascii="仿宋_GB2312" w:hAnsi="仿宋_GB2312" w:eastAsia="仿宋_GB2312" w:cs="仿宋_GB2312"/>
          <w:bCs/>
          <w:sz w:val="32"/>
          <w:szCs w:val="32"/>
        </w:rPr>
      </w:pPr>
    </w:p>
    <w:p>
      <w:pPr>
        <w:pStyle w:val="6"/>
        <w:numPr>
          <w:ilvl w:val="0"/>
          <w:numId w:val="0"/>
        </w:numPr>
        <w:tabs>
          <w:tab w:val="right" w:leader="dot" w:pos="8958"/>
        </w:tabs>
        <w:snapToGrid w:val="0"/>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lang w:eastAsia="zh-CN"/>
        </w:rPr>
        <w:t>一、</w:t>
      </w:r>
      <w:r>
        <w:rPr>
          <w:rFonts w:hint="eastAsia" w:ascii="黑体" w:hAnsi="黑体" w:eastAsia="黑体" w:cs="黑体"/>
          <w:bCs/>
          <w:sz w:val="32"/>
          <w:szCs w:val="32"/>
        </w:rPr>
        <w:t>项目概要</w:t>
      </w:r>
    </w:p>
    <w:p>
      <w:pPr>
        <w:pStyle w:val="6"/>
        <w:numPr>
          <w:ilvl w:val="0"/>
          <w:numId w:val="0"/>
        </w:numPr>
        <w:snapToGrid w:val="0"/>
        <w:spacing w:line="560" w:lineRule="exact"/>
        <w:ind w:firstLine="643" w:firstLineChars="200"/>
        <w:rPr>
          <w:rFonts w:hint="eastAsia" w:ascii="楷体_GB2312" w:hAnsi="楷体_GB2312" w:eastAsia="楷体_GB2312" w:cs="楷体_GB2312"/>
          <w:b/>
          <w:bCs w:val="0"/>
          <w:sz w:val="32"/>
          <w:szCs w:val="32"/>
          <w:lang w:val="en-US" w:eastAsia="zh-CN"/>
        </w:rPr>
      </w:pPr>
      <w:r>
        <w:rPr>
          <w:rFonts w:hint="eastAsia" w:ascii="楷体_GB2312" w:hAnsi="楷体_GB2312" w:eastAsia="楷体_GB2312" w:cs="楷体_GB2312"/>
          <w:b/>
          <w:bCs w:val="0"/>
          <w:sz w:val="32"/>
          <w:szCs w:val="32"/>
          <w:lang w:val="en-US" w:eastAsia="zh-CN"/>
        </w:rPr>
        <w:t>（一）项目概况。</w:t>
      </w:r>
    </w:p>
    <w:p>
      <w:pPr>
        <w:pStyle w:val="6"/>
        <w:numPr>
          <w:ilvl w:val="0"/>
          <w:numId w:val="0"/>
        </w:numPr>
        <w:snapToGrid w:val="0"/>
        <w:spacing w:line="560" w:lineRule="exact"/>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佛冈县迳头镇仓迳自来水厂供水工程</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建设内容主要：（1）输水渠道、输水管道：对引水渠道前池以上3.220km渠道进行三面光衬砌并加盖板处理，改造前池，新建DN800焊接钢管0.280km，将原水引入水厂提升泵房。（2）净水厂：本工程净水厂按近期1.0万m3/d、远期2.0万m3/d供水规模进行设计，其中絮凝沉淀池、气水反冲洗滤除及清水池土建部分按近期建设，预留远期用地，其他分部工程一次性建成。（3）配水管网：仓迳自来水厂一期供水范围为迳头镇新镇墟、金岭工业园及沿线行政村，共新建DN500～DN600供水主管9.126km，管材选用焊接钢管</w:t>
      </w:r>
      <w:r>
        <w:rPr>
          <w:rFonts w:hint="eastAsia" w:ascii="仿宋_GB2312" w:hAnsi="仿宋_GB2312" w:eastAsia="仿宋_GB2312" w:cs="仿宋_GB2312"/>
          <w:bCs/>
          <w:sz w:val="32"/>
          <w:szCs w:val="32"/>
          <w:lang w:val="en-US" w:eastAsia="zh-CN"/>
        </w:rPr>
        <w:t>。</w:t>
      </w:r>
    </w:p>
    <w:p>
      <w:pPr>
        <w:pStyle w:val="6"/>
        <w:numPr>
          <w:ilvl w:val="0"/>
          <w:numId w:val="0"/>
        </w:numPr>
        <w:snapToGrid w:val="0"/>
        <w:spacing w:line="560" w:lineRule="exact"/>
        <w:ind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fldChar w:fldCharType="begin"/>
      </w:r>
      <w:r>
        <w:rPr>
          <w:rFonts w:hint="eastAsia" w:ascii="楷体_GB2312" w:hAnsi="楷体_GB2312" w:eastAsia="楷体_GB2312" w:cs="楷体_GB2312"/>
          <w:b/>
          <w:sz w:val="32"/>
          <w:szCs w:val="32"/>
          <w:lang w:val="en-US" w:eastAsia="zh-CN"/>
        </w:rPr>
        <w:instrText xml:space="preserve"> HYPERLINK \l _Toc29791 </w:instrText>
      </w:r>
      <w:r>
        <w:rPr>
          <w:rFonts w:hint="eastAsia" w:ascii="楷体_GB2312" w:hAnsi="楷体_GB2312" w:eastAsia="楷体_GB2312" w:cs="楷体_GB2312"/>
          <w:b/>
          <w:sz w:val="32"/>
          <w:szCs w:val="32"/>
          <w:lang w:val="en-US" w:eastAsia="zh-CN"/>
        </w:rPr>
        <w:fldChar w:fldCharType="separate"/>
      </w:r>
      <w:r>
        <w:rPr>
          <w:rFonts w:hint="eastAsia" w:ascii="楷体_GB2312" w:hAnsi="楷体_GB2312" w:eastAsia="楷体_GB2312" w:cs="楷体_GB2312"/>
          <w:b/>
          <w:bCs w:val="0"/>
          <w:kern w:val="2"/>
          <w:sz w:val="32"/>
          <w:szCs w:val="32"/>
          <w:lang w:val="en-US" w:eastAsia="zh-CN" w:bidi="ar-SA"/>
        </w:rPr>
        <w:t>（二）绩效目标</w:t>
      </w:r>
      <w:r>
        <w:rPr>
          <w:rFonts w:hint="eastAsia" w:ascii="楷体_GB2312" w:hAnsi="楷体_GB2312" w:eastAsia="楷体_GB2312" w:cs="楷体_GB2312"/>
          <w:b/>
          <w:sz w:val="32"/>
          <w:szCs w:val="32"/>
          <w:lang w:val="en-US" w:eastAsia="zh-CN"/>
        </w:rPr>
        <w:fldChar w:fldCharType="end"/>
      </w:r>
      <w:r>
        <w:rPr>
          <w:rFonts w:hint="eastAsia" w:ascii="楷体_GB2312" w:hAnsi="楷体_GB2312" w:eastAsia="楷体_GB2312" w:cs="楷体_GB2312"/>
          <w:b/>
          <w:sz w:val="32"/>
          <w:szCs w:val="32"/>
          <w:lang w:val="en-US" w:eastAsia="zh-CN"/>
        </w:rPr>
        <w:t>。</w:t>
      </w:r>
    </w:p>
    <w:p>
      <w:pPr>
        <w:pStyle w:val="6"/>
        <w:numPr>
          <w:ilvl w:val="0"/>
          <w:numId w:val="0"/>
        </w:numPr>
        <w:snapToGrid w:val="0"/>
        <w:spacing w:line="560" w:lineRule="exact"/>
        <w:ind w:firstLine="640" w:firstLineChars="200"/>
        <w:rPr>
          <w:rFonts w:hint="default" w:ascii="仿宋_GB2312" w:hAnsi="仿宋_GB2312" w:eastAsia="仿宋_GB2312" w:cs="仿宋_GB2312"/>
          <w:sz w:val="32"/>
          <w:szCs w:val="32"/>
          <w:lang w:val="en-US" w:eastAsia="zh-CN"/>
        </w:rPr>
      </w:pPr>
      <w:bookmarkStart w:id="0" w:name="OLE_LINK2"/>
      <w:r>
        <w:rPr>
          <w:rFonts w:hint="eastAsia" w:ascii="仿宋_GB2312" w:hAnsi="仿宋_GB2312" w:eastAsia="仿宋_GB2312" w:cs="仿宋_GB2312"/>
          <w:sz w:val="32"/>
          <w:szCs w:val="32"/>
          <w:lang w:val="en-US" w:eastAsia="zh-CN"/>
        </w:rPr>
        <w:t>（1）实施周期目标</w:t>
      </w:r>
    </w:p>
    <w:p>
      <w:pPr>
        <w:pStyle w:val="6"/>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工程主要是新建仓迳自来水厂、原水管线、配水管网及调蓄山塘。取水口位于迳头村的仓迳电站引水渠，水厂选址位于现状仓迳电站厂房附近，利用现状仓迳电站引水渠道设管取水。水厂建成后，可将管网铺设覆盖至仓前村、迳头村、大陂村、大村村、楼下村、龙冈村、社坪村、井冈村和迳头社区共 9 个行政村（社区），实现集中供水，保障镇区及周边村委居民生活及工业企业用水需求。供水范围涉及99 个自然村，现状共 6480 户、28940 人。近期 2025 年供水规模为 1.0 万m³/d，远期 2030 年供水规模为 2.0 万m³/d。</w:t>
      </w:r>
    </w:p>
    <w:p>
      <w:pPr>
        <w:pStyle w:val="6"/>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（2）当年度目标</w:t>
      </w:r>
    </w:p>
    <w:p>
      <w:pPr>
        <w:pStyle w:val="6"/>
        <w:numPr>
          <w:ilvl w:val="0"/>
          <w:numId w:val="0"/>
        </w:numPr>
        <w:snapToGrid w:val="0"/>
        <w:spacing w:line="560" w:lineRule="exact"/>
        <w:ind w:firstLine="640" w:firstLineChars="200"/>
        <w:rPr>
          <w:rFonts w:hint="default" w:ascii="楷体_GB2312" w:hAnsi="楷体_GB2312" w:eastAsia="楷体_GB2312" w:cs="楷体_GB2312"/>
          <w:b/>
          <w:bCs w:val="0"/>
          <w:kern w:val="2"/>
          <w:sz w:val="32"/>
          <w:szCs w:val="32"/>
          <w:lang w:val="en-US" w:eastAsia="zh-CN" w:bidi="ar-SA"/>
        </w:rPr>
      </w:pPr>
      <w:r>
        <w:rPr>
          <w:rFonts w:hint="eastAsia" w:ascii="仿宋_GB2312" w:hAnsi="仿宋_GB2312" w:eastAsia="仿宋_GB2312" w:cs="仿宋_GB2312"/>
          <w:sz w:val="32"/>
          <w:szCs w:val="32"/>
          <w:lang w:val="en-US" w:eastAsia="zh-CN"/>
        </w:rPr>
        <w:t>目标1：对取水口上游约3公里引水渠及河道清淤、加固；目标2：新建供水主管8KM。</w:t>
      </w:r>
    </w:p>
    <w:bookmarkEnd w:id="0"/>
    <w:p>
      <w:pPr>
        <w:snapToGrid w:val="0"/>
        <w:spacing w:line="560" w:lineRule="exact"/>
        <w:ind w:firstLine="643" w:firstLineChars="200"/>
        <w:rPr>
          <w:rFonts w:hint="eastAsia" w:ascii="楷体_GB2312" w:hAnsi="楷体_GB2312" w:eastAsia="楷体_GB2312" w:cs="楷体_GB2312"/>
          <w:b/>
          <w:bCs w:val="0"/>
          <w:kern w:val="2"/>
          <w:sz w:val="32"/>
          <w:szCs w:val="32"/>
          <w:lang w:val="en-US" w:eastAsia="zh-CN" w:bidi="ar-SA"/>
        </w:rPr>
      </w:pPr>
      <w:r>
        <w:rPr>
          <w:rFonts w:hint="eastAsia" w:ascii="楷体_GB2312" w:hAnsi="楷体_GB2312" w:eastAsia="楷体_GB2312" w:cs="楷体_GB2312"/>
          <w:b/>
          <w:bCs w:val="0"/>
          <w:kern w:val="2"/>
          <w:sz w:val="32"/>
          <w:szCs w:val="32"/>
          <w:lang w:val="en-US" w:eastAsia="zh-CN" w:bidi="ar-SA"/>
        </w:rPr>
        <w:t>（三）评价金额及支出使用情况。</w:t>
      </w:r>
    </w:p>
    <w:p>
      <w:pPr>
        <w:snapToGrid w:val="0"/>
        <w:spacing w:line="560" w:lineRule="exact"/>
        <w:ind w:firstLine="640" w:firstLineChars="200"/>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（1）资金到位情况</w:t>
      </w:r>
    </w:p>
    <w:p>
      <w:pPr>
        <w:snapToGrid w:val="0"/>
        <w:spacing w:line="560" w:lineRule="exact"/>
        <w:ind w:firstLine="640" w:firstLineChars="200"/>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2024年已安排专项债券资金共计1,000.00万元。</w:t>
      </w:r>
    </w:p>
    <w:p>
      <w:pPr>
        <w:snapToGrid w:val="0"/>
        <w:spacing w:line="560" w:lineRule="exact"/>
        <w:ind w:firstLine="640" w:firstLineChars="200"/>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（2）资金执行情况</w:t>
      </w:r>
    </w:p>
    <w:p>
      <w:pPr>
        <w:snapToGrid w:val="0"/>
        <w:spacing w:line="560" w:lineRule="exact"/>
        <w:ind w:firstLine="640" w:firstLineChars="200"/>
        <w:rPr>
          <w:rFonts w:hint="eastAsia"/>
          <w:sz w:val="32"/>
          <w:szCs w:val="32"/>
        </w:rPr>
      </w:pPr>
      <w:r>
        <w:rPr>
          <w:rFonts w:hint="eastAsia" w:ascii="仿宋_GB2312" w:hAnsi="仿宋_GB2312" w:eastAsia="仿宋_GB2312" w:cs="仿宋_GB2312"/>
          <w:bCs/>
          <w:kern w:val="2"/>
          <w:sz w:val="32"/>
          <w:szCs w:val="32"/>
          <w:lang w:val="en-US" w:eastAsia="zh-CN" w:bidi="ar-SA"/>
        </w:rPr>
        <w:t>佛冈县迳头镇仓迳自来水厂供水工程，2024年度下达专项债券资金1000万元，截至2024年12月底，共完成投资1000万元（专项债券资金1000万元），投资完成率100%。</w:t>
      </w:r>
    </w:p>
    <w:p>
      <w:pPr>
        <w:pStyle w:val="6"/>
        <w:numPr>
          <w:ilvl w:val="0"/>
          <w:numId w:val="0"/>
        </w:numPr>
        <w:tabs>
          <w:tab w:val="right" w:leader="dot" w:pos="8958"/>
        </w:tabs>
        <w:snapToGrid w:val="0"/>
        <w:spacing w:line="560" w:lineRule="exact"/>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二、评价结论与绩效分析</w:t>
      </w:r>
    </w:p>
    <w:p>
      <w:pPr>
        <w:pStyle w:val="6"/>
        <w:numPr>
          <w:ilvl w:val="0"/>
          <w:numId w:val="0"/>
        </w:numPr>
        <w:tabs>
          <w:tab w:val="right" w:leader="dot" w:pos="8958"/>
        </w:tabs>
        <w:snapToGrid w:val="0"/>
        <w:spacing w:line="560" w:lineRule="exact"/>
        <w:ind w:firstLine="643" w:firstLineChars="200"/>
        <w:rPr>
          <w:rFonts w:hint="eastAsia" w:ascii="楷体_GB2312" w:hAnsi="楷体_GB2312" w:eastAsia="楷体_GB2312" w:cs="楷体_GB2312"/>
          <w:b/>
          <w:bCs w:val="0"/>
          <w:kern w:val="2"/>
          <w:sz w:val="32"/>
          <w:szCs w:val="32"/>
          <w:lang w:val="en-US" w:eastAsia="zh-CN" w:bidi="ar-SA"/>
        </w:rPr>
      </w:pPr>
      <w:r>
        <w:rPr>
          <w:rFonts w:hint="eastAsia" w:ascii="楷体_GB2312" w:hAnsi="楷体_GB2312" w:eastAsia="楷体_GB2312" w:cs="楷体_GB2312"/>
          <w:b/>
          <w:bCs w:val="0"/>
          <w:kern w:val="2"/>
          <w:sz w:val="32"/>
          <w:szCs w:val="32"/>
          <w:lang w:val="en-US" w:eastAsia="zh-CN" w:bidi="ar-SA"/>
        </w:rPr>
        <w:t>（一）总结结论</w:t>
      </w:r>
    </w:p>
    <w:p>
      <w:pPr>
        <w:spacing w:line="560" w:lineRule="exact"/>
        <w:ind w:firstLine="640" w:firstLineChars="200"/>
        <w:rPr>
          <w:rFonts w:hint="eastAsia"/>
          <w:lang w:val="en-US" w:eastAsia="zh-CN"/>
        </w:rPr>
      </w:pPr>
      <w:r>
        <w:rPr>
          <w:rFonts w:hint="eastAsia" w:ascii="仿宋_GB2312" w:hAnsi="仿宋_GB2312" w:eastAsia="仿宋_GB2312" w:cs="仿宋_GB2312"/>
          <w:bCs/>
          <w:color w:val="000000"/>
          <w:sz w:val="32"/>
          <w:szCs w:val="32"/>
          <w:lang w:val="en-US" w:eastAsia="zh-CN"/>
        </w:rPr>
        <w:t>佛冈县迳头镇仓迳自来水厂供水工程</w:t>
      </w:r>
      <w:r>
        <w:rPr>
          <w:rFonts w:hint="eastAsia" w:ascii="仿宋_GB2312" w:hAnsi="仿宋_GB2312" w:eastAsia="仿宋_GB2312" w:cs="仿宋_GB2312"/>
          <w:color w:val="000000"/>
          <w:kern w:val="2"/>
          <w:sz w:val="32"/>
          <w:szCs w:val="32"/>
          <w:u w:val="none"/>
          <w:lang w:val="en-US" w:eastAsia="zh-CN" w:bidi="ar-SA"/>
        </w:rPr>
        <w:t>资金使用情况评价得分结果是依据年初设定绩效指标及评价表，通过对收集到的佐证材料全面客观地了解、对比目标值与实际结果后，基于项目资金实际使用情况，严格按照评分标准进行打分，计算出评价得分：100分，绩效评价结果等级为：优。</w:t>
      </w:r>
    </w:p>
    <w:p>
      <w:pPr>
        <w:pStyle w:val="6"/>
        <w:numPr>
          <w:ilvl w:val="0"/>
          <w:numId w:val="1"/>
        </w:numPr>
        <w:tabs>
          <w:tab w:val="right" w:leader="dot" w:pos="8958"/>
        </w:tabs>
        <w:snapToGrid w:val="0"/>
        <w:spacing w:line="560" w:lineRule="exact"/>
        <w:ind w:firstLine="643" w:firstLineChars="200"/>
        <w:rPr>
          <w:rFonts w:hint="eastAsia" w:ascii="楷体_GB2312" w:hAnsi="楷体_GB2312" w:eastAsia="楷体_GB2312" w:cs="楷体_GB2312"/>
          <w:b/>
          <w:bCs w:val="0"/>
          <w:kern w:val="2"/>
          <w:sz w:val="32"/>
          <w:szCs w:val="32"/>
          <w:lang w:val="en-US" w:eastAsia="zh-CN" w:bidi="ar-SA"/>
        </w:rPr>
      </w:pPr>
      <w:r>
        <w:rPr>
          <w:rFonts w:hint="eastAsia" w:ascii="楷体_GB2312" w:hAnsi="楷体_GB2312" w:eastAsia="楷体_GB2312" w:cs="楷体_GB2312"/>
          <w:b/>
          <w:bCs w:val="0"/>
          <w:kern w:val="2"/>
          <w:sz w:val="32"/>
          <w:szCs w:val="32"/>
          <w:lang w:val="en-US" w:eastAsia="zh-CN" w:bidi="ar-SA"/>
        </w:rPr>
        <w:t>各部分绩效分析。</w:t>
      </w:r>
    </w:p>
    <w:p>
      <w:pPr>
        <w:pStyle w:val="6"/>
        <w:numPr>
          <w:ilvl w:val="0"/>
          <w:numId w:val="0"/>
        </w:numPr>
        <w:tabs>
          <w:tab w:val="right" w:leader="dot" w:pos="8958"/>
        </w:tabs>
        <w:snapToGrid w:val="0"/>
        <w:spacing w:line="560" w:lineRule="exact"/>
        <w:ind w:firstLine="643" w:firstLineChars="200"/>
        <w:rPr>
          <w:rFonts w:hint="eastAsia" w:ascii="楷体_GB2312" w:hAnsi="楷体_GB2312" w:eastAsia="楷体_GB2312" w:cs="楷体_GB2312"/>
          <w:b/>
          <w:bCs w:val="0"/>
          <w:kern w:val="2"/>
          <w:sz w:val="32"/>
          <w:szCs w:val="32"/>
          <w:lang w:val="en-US" w:eastAsia="zh-CN" w:bidi="ar-SA"/>
        </w:rPr>
      </w:pPr>
      <w:bookmarkStart w:id="1" w:name="OLE_LINK1"/>
      <w:r>
        <w:rPr>
          <w:rFonts w:hint="eastAsia" w:ascii="楷体_GB2312" w:hAnsi="楷体_GB2312" w:eastAsia="楷体_GB2312" w:cs="楷体_GB2312"/>
          <w:b/>
          <w:bCs w:val="0"/>
          <w:kern w:val="2"/>
          <w:sz w:val="32"/>
          <w:szCs w:val="32"/>
          <w:lang w:val="en-US" w:eastAsia="zh-CN" w:bidi="ar-SA"/>
        </w:rPr>
        <w:t>（1）产出指标分析</w:t>
      </w:r>
    </w:p>
    <w:p>
      <w:pPr>
        <w:pStyle w:val="6"/>
        <w:keepNext w:val="0"/>
        <w:keepLines w:val="0"/>
        <w:pageBreakBefore w:val="0"/>
        <w:widowControl/>
        <w:numPr>
          <w:ilvl w:val="0"/>
          <w:numId w:val="0"/>
        </w:numPr>
        <w:tabs>
          <w:tab w:val="right" w:leader="dot" w:pos="8958"/>
        </w:tabs>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000000"/>
          <w:sz w:val="32"/>
          <w:szCs w:val="32"/>
          <w:u w:val="none"/>
          <w:lang w:val="en-US" w:eastAsia="zh-CN"/>
        </w:rPr>
      </w:pPr>
      <w:r>
        <w:rPr>
          <w:rFonts w:hint="eastAsia" w:ascii="仿宋" w:hAnsi="仿宋" w:eastAsia="仿宋" w:cs="仿宋"/>
          <w:color w:val="000000"/>
          <w:sz w:val="32"/>
          <w:szCs w:val="32"/>
          <w:u w:val="none"/>
          <w:lang w:eastAsia="zh-CN"/>
        </w:rPr>
        <w:t>产出指标分值</w:t>
      </w:r>
      <w:r>
        <w:rPr>
          <w:rFonts w:hint="eastAsia" w:ascii="仿宋" w:hAnsi="仿宋" w:eastAsia="仿宋" w:cs="仿宋"/>
          <w:color w:val="000000"/>
          <w:sz w:val="32"/>
          <w:szCs w:val="32"/>
          <w:u w:val="none"/>
          <w:lang w:val="en-US" w:eastAsia="zh-CN"/>
        </w:rPr>
        <w:t>40分，指标得分40分。</w:t>
      </w:r>
    </w:p>
    <w:p>
      <w:pPr>
        <w:pStyle w:val="6"/>
        <w:numPr>
          <w:ilvl w:val="0"/>
          <w:numId w:val="0"/>
        </w:numPr>
        <w:tabs>
          <w:tab w:val="right" w:leader="dot" w:pos="8958"/>
        </w:tabs>
        <w:snapToGrid w:val="0"/>
        <w:spacing w:line="560" w:lineRule="exact"/>
        <w:ind w:firstLine="640" w:firstLineChars="200"/>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1.数量指标</w:t>
      </w:r>
    </w:p>
    <w:p>
      <w:pPr>
        <w:pStyle w:val="6"/>
        <w:numPr>
          <w:ilvl w:val="0"/>
          <w:numId w:val="0"/>
        </w:numPr>
        <w:tabs>
          <w:tab w:val="right" w:leader="dot" w:pos="8958"/>
        </w:tabs>
        <w:snapToGrid w:val="0"/>
        <w:spacing w:line="560" w:lineRule="exact"/>
        <w:ind w:firstLine="640" w:firstLineChars="200"/>
        <w:rPr>
          <w:rFonts w:hint="eastAsia" w:ascii="仿宋" w:hAnsi="仿宋" w:eastAsia="仿宋" w:cs="仿宋"/>
          <w:color w:val="000000"/>
          <w:sz w:val="32"/>
          <w:szCs w:val="32"/>
          <w:u w:val="none"/>
          <w:lang w:val="en-US" w:eastAsia="zh-CN"/>
        </w:rPr>
      </w:pPr>
      <w:r>
        <w:rPr>
          <w:rFonts w:hint="eastAsia" w:ascii="仿宋_GB2312" w:hAnsi="仿宋_GB2312" w:eastAsia="仿宋_GB2312" w:cs="仿宋_GB2312"/>
          <w:bCs/>
          <w:color w:val="000000"/>
          <w:sz w:val="32"/>
          <w:szCs w:val="32"/>
          <w:lang w:val="en-US" w:eastAsia="zh-CN"/>
        </w:rPr>
        <w:t>2024年佛冈县迳头镇仓迳自来水厂供水工程</w:t>
      </w:r>
      <w:r>
        <w:rPr>
          <w:rFonts w:hint="eastAsia" w:ascii="仿宋_GB2312" w:hAnsi="仿宋_GB2312" w:eastAsia="仿宋_GB2312" w:cs="仿宋_GB2312"/>
          <w:bCs/>
          <w:kern w:val="2"/>
          <w:sz w:val="32"/>
          <w:szCs w:val="32"/>
          <w:lang w:val="en-US" w:eastAsia="zh-CN" w:bidi="ar-SA"/>
        </w:rPr>
        <w:t>新建供水主管8KM，</w:t>
      </w:r>
      <w:r>
        <w:rPr>
          <w:rFonts w:hint="eastAsia" w:ascii="仿宋" w:hAnsi="仿宋" w:eastAsia="仿宋" w:cs="仿宋"/>
          <w:color w:val="000000"/>
          <w:sz w:val="32"/>
          <w:szCs w:val="32"/>
          <w:u w:val="none"/>
          <w:lang w:val="en-US" w:eastAsia="zh-CN"/>
        </w:rPr>
        <w:t>完成绩效目标，达到年初预设的指标值。</w:t>
      </w:r>
    </w:p>
    <w:p>
      <w:pPr>
        <w:numPr>
          <w:ilvl w:val="0"/>
          <w:numId w:val="0"/>
        </w:numPr>
        <w:spacing w:line="560" w:lineRule="exact"/>
        <w:ind w:firstLine="640" w:firstLineChars="200"/>
        <w:rPr>
          <w:rFonts w:hint="eastAsia" w:ascii="仿宋" w:hAnsi="仿宋" w:eastAsia="仿宋" w:cs="仿宋"/>
          <w:b w:val="0"/>
          <w:bCs w:val="0"/>
          <w:color w:val="000000"/>
          <w:sz w:val="32"/>
          <w:szCs w:val="32"/>
          <w:u w:val="none"/>
          <w:lang w:eastAsia="zh-CN"/>
        </w:rPr>
      </w:pPr>
      <w:r>
        <w:rPr>
          <w:rFonts w:hint="eastAsia" w:ascii="仿宋" w:hAnsi="仿宋" w:eastAsia="仿宋" w:cs="仿宋"/>
          <w:b w:val="0"/>
          <w:bCs w:val="0"/>
          <w:color w:val="000000"/>
          <w:sz w:val="32"/>
          <w:szCs w:val="32"/>
          <w:u w:val="none"/>
          <w:lang w:val="en-US" w:eastAsia="zh-CN"/>
        </w:rPr>
        <w:t>2.</w:t>
      </w:r>
      <w:r>
        <w:rPr>
          <w:rFonts w:hint="eastAsia" w:ascii="仿宋" w:hAnsi="仿宋" w:eastAsia="仿宋" w:cs="仿宋"/>
          <w:b w:val="0"/>
          <w:bCs w:val="0"/>
          <w:color w:val="000000"/>
          <w:sz w:val="32"/>
          <w:szCs w:val="32"/>
          <w:u w:val="none"/>
          <w:lang w:eastAsia="zh-CN"/>
        </w:rPr>
        <w:t>项目质量指标</w:t>
      </w:r>
    </w:p>
    <w:p>
      <w:pPr>
        <w:numPr>
          <w:ilvl w:val="0"/>
          <w:numId w:val="0"/>
        </w:numPr>
        <w:spacing w:line="560" w:lineRule="exact"/>
        <w:rPr>
          <w:rFonts w:hint="eastAsia" w:ascii="仿宋" w:hAnsi="仿宋" w:eastAsia="仿宋" w:cs="仿宋"/>
          <w:color w:val="000000"/>
          <w:sz w:val="32"/>
          <w:szCs w:val="32"/>
          <w:u w:val="none"/>
          <w:lang w:val="en-US" w:eastAsia="zh-CN"/>
        </w:rPr>
      </w:pPr>
      <w:r>
        <w:rPr>
          <w:rFonts w:hint="eastAsia" w:ascii="仿宋_GB2312" w:hAnsi="仿宋_GB2312" w:eastAsia="仿宋_GB2312" w:cs="仿宋_GB2312"/>
          <w:bCs/>
          <w:color w:val="000000"/>
          <w:sz w:val="32"/>
          <w:szCs w:val="32"/>
          <w:lang w:val="en-US" w:eastAsia="zh-CN"/>
        </w:rPr>
        <w:t>佛冈县迳头镇仓迳自来水厂供水工程</w:t>
      </w:r>
      <w:r>
        <w:rPr>
          <w:rFonts w:hint="eastAsia" w:ascii="仿宋" w:hAnsi="仿宋" w:eastAsia="仿宋" w:cs="仿宋"/>
          <w:color w:val="000000"/>
          <w:sz w:val="32"/>
          <w:szCs w:val="32"/>
          <w:u w:val="none"/>
          <w:lang w:eastAsia="zh-CN"/>
        </w:rPr>
        <w:t>验收合格率</w:t>
      </w:r>
      <w:r>
        <w:rPr>
          <w:rFonts w:hint="eastAsia" w:ascii="仿宋" w:hAnsi="仿宋" w:eastAsia="仿宋" w:cs="仿宋"/>
          <w:color w:val="000000"/>
          <w:sz w:val="32"/>
          <w:szCs w:val="32"/>
          <w:u w:val="none"/>
          <w:lang w:val="en-US" w:eastAsia="zh-CN"/>
        </w:rPr>
        <w:t>100%。</w:t>
      </w:r>
    </w:p>
    <w:p>
      <w:pPr>
        <w:numPr>
          <w:ilvl w:val="0"/>
          <w:numId w:val="0"/>
        </w:numPr>
        <w:spacing w:line="560" w:lineRule="exact"/>
        <w:ind w:firstLine="640" w:firstLineChars="200"/>
        <w:rPr>
          <w:rFonts w:hint="eastAsia" w:ascii="仿宋_GB2312" w:hAnsi="仿宋_GB2312" w:eastAsia="仿宋_GB2312" w:cs="仿宋_GB2312"/>
          <w:b w:val="0"/>
          <w:bCs w:val="0"/>
          <w:color w:val="000000"/>
          <w:sz w:val="32"/>
          <w:szCs w:val="32"/>
          <w:u w:val="none"/>
          <w:lang w:eastAsia="zh-CN"/>
        </w:rPr>
      </w:pPr>
      <w:r>
        <w:rPr>
          <w:rFonts w:hint="eastAsia" w:ascii="仿宋_GB2312" w:hAnsi="仿宋_GB2312" w:eastAsia="仿宋_GB2312" w:cs="仿宋_GB2312"/>
          <w:b w:val="0"/>
          <w:bCs w:val="0"/>
          <w:color w:val="000000"/>
          <w:sz w:val="32"/>
          <w:szCs w:val="32"/>
          <w:u w:val="none"/>
          <w:lang w:val="en-US" w:eastAsia="zh-CN"/>
        </w:rPr>
        <w:t>3.</w:t>
      </w:r>
      <w:r>
        <w:rPr>
          <w:rFonts w:hint="eastAsia" w:ascii="仿宋_GB2312" w:hAnsi="仿宋_GB2312" w:eastAsia="仿宋_GB2312" w:cs="仿宋_GB2312"/>
          <w:b w:val="0"/>
          <w:bCs w:val="0"/>
          <w:color w:val="000000"/>
          <w:sz w:val="32"/>
          <w:szCs w:val="32"/>
          <w:u w:val="none"/>
          <w:lang w:eastAsia="zh-CN"/>
        </w:rPr>
        <w:t>项目时效指标</w:t>
      </w:r>
    </w:p>
    <w:p>
      <w:pPr>
        <w:numPr>
          <w:ilvl w:val="0"/>
          <w:numId w:val="0"/>
        </w:numPr>
        <w:spacing w:line="560" w:lineRule="exact"/>
        <w:rPr>
          <w:rFonts w:hint="default" w:ascii="仿宋" w:hAnsi="仿宋" w:eastAsia="仿宋" w:cs="仿宋"/>
          <w:color w:val="000000"/>
          <w:sz w:val="32"/>
          <w:szCs w:val="32"/>
          <w:u w:val="none"/>
          <w:lang w:val="en-US" w:eastAsia="zh-CN"/>
        </w:rPr>
      </w:pPr>
      <w:r>
        <w:rPr>
          <w:rFonts w:hint="eastAsia" w:ascii="仿宋_GB2312" w:hAnsi="仿宋_GB2312" w:eastAsia="仿宋_GB2312" w:cs="仿宋_GB2312"/>
          <w:bCs/>
          <w:color w:val="000000"/>
          <w:sz w:val="32"/>
          <w:szCs w:val="32"/>
          <w:lang w:val="en-US" w:eastAsia="zh-CN"/>
        </w:rPr>
        <w:t>佛冈县迳头镇仓迳自来水厂供水工程</w:t>
      </w:r>
      <w:r>
        <w:rPr>
          <w:rFonts w:hint="eastAsia" w:ascii="仿宋" w:hAnsi="仿宋" w:eastAsia="仿宋" w:cs="仿宋"/>
          <w:color w:val="000000"/>
          <w:sz w:val="32"/>
          <w:szCs w:val="32"/>
          <w:u w:val="none"/>
          <w:lang w:val="en-US" w:eastAsia="zh-CN"/>
        </w:rPr>
        <w:t>项目按计划开工率100%</w:t>
      </w:r>
    </w:p>
    <w:p>
      <w:pPr>
        <w:numPr>
          <w:ilvl w:val="0"/>
          <w:numId w:val="0"/>
        </w:numPr>
        <w:spacing w:line="560" w:lineRule="exact"/>
        <w:ind w:firstLine="640" w:firstLineChars="200"/>
        <w:rPr>
          <w:rFonts w:hint="default" w:ascii="仿宋" w:hAnsi="仿宋" w:eastAsia="仿宋" w:cs="仿宋"/>
          <w:b w:val="0"/>
          <w:bCs w:val="0"/>
          <w:color w:val="000000"/>
          <w:sz w:val="32"/>
          <w:szCs w:val="32"/>
          <w:u w:val="none"/>
          <w:lang w:val="en-US" w:eastAsia="zh-CN"/>
        </w:rPr>
      </w:pPr>
      <w:r>
        <w:rPr>
          <w:rFonts w:hint="eastAsia" w:ascii="仿宋" w:hAnsi="仿宋" w:eastAsia="仿宋" w:cs="仿宋"/>
          <w:b w:val="0"/>
          <w:bCs w:val="0"/>
          <w:color w:val="000000"/>
          <w:sz w:val="32"/>
          <w:szCs w:val="32"/>
          <w:u w:val="none"/>
          <w:lang w:val="en-US" w:eastAsia="zh-CN"/>
        </w:rPr>
        <w:t>4.</w:t>
      </w:r>
      <w:r>
        <w:rPr>
          <w:rFonts w:hint="default" w:ascii="仿宋" w:hAnsi="仿宋" w:eastAsia="仿宋" w:cs="仿宋"/>
          <w:b w:val="0"/>
          <w:bCs w:val="0"/>
          <w:color w:val="000000"/>
          <w:sz w:val="32"/>
          <w:szCs w:val="32"/>
          <w:u w:val="none"/>
          <w:lang w:val="en-US" w:eastAsia="zh-CN"/>
        </w:rPr>
        <w:t>项目成本指标</w:t>
      </w:r>
    </w:p>
    <w:p>
      <w:pPr>
        <w:pStyle w:val="6"/>
        <w:keepNext w:val="0"/>
        <w:keepLines w:val="0"/>
        <w:pageBreakBefore w:val="0"/>
        <w:widowControl w:val="0"/>
        <w:numPr>
          <w:ilvl w:val="0"/>
          <w:numId w:val="0"/>
        </w:numPr>
        <w:tabs>
          <w:tab w:val="right" w:leader="dot" w:pos="8958"/>
        </w:tabs>
        <w:kinsoku/>
        <w:wordWrap/>
        <w:overflowPunct/>
        <w:topLinePunct w:val="0"/>
        <w:bidi w:val="0"/>
        <w:snapToGrid w:val="0"/>
        <w:spacing w:line="560" w:lineRule="exact"/>
        <w:ind w:firstLine="640" w:firstLineChars="200"/>
        <w:textAlignment w:val="auto"/>
        <w:rPr>
          <w:rFonts w:hint="eastAsia" w:ascii="仿宋" w:hAnsi="仿宋" w:eastAsia="仿宋" w:cs="仿宋"/>
          <w:color w:val="000000"/>
          <w:sz w:val="32"/>
          <w:szCs w:val="32"/>
          <w:u w:val="none"/>
          <w:lang w:val="en-US" w:eastAsia="zh-CN"/>
        </w:rPr>
      </w:pPr>
      <w:r>
        <w:rPr>
          <w:rFonts w:hint="eastAsia" w:ascii="仿宋_GB2312" w:hAnsi="仿宋_GB2312" w:eastAsia="仿宋_GB2312" w:cs="仿宋_GB2312"/>
          <w:bCs/>
          <w:color w:val="000000"/>
          <w:sz w:val="32"/>
          <w:szCs w:val="32"/>
          <w:lang w:val="en-US" w:eastAsia="zh-CN"/>
        </w:rPr>
        <w:t>佛冈县迳头镇仓迳自来水厂供水工程实施周期投资概算23999.68万元，</w:t>
      </w:r>
      <w:r>
        <w:rPr>
          <w:rFonts w:hint="eastAsia" w:ascii="仿宋_GB2312" w:hAnsi="仿宋_GB2312" w:eastAsia="仿宋_GB2312" w:cs="仿宋_GB2312"/>
          <w:color w:val="000000"/>
          <w:sz w:val="32"/>
          <w:szCs w:val="32"/>
          <w:u w:val="none"/>
          <w:lang w:val="en-US" w:eastAsia="zh-CN"/>
        </w:rPr>
        <w:t>2024年度下达专项债券资金1000万元，</w:t>
      </w:r>
      <w:r>
        <w:rPr>
          <w:rFonts w:hint="eastAsia" w:ascii="仿宋_GB2312" w:hAnsi="仿宋_GB2312" w:eastAsia="仿宋_GB2312" w:cs="仿宋_GB2312"/>
          <w:color w:val="000000"/>
          <w:kern w:val="2"/>
          <w:sz w:val="32"/>
          <w:szCs w:val="32"/>
          <w:highlight w:val="none"/>
          <w:lang w:val="en-US" w:eastAsia="zh-CN" w:bidi="ar-SA"/>
        </w:rPr>
        <w:t>预算控制1000万</w:t>
      </w:r>
      <w:r>
        <w:rPr>
          <w:rFonts w:hint="eastAsia" w:ascii="仿宋" w:hAnsi="仿宋" w:eastAsia="仿宋" w:cs="仿宋"/>
          <w:color w:val="000000"/>
          <w:sz w:val="32"/>
          <w:szCs w:val="32"/>
          <w:u w:val="none"/>
          <w:lang w:val="en-US" w:eastAsia="zh-CN"/>
        </w:rPr>
        <w:t>。</w:t>
      </w:r>
    </w:p>
    <w:p>
      <w:pPr>
        <w:spacing w:line="560" w:lineRule="exact"/>
        <w:ind w:firstLine="643" w:firstLineChars="200"/>
        <w:rPr>
          <w:rFonts w:hint="eastAsia" w:ascii="仿宋" w:hAnsi="仿宋" w:eastAsia="仿宋" w:cs="仿宋"/>
          <w:b/>
          <w:bCs/>
          <w:color w:val="000000"/>
          <w:sz w:val="32"/>
          <w:szCs w:val="32"/>
          <w:u w:val="none"/>
          <w:lang w:eastAsia="zh-CN"/>
        </w:rPr>
      </w:pPr>
      <w:r>
        <w:rPr>
          <w:rFonts w:hint="eastAsia" w:ascii="仿宋" w:hAnsi="仿宋" w:eastAsia="仿宋" w:cs="仿宋"/>
          <w:b/>
          <w:bCs/>
          <w:color w:val="000000"/>
          <w:sz w:val="32"/>
          <w:szCs w:val="32"/>
          <w:u w:val="none"/>
          <w:lang w:eastAsia="zh-CN"/>
        </w:rPr>
        <w:t>（</w:t>
      </w:r>
      <w:r>
        <w:rPr>
          <w:rFonts w:hint="eastAsia" w:ascii="仿宋" w:hAnsi="仿宋" w:eastAsia="仿宋" w:cs="仿宋"/>
          <w:b/>
          <w:bCs/>
          <w:color w:val="000000"/>
          <w:sz w:val="32"/>
          <w:szCs w:val="32"/>
          <w:u w:val="none"/>
          <w:lang w:val="en-US" w:eastAsia="zh-CN"/>
        </w:rPr>
        <w:t>2</w:t>
      </w:r>
      <w:r>
        <w:rPr>
          <w:rFonts w:hint="eastAsia" w:ascii="仿宋" w:hAnsi="仿宋" w:eastAsia="仿宋" w:cs="仿宋"/>
          <w:b/>
          <w:bCs/>
          <w:color w:val="000000"/>
          <w:sz w:val="32"/>
          <w:szCs w:val="32"/>
          <w:u w:val="none"/>
          <w:lang w:eastAsia="zh-CN"/>
        </w:rPr>
        <w:t>）效益指标完成情况分析</w:t>
      </w:r>
    </w:p>
    <w:p>
      <w:pPr>
        <w:pStyle w:val="2"/>
        <w:spacing w:line="560" w:lineRule="exact"/>
        <w:ind w:firstLine="640" w:firstLineChars="200"/>
        <w:rPr>
          <w:rFonts w:hint="eastAsia" w:ascii="仿宋" w:hAnsi="仿宋" w:eastAsia="仿宋" w:cs="仿宋"/>
          <w:color w:val="000000"/>
          <w:sz w:val="32"/>
          <w:szCs w:val="32"/>
          <w:u w:val="none"/>
          <w:lang w:val="en-US" w:eastAsia="zh-CN"/>
        </w:rPr>
      </w:pPr>
      <w:r>
        <w:rPr>
          <w:rFonts w:hint="eastAsia" w:ascii="仿宋" w:hAnsi="仿宋" w:eastAsia="仿宋" w:cs="仿宋"/>
          <w:color w:val="000000"/>
          <w:sz w:val="32"/>
          <w:szCs w:val="32"/>
          <w:u w:val="none"/>
          <w:lang w:eastAsia="zh-CN"/>
        </w:rPr>
        <w:t>效益指标分值</w:t>
      </w:r>
      <w:r>
        <w:rPr>
          <w:rFonts w:hint="eastAsia" w:ascii="仿宋" w:hAnsi="仿宋" w:eastAsia="仿宋" w:cs="仿宋"/>
          <w:color w:val="000000"/>
          <w:sz w:val="32"/>
          <w:szCs w:val="32"/>
          <w:u w:val="none"/>
          <w:lang w:val="en-US" w:eastAsia="zh-CN"/>
        </w:rPr>
        <w:t>30分，指标得分30分。</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 w:val="0"/>
          <w:bCs w:val="0"/>
          <w:color w:val="000000"/>
          <w:sz w:val="32"/>
          <w:szCs w:val="32"/>
          <w:u w:val="none"/>
          <w:lang w:val="en-US" w:eastAsia="zh-CN"/>
        </w:rPr>
      </w:pPr>
      <w:r>
        <w:rPr>
          <w:rFonts w:hint="eastAsia" w:ascii="仿宋" w:hAnsi="仿宋" w:eastAsia="仿宋" w:cs="仿宋"/>
          <w:b w:val="0"/>
          <w:bCs w:val="0"/>
          <w:color w:val="000000"/>
          <w:sz w:val="32"/>
          <w:szCs w:val="32"/>
          <w:u w:val="none"/>
          <w:lang w:val="en-US" w:eastAsia="zh-CN"/>
        </w:rPr>
        <w:t>1.经济效益指标</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000000"/>
          <w:sz w:val="32"/>
          <w:szCs w:val="32"/>
          <w:u w:val="none"/>
          <w:lang w:val="en-US" w:eastAsia="zh-CN"/>
        </w:rPr>
      </w:pPr>
      <w:r>
        <w:rPr>
          <w:rFonts w:hint="eastAsia" w:ascii="仿宋_GB2312" w:hAnsi="仿宋_GB2312" w:eastAsia="仿宋_GB2312" w:cs="仿宋_GB2312"/>
          <w:bCs/>
          <w:color w:val="000000"/>
          <w:sz w:val="32"/>
          <w:szCs w:val="32"/>
          <w:lang w:val="en-US" w:eastAsia="zh-CN"/>
        </w:rPr>
        <w:t>佛冈县迳头镇仓迳自来水厂供水工程</w:t>
      </w:r>
      <w:r>
        <w:rPr>
          <w:rFonts w:hint="eastAsia" w:ascii="仿宋" w:hAnsi="仿宋" w:eastAsia="仿宋" w:cs="仿宋"/>
          <w:color w:val="000000"/>
          <w:sz w:val="32"/>
          <w:szCs w:val="32"/>
          <w:u w:val="none"/>
          <w:lang w:val="en-US" w:eastAsia="zh-CN"/>
        </w:rPr>
        <w:t>实施后，保障乡镇及周边农村饮水安全，完善供水管网建设有利于带动当地经济快速发展，为国民经济持续健康发展提供安全保障。</w:t>
      </w:r>
    </w:p>
    <w:p>
      <w:pPr>
        <w:pStyle w:val="4"/>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b w:val="0"/>
          <w:bCs w:val="0"/>
          <w:color w:val="000000"/>
          <w:sz w:val="32"/>
          <w:szCs w:val="32"/>
          <w:u w:val="none"/>
          <w:lang w:val="en-US" w:eastAsia="zh-CN"/>
        </w:rPr>
      </w:pPr>
      <w:r>
        <w:rPr>
          <w:rFonts w:hint="eastAsia" w:ascii="仿宋_GB2312" w:hAnsi="仿宋_GB2312" w:eastAsia="仿宋_GB2312" w:cs="仿宋_GB2312"/>
          <w:b w:val="0"/>
          <w:bCs w:val="0"/>
          <w:color w:val="000000"/>
          <w:sz w:val="32"/>
          <w:szCs w:val="32"/>
          <w:lang w:val="en-US" w:eastAsia="zh-CN"/>
        </w:rPr>
        <w:t>2.社会效益指标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Cs/>
          <w:color w:val="000000"/>
          <w:sz w:val="32"/>
          <w:szCs w:val="32"/>
          <w:lang w:val="en-US" w:eastAsia="zh-CN"/>
        </w:rPr>
        <w:t>佛冈县迳头镇仓迳自来水厂供水工程</w:t>
      </w:r>
      <w:r>
        <w:rPr>
          <w:rFonts w:hint="eastAsia" w:ascii="仿宋_GB2312" w:hAnsi="仿宋_GB2312" w:eastAsia="仿宋_GB2312" w:cs="仿宋_GB2312"/>
          <w:color w:val="000000"/>
          <w:sz w:val="32"/>
          <w:szCs w:val="32"/>
          <w:lang w:val="en-US" w:eastAsia="zh-CN"/>
        </w:rPr>
        <w:t>实施后，优化当地供水水质，满足当地人民群众对健康生活质量的要求，提供生活质量，保障居民社会生活平稳。</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3.生态效益指标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通过项目的建设，能够提高水资源的利用效率，减少水资源的浪费，同时保障水资源的可持续利用。在保障人类生产和发展的同时，保护水生态环境。</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4.可持续影响指标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通过项目的建设，完善供水管网是实现社会健康、协调和可持续发展的需要，从宏观战略的观点上看，具有长远的战略发展意义。</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（三）项目满意度指标完成情况分析</w:t>
      </w:r>
    </w:p>
    <w:p>
      <w:pPr>
        <w:pStyle w:val="2"/>
        <w:spacing w:line="560" w:lineRule="exact"/>
        <w:ind w:firstLine="640" w:firstLineChars="200"/>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b w:val="0"/>
          <w:bCs/>
          <w:color w:val="000000"/>
          <w:sz w:val="32"/>
          <w:szCs w:val="32"/>
          <w:lang w:val="en-US" w:eastAsia="zh-CN"/>
        </w:rPr>
        <w:t>指标分值10分，得10分。</w:t>
      </w:r>
    </w:p>
    <w:p>
      <w:pPr>
        <w:pStyle w:val="2"/>
        <w:spacing w:line="560" w:lineRule="exact"/>
        <w:ind w:firstLine="640" w:firstLineChars="200"/>
        <w:rPr>
          <w:rFonts w:hint="default"/>
          <w:lang w:val="en-US" w:eastAsia="zh-CN"/>
        </w:rPr>
      </w:pPr>
      <w:r>
        <w:rPr>
          <w:rFonts w:hint="eastAsia" w:ascii="仿宋_GB2312" w:hAnsi="仿宋_GB2312" w:eastAsia="仿宋_GB2312" w:cs="仿宋_GB2312"/>
          <w:color w:val="000000"/>
          <w:sz w:val="32"/>
          <w:szCs w:val="32"/>
          <w:lang w:val="en-US" w:eastAsia="zh-CN"/>
        </w:rPr>
        <w:t>对</w:t>
      </w:r>
      <w:r>
        <w:rPr>
          <w:rFonts w:hint="eastAsia" w:ascii="仿宋_GB2312" w:hAnsi="仿宋_GB2312" w:eastAsia="仿宋_GB2312" w:cs="仿宋_GB2312"/>
          <w:bCs/>
          <w:color w:val="000000"/>
          <w:sz w:val="32"/>
          <w:szCs w:val="32"/>
          <w:lang w:val="en-US" w:eastAsia="zh-CN"/>
        </w:rPr>
        <w:t>佛冈县迳头镇仓迳自来水厂供水工程</w:t>
      </w:r>
      <w:r>
        <w:rPr>
          <w:rFonts w:hint="eastAsia" w:ascii="仿宋_GB2312" w:hAnsi="仿宋_GB2312" w:eastAsia="仿宋_GB2312" w:cs="仿宋_GB2312"/>
          <w:color w:val="000000"/>
          <w:sz w:val="32"/>
          <w:szCs w:val="32"/>
          <w:lang w:val="en-US" w:eastAsia="zh-CN"/>
        </w:rPr>
        <w:t>进行问卷调查所获得的的数据进行整理分析，群众对农村供水建设工作的满意度为100%。</w:t>
      </w:r>
      <w:bookmarkEnd w:id="1"/>
    </w:p>
    <w:p>
      <w:pPr>
        <w:pStyle w:val="6"/>
        <w:numPr>
          <w:ilvl w:val="0"/>
          <w:numId w:val="0"/>
        </w:numPr>
        <w:tabs>
          <w:tab w:val="right" w:leader="dot" w:pos="8958"/>
        </w:tabs>
        <w:snapToGrid w:val="0"/>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三、主要绩效</w:t>
      </w:r>
    </w:p>
    <w:p>
      <w:pPr>
        <w:snapToGrid w:val="0"/>
        <w:spacing w:line="560" w:lineRule="exact"/>
        <w:rPr>
          <w:rFonts w:hint="default" w:eastAsia="黑体"/>
          <w:sz w:val="32"/>
          <w:szCs w:val="32"/>
          <w:lang w:val="en-US" w:eastAsia="zh-CN"/>
        </w:rPr>
      </w:pPr>
      <w:r>
        <w:rPr>
          <w:rFonts w:hint="eastAsia" w:ascii="黑体" w:hAnsi="黑体" w:eastAsia="黑体" w:cs="黑体"/>
          <w:bCs/>
          <w:sz w:val="32"/>
          <w:szCs w:val="32"/>
          <w:lang w:val="en-US" w:eastAsia="zh-CN"/>
        </w:rPr>
        <w:t xml:space="preserve">   </w:t>
      </w:r>
      <w:r>
        <w:rPr>
          <w:rFonts w:hint="eastAsia" w:ascii="仿宋_GB2312" w:hAnsi="仿宋_GB2312" w:eastAsia="仿宋_GB2312" w:cs="仿宋_GB2312"/>
          <w:bCs/>
          <w:sz w:val="32"/>
          <w:szCs w:val="32"/>
          <w:lang w:val="en-US" w:eastAsia="zh-CN"/>
        </w:rPr>
        <w:t>新建仓迳自来水厂供水工程保证镇区及周边村委居民生活及工业企业用水需求，符合迳头镇有关文件和规划要求，是全面提高迳头镇及周边全域自然村饮水安全保障水平，促进城乡一体化发展的重要民生工程。</w:t>
      </w:r>
    </w:p>
    <w:p>
      <w:pPr>
        <w:pStyle w:val="6"/>
        <w:numPr>
          <w:ilvl w:val="0"/>
          <w:numId w:val="2"/>
        </w:numPr>
        <w:tabs>
          <w:tab w:val="right" w:leader="dot" w:pos="8958"/>
        </w:tabs>
        <w:snapToGrid w:val="0"/>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存在问题</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绩效指标设定不够细化，对绩效目标的社会效益、生态效益、可持续等方面未设立具体的指标，绩效指标设定的科学性有待提高。</w:t>
      </w:r>
    </w:p>
    <w:p>
      <w:pPr>
        <w:numPr>
          <w:ilvl w:val="0"/>
          <w:numId w:val="0"/>
        </w:numPr>
        <w:snapToGrid w:val="0"/>
        <w:spacing w:line="560" w:lineRule="exact"/>
        <w:ind w:firstLine="640" w:firstLineChars="200"/>
        <w:rPr>
          <w:rFonts w:hint="eastAsia" w:ascii="黑体" w:hAnsi="黑体" w:eastAsia="黑体" w:cs="黑体"/>
          <w:bCs/>
          <w:sz w:val="32"/>
          <w:szCs w:val="32"/>
          <w:lang w:val="en-US" w:eastAsia="zh-CN"/>
        </w:rPr>
      </w:pPr>
      <w:r>
        <w:rPr>
          <w:rFonts w:hint="eastAsia" w:ascii="黑体" w:hAnsi="黑体" w:eastAsia="黑体" w:cs="黑体"/>
          <w:bCs/>
          <w:sz w:val="32"/>
          <w:szCs w:val="32"/>
        </w:rPr>
        <w:t>五、</w:t>
      </w:r>
      <w:r>
        <w:rPr>
          <w:rFonts w:hint="eastAsia" w:ascii="黑体" w:hAnsi="黑体" w:eastAsia="黑体" w:cs="黑体"/>
          <w:bCs/>
          <w:sz w:val="32"/>
          <w:szCs w:val="32"/>
          <w:lang w:eastAsia="zh-CN"/>
        </w:rPr>
        <w:t>改进措施</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申报债券项目要进一步夯实基础，做好债券前期工作。项目实施单位需高度重视项目预期受益与融资平衡方案及可行性研究报告的编制，充分论证。二是做好项目事前绩效评估，提高成本测算的准确性，三是设置完整细化的绩效指标、完善相应业务和财务管理制度，便于项目日常管理、考核和事后评价，提高财政资金的使用效益，提升财政资金使用的科学化、精细化。</w:t>
      </w:r>
    </w:p>
    <w:p>
      <w:pPr>
        <w:snapToGrid w:val="0"/>
        <w:spacing w:line="560" w:lineRule="exact"/>
        <w:jc w:val="center"/>
        <w:rPr>
          <w:rFonts w:hint="eastAsia" w:ascii="方正小标宋简体" w:hAnsi="方正小标宋简体" w:eastAsia="方正小标宋简体" w:cs="方正小标宋简体"/>
          <w:sz w:val="32"/>
          <w:szCs w:val="32"/>
          <w:lang w:val="en-US" w:eastAsia="zh-CN"/>
        </w:rPr>
      </w:pPr>
    </w:p>
    <w:p>
      <w:pPr>
        <w:snapToGrid w:val="0"/>
        <w:spacing w:line="560" w:lineRule="exact"/>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第二部分：分析报告</w:t>
      </w:r>
    </w:p>
    <w:p>
      <w:pPr>
        <w:snapToGrid w:val="0"/>
        <w:spacing w:line="560" w:lineRule="exact"/>
        <w:rPr>
          <w:rFonts w:hint="eastAsia" w:ascii="仿宋_GB2312" w:hAnsi="仿宋_GB2312" w:eastAsia="仿宋_GB2312" w:cs="仿宋_GB2312"/>
          <w:sz w:val="32"/>
          <w:szCs w:val="32"/>
          <w:lang w:val="en-US" w:eastAsia="zh-CN"/>
        </w:rPr>
      </w:pPr>
    </w:p>
    <w:p>
      <w:pPr>
        <w:numPr>
          <w:ilvl w:val="0"/>
          <w:numId w:val="0"/>
        </w:numPr>
        <w:snapToGrid w:val="0"/>
        <w:spacing w:line="560" w:lineRule="exact"/>
        <w:ind w:firstLine="640" w:firstLineChars="200"/>
        <w:rPr>
          <w:rFonts w:hint="eastAsia" w:ascii="黑体" w:hAnsi="黑体" w:eastAsia="黑体" w:cs="黑体"/>
          <w:sz w:val="32"/>
          <w:szCs w:val="32"/>
          <w:highlight w:val="green"/>
          <w:lang w:val="en-US" w:eastAsia="zh-CN"/>
        </w:rPr>
      </w:pPr>
      <w:r>
        <w:rPr>
          <w:rFonts w:hint="eastAsia" w:ascii="黑体" w:hAnsi="黑体" w:eastAsia="黑体" w:cs="黑体"/>
          <w:sz w:val="32"/>
          <w:szCs w:val="32"/>
          <w:lang w:val="en-US" w:eastAsia="zh-CN"/>
        </w:rPr>
        <w:t>一、基本情况</w:t>
      </w:r>
    </w:p>
    <w:p>
      <w:pPr>
        <w:snapToGrid w:val="0"/>
        <w:spacing w:line="560" w:lineRule="exact"/>
        <w:ind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t>（一）项目基本情况。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（1）项目所处区域财政经济情况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广东省清远市下辖县，位于广东省中部，珠江三角洲大三角边缘，属山区县，与从化、新丰、英德和清远市清城区毗邻，是历代兵家必争之地。地形地势自东北向西南倾斜，境内低山、丘陵、谷地、平原交错，面积1295平方公里，六普户籍人口32.07万。佛冈有多处的史前文化遗址，且留存西周的古窑，</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春秋时期的青铜剑、唐宋的古道等。</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佛冈县2021年至2023年地区生产总值分别为158.52亿元、161.34亿元和171.57亿元，政府性基金支出分别为11.80亿元、16.79亿元和18.76亿元。</w:t>
      </w:r>
    </w:p>
    <w:p>
      <w:pPr>
        <w:spacing w:line="560" w:lineRule="exact"/>
        <w:ind w:firstLine="0" w:firstLineChars="0"/>
        <w:jc w:val="center"/>
        <w:rPr>
          <w:rFonts w:hint="eastAsia" w:ascii="仿宋_GB2312" w:hAnsi="仿宋_GB2312" w:eastAsia="仿宋_GB2312" w:cs="仿宋_GB2312"/>
          <w:color w:val="auto"/>
          <w:szCs w:val="28"/>
          <w:highlight w:val="none"/>
        </w:rPr>
      </w:pPr>
      <w:r>
        <w:rPr>
          <w:rFonts w:hint="eastAsia" w:ascii="仿宋_GB2312" w:hAnsi="仿宋_GB2312" w:eastAsia="仿宋_GB2312" w:cs="仿宋_GB2312"/>
          <w:color w:val="auto"/>
          <w:szCs w:val="28"/>
          <w:highlight w:val="none"/>
        </w:rPr>
        <w:t>近三年佛冈县财政经济情况</w:t>
      </w:r>
    </w:p>
    <w:tbl>
      <w:tblPr>
        <w:tblStyle w:val="7"/>
        <w:tblW w:w="911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502"/>
        <w:gridCol w:w="1433"/>
        <w:gridCol w:w="1530"/>
        <w:gridCol w:w="165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502" w:type="dxa"/>
            <w:tcBorders>
              <w:left w:val="single" w:color="auto" w:sz="4" w:space="0"/>
            </w:tcBorders>
            <w:shd w:val="clear" w:color="auto" w:fill="BEBEBE"/>
            <w:noWrap w:val="0"/>
            <w:vAlign w:val="center"/>
          </w:tcPr>
          <w:p>
            <w:pPr>
              <w:spacing w:line="560" w:lineRule="exact"/>
              <w:ind w:firstLine="48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项目</w:t>
            </w:r>
          </w:p>
        </w:tc>
        <w:tc>
          <w:tcPr>
            <w:tcW w:w="1433" w:type="dxa"/>
            <w:shd w:val="clear" w:color="auto" w:fill="BEBEBE"/>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2021年</w:t>
            </w:r>
          </w:p>
        </w:tc>
        <w:tc>
          <w:tcPr>
            <w:tcW w:w="1530" w:type="dxa"/>
            <w:shd w:val="clear" w:color="auto" w:fill="BEBEBE"/>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w:t>
            </w:r>
            <w:r>
              <w:rPr>
                <w:rFonts w:hint="eastAsia" w:ascii="仿宋_GB2312" w:hAnsi="黑体" w:eastAsia="仿宋_GB2312" w:cs="黑体"/>
                <w:bCs/>
                <w:color w:val="auto"/>
                <w:sz w:val="24"/>
                <w:szCs w:val="24"/>
                <w:highlight w:val="none"/>
                <w:lang w:val="en-US" w:eastAsia="zh-CN"/>
              </w:rPr>
              <w:t>2</w:t>
            </w:r>
            <w:r>
              <w:rPr>
                <w:rFonts w:hint="eastAsia" w:ascii="仿宋_GB2312" w:hAnsi="黑体" w:eastAsia="仿宋_GB2312" w:cs="黑体"/>
                <w:bCs/>
                <w:color w:val="auto"/>
                <w:sz w:val="24"/>
                <w:szCs w:val="24"/>
                <w:highlight w:val="none"/>
              </w:rPr>
              <w:t>年</w:t>
            </w:r>
          </w:p>
        </w:tc>
        <w:tc>
          <w:tcPr>
            <w:tcW w:w="1653" w:type="dxa"/>
            <w:tcBorders>
              <w:right w:val="single" w:color="auto" w:sz="4" w:space="0"/>
            </w:tcBorders>
            <w:shd w:val="clear" w:color="auto" w:fill="BEBEBE"/>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w:t>
            </w:r>
            <w:r>
              <w:rPr>
                <w:rFonts w:hint="eastAsia" w:ascii="仿宋_GB2312" w:hAnsi="黑体" w:eastAsia="仿宋_GB2312" w:cs="黑体"/>
                <w:bCs/>
                <w:color w:val="auto"/>
                <w:sz w:val="24"/>
                <w:szCs w:val="24"/>
                <w:highlight w:val="none"/>
                <w:lang w:val="en-US" w:eastAsia="zh-CN"/>
              </w:rPr>
              <w:t>3</w:t>
            </w:r>
            <w:r>
              <w:rPr>
                <w:rFonts w:hint="eastAsia" w:ascii="仿宋_GB2312" w:hAnsi="黑体" w:eastAsia="仿宋_GB2312" w:cs="黑体"/>
                <w:bCs/>
                <w:color w:val="auto"/>
                <w:sz w:val="24"/>
                <w:szCs w:val="24"/>
                <w:highlight w:val="none"/>
              </w:rPr>
              <w:t>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地区生产总值（亿元）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w:t>
            </w:r>
            <w:r>
              <w:rPr>
                <w:rFonts w:hint="default" w:ascii="仿宋_GB2312" w:hAnsi="黑体" w:eastAsia="仿宋_GB2312" w:cs="黑体"/>
                <w:bCs/>
                <w:color w:val="auto"/>
                <w:sz w:val="24"/>
                <w:szCs w:val="24"/>
                <w:highlight w:val="none"/>
              </w:rPr>
              <w:t>58.52</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161.34</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171.57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一般预算收入（亿元）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11.61</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12.77</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13.59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政府性基金收入（亿元）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16.27</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w:t>
            </w:r>
            <w:r>
              <w:rPr>
                <w:rFonts w:hint="eastAsia" w:ascii="仿宋_GB2312" w:hAnsi="黑体" w:eastAsia="仿宋_GB2312" w:cs="黑体"/>
                <w:bCs/>
                <w:color w:val="auto"/>
                <w:sz w:val="24"/>
                <w:szCs w:val="24"/>
                <w:highlight w:val="none"/>
                <w:lang w:val="en-US" w:eastAsia="zh-CN"/>
              </w:rPr>
              <w:t>0.76</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6.44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其中：国有土地出让收入（亿元）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14.61</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9.36</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5.25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政府性基金支出（亿元）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11.80</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16.79</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18.76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其中：国有土地出让支出（亿元）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8.60</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3.70</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2.92</w:t>
            </w:r>
          </w:p>
        </w:tc>
      </w:tr>
    </w:tbl>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（2）本地社会发展规划和行业相关规划</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工程主要是新建仓迳自来水厂、原水管线、配水管网及调蓄山塘。取水口位于迳头村的仓迳电站引水渠，水厂选址位于现状仓迳电站厂房附近，利用现状仓迳电站引水渠道设管取水。水厂建成后，可将管网铺设覆盖至仓前村、迳头村、大陂村、大村村、楼下村、龙冈村、社坪村、井冈村和迳头社区共9个行政村（社区），实现集中供水，保障镇区及周边村委居民生活及工业企业用水需求。供水范围涉及99个自然村，现状共6480户、28940人。近期2025年供水规模为1.0万m³/d，远期2030年供水规模为2.0万m³/d。</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根据《佛冈县迳头镇总体规划（2014～2030）》，规划期限：近期2014-2020年，中期2021～2025年，远期2026～2030年。抓住珠江</w:t>
      </w:r>
      <w:bookmarkStart w:id="4" w:name="_GoBack"/>
      <w:bookmarkEnd w:id="4"/>
      <w:r>
        <w:rPr>
          <w:rFonts w:hint="eastAsia" w:ascii="仿宋_GB2312" w:hAnsi="仿宋_GB2312" w:eastAsia="仿宋_GB2312" w:cs="仿宋_GB2312"/>
          <w:sz w:val="32"/>
          <w:szCs w:val="32"/>
          <w:lang w:val="en-US" w:eastAsia="zh-CN"/>
        </w:rPr>
        <w:t>三角洲产业转移这一历史机遇，充分利用和发挥本地资源、地缘、交通等优势，积极营造良好的投资环境，吸引外资本投入，以工业发展带动整个镇域经济全面发展。</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迳头镇下辖11个行政村（社区）共112个自然村，绝大部分村（社区）实现了集中供水，实现了集中供水的各村（社区）基本都是依托迳头镇自来水公司（私营企业）和各村的“村村通”农村饮水工程供水。迳头镇现状有各类供水工程共19宗，现状总供水规模为为6360.4m³/d。</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现有迳头水厂建成于2003年，由迳头镇自来水公司进行管理，目前主要供迳头社区（新集镇）、烟岭墟、大村村和106国道沿线等的工业企业、居民、村民的生活用水及少量工业用水。自来水厂年供水量80多万m³，取水点为社背水（地表水，年取水20多万m³）和大陂水（地下水，年允许取水40万m³），2020年实际年取水量已达60多万m³已超量取水，大陂水水源保护区存在村庄、桥梁、公路等，按照饮用水源保护区的相关要求，结合环保部门意见，已不适合作为取水点，更换水源点迫在眉切，但周边无适合的取水点，迫切需要开发新水源保障用水安全。现状迳头水厂存在诸多问题：随着社会经济的发展，饮用水源水量严重不足，取水保证率较低，供求矛盾突出；水厂建设管理不规范，现有水厂净化、消毒工艺比较落后；饮水水源保护困难，安全无保障；企业投资扩改建水厂的意愿不足，基本民生问题无法有效保障；属私营企业，政府调控力弱，问题已严重影响迳头镇区和周边工厂及村居民用水安全，严重制约社会经济的进一步发展。</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各村的“村村通”农村饮水工程供水普遍存在：水量不足，缺水较严重，井冈村水源供水不足；大村村的禾田村和新凤村、社坪村的上文岭、下文岭和东涉水处在自来水管网的尾端，长期水压不足。季节性缺水的有7个村（社区）：青竹村、仓前村、迳头村、大陂村、大村村、楼下村、社坪村。同时又由于当地桉树种植导致水源污染，且部分“村村通”自来水工程水处理工艺简单、缺乏经费管护不足、供水设备逐渐老化失修造成二次污染。</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为加强迳头镇供水水厂进行统一管理、规范管理，以达到水质安全、水量充足的要求，保证迳头镇区及周边村委居民生活及工业企业用水需求，取缔现状大陂桥下地下水取水水源后，迫切需要建设新的水源工程、净水厂及配水管网，接驳现有农村村村通自来水管网，提高迳头镇及周边全域自然村饮水安全保障水平。</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项目建设概况：佛冈县迳头镇仓迳自来水厂供水工程位于迳头镇，距离佛冈县城约20km。本项目靠近现106国道，106国道新线和X373、X839县道，对外交通较为便利。</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原水管线：采用DN820焊接钢管，管道总长3.0km；自来水厂：考虑新建1座自来水厂，占地面积9.66亩，水厂按近期1万m³、远期2万m³设计，水厂含絮凝沉淀池、反冲洗滤池、清水池，加药及消毒间，加压泵房及附属供配电设施等构筑物；配水管网：供水主管采用DN325～DN820焊接钢管，管道总长21.27km，分支管网采用De50～De250PE给水管，管道总长25.82km，新建增压泵站2座，扬程20m；水源工程：对拦河坝上游河道清新清淤扩容，并新建山塘作为备用水源。</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本项目属于有一定收益的公益性项目。</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（4）项目立项情况或实施依据</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2022年4月27日，佛冈县发展和改革局通过《关于要求对佛冈县迳头镇仓迳自来水厂供水工程立项的申请函》及《工程可行性研究报告》（佛发改〔2022]98号）。</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（5）责任主体</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1.本项目实施单位为佛冈县城乡饮用水服务中心，机构详细信息如下表：</w:t>
      </w:r>
    </w:p>
    <w:tbl>
      <w:tblPr>
        <w:tblStyle w:val="7"/>
        <w:tblW w:w="501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6"/>
        <w:gridCol w:w="5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名称</w:t>
            </w:r>
          </w:p>
        </w:tc>
        <w:tc>
          <w:tcPr>
            <w:tcW w:w="3147" w:type="pct"/>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佛冈县城乡饮用水服务中心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统一社会信用代码</w:t>
            </w:r>
          </w:p>
        </w:tc>
        <w:tc>
          <w:tcPr>
            <w:tcW w:w="3147" w:type="pct"/>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12441821MB2D51612H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机构地址</w:t>
            </w:r>
          </w:p>
        </w:tc>
        <w:tc>
          <w:tcPr>
            <w:tcW w:w="3147" w:type="pct"/>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佛冈县石角镇沿江中路150号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负责人</w:t>
            </w:r>
          </w:p>
        </w:tc>
        <w:tc>
          <w:tcPr>
            <w:tcW w:w="3147" w:type="pct"/>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曾昭可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852" w:type="pct"/>
            <w:shd w:val="clear" w:color="auto" w:fill="D7D7D7"/>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机构性质</w:t>
            </w:r>
          </w:p>
        </w:tc>
        <w:tc>
          <w:tcPr>
            <w:tcW w:w="3147" w:type="pct"/>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事业单位</w:t>
            </w:r>
          </w:p>
        </w:tc>
      </w:tr>
    </w:tbl>
    <w:p>
      <w:pPr>
        <w:snapToGrid w:val="0"/>
        <w:spacing w:line="560" w:lineRule="exact"/>
        <w:ind w:firstLine="640" w:firstLineChars="200"/>
        <w:rPr>
          <w:rFonts w:hint="eastAsia" w:ascii="仿宋_GB2312" w:hAnsi="仿宋_GB2312" w:eastAsia="仿宋_GB2312" w:cs="仿宋_GB2312"/>
          <w:sz w:val="32"/>
          <w:szCs w:val="32"/>
          <w:lang w:val="en-US" w:eastAsia="zh-CN"/>
        </w:rPr>
      </w:pP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佛冈县迳头镇仓迳自来水厂供水工程项目完工后形成资产的权属，归属于佛冈县城乡饮用水服务中心。</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（二）绩效目标</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本工程主要是新建仓迳自来水厂、原水管线、配水管网及调蓄山塘。取水口位于迳头村的仓迳电站引水渠，水厂选址位于现状仓迳电站厂房附近，利用现状仓迳电站引水渠道设管取水。水厂建成后，可将管网铺设覆盖至仓前村、迳头村、大陂村、大村村、楼下村、龙冈村、社坪村、井冈村和迳头社区共 9 个行政村（社区），实现集中供水，保障镇区及周边村委居民生活及工业企业用水需求。供水范围涉及99 个自然村，现状共 6480 户、28940 人。近期 2025 年供水规模为 1.0 万m³/d，远期 2030 年供水规模为 2.0 万m³/d。 </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（三）评价金额及支出使用情况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bookmarkStart w:id="2" w:name="OLE_LINK4"/>
      <w:r>
        <w:rPr>
          <w:rFonts w:hint="eastAsia" w:ascii="仿宋_GB2312" w:hAnsi="仿宋_GB2312" w:eastAsia="仿宋_GB2312" w:cs="仿宋_GB2312"/>
          <w:sz w:val="32"/>
          <w:szCs w:val="32"/>
          <w:lang w:val="en-US" w:eastAsia="zh-CN"/>
        </w:rPr>
        <w:t>（1）资金到位情况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2024年已安排专项债券资金共计</w:t>
      </w:r>
      <w:bookmarkStart w:id="3" w:name="OLE_LINK3"/>
      <w:r>
        <w:rPr>
          <w:rFonts w:hint="eastAsia" w:ascii="仿宋_GB2312" w:hAnsi="仿宋_GB2312" w:eastAsia="仿宋_GB2312" w:cs="仿宋_GB2312"/>
          <w:sz w:val="32"/>
          <w:szCs w:val="32"/>
          <w:lang w:val="en-US" w:eastAsia="zh-CN"/>
        </w:rPr>
        <w:t>1000.00</w:t>
      </w:r>
      <w:bookmarkEnd w:id="3"/>
      <w:r>
        <w:rPr>
          <w:rFonts w:hint="eastAsia" w:ascii="仿宋_GB2312" w:hAnsi="仿宋_GB2312" w:eastAsia="仿宋_GB2312" w:cs="仿宋_GB2312"/>
          <w:sz w:val="32"/>
          <w:szCs w:val="32"/>
          <w:lang w:val="en-US" w:eastAsia="zh-CN"/>
        </w:rPr>
        <w:t>万元。</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（2）资金执行情况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佛冈县迳头镇仓迳自来水厂供水工程，2024年度下达专项债券资金1000.00万元，截至2024年12月底，共完成投资1000.00万元（专项债券资金1000.00万元），投资完成率100%。</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（3）资金用途</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本次专项债券主要用于支付项目工程费、监理费、设计费等。</w:t>
      </w:r>
      <w:bookmarkEnd w:id="2"/>
    </w:p>
    <w:p>
      <w:pPr>
        <w:snapToGrid w:val="0"/>
        <w:spacing w:line="560" w:lineRule="exact"/>
        <w:ind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fldChar w:fldCharType="begin"/>
      </w:r>
      <w:r>
        <w:rPr>
          <w:rFonts w:hint="eastAsia" w:ascii="楷体_GB2312" w:hAnsi="楷体_GB2312" w:eastAsia="楷体_GB2312" w:cs="楷体_GB2312"/>
          <w:b/>
          <w:sz w:val="32"/>
          <w:szCs w:val="32"/>
          <w:lang w:val="en-US" w:eastAsia="zh-CN"/>
        </w:rPr>
        <w:instrText xml:space="preserve"> HYPERLINK \l _Toc29791 </w:instrText>
      </w:r>
      <w:r>
        <w:rPr>
          <w:rFonts w:hint="eastAsia" w:ascii="楷体_GB2312" w:hAnsi="楷体_GB2312" w:eastAsia="楷体_GB2312" w:cs="楷体_GB2312"/>
          <w:b/>
          <w:sz w:val="32"/>
          <w:szCs w:val="32"/>
          <w:lang w:val="en-US" w:eastAsia="zh-CN"/>
        </w:rPr>
        <w:fldChar w:fldCharType="separate"/>
      </w:r>
      <w:r>
        <w:rPr>
          <w:rFonts w:hint="eastAsia" w:ascii="楷体_GB2312" w:hAnsi="楷体_GB2312" w:eastAsia="楷体_GB2312" w:cs="楷体_GB2312"/>
          <w:b/>
          <w:bCs w:val="0"/>
          <w:kern w:val="2"/>
          <w:sz w:val="32"/>
          <w:szCs w:val="32"/>
          <w:lang w:val="en-US" w:eastAsia="zh-CN" w:bidi="ar-SA"/>
        </w:rPr>
        <w:t>（二）绩效目标</w:t>
      </w:r>
      <w:r>
        <w:rPr>
          <w:rFonts w:hint="eastAsia" w:ascii="楷体_GB2312" w:hAnsi="楷体_GB2312" w:eastAsia="楷体_GB2312" w:cs="楷体_GB2312"/>
          <w:b/>
          <w:sz w:val="32"/>
          <w:szCs w:val="32"/>
          <w:lang w:val="en-US" w:eastAsia="zh-CN"/>
        </w:rPr>
        <w:fldChar w:fldCharType="end"/>
      </w:r>
      <w:r>
        <w:rPr>
          <w:rFonts w:hint="eastAsia" w:ascii="楷体_GB2312" w:hAnsi="楷体_GB2312" w:eastAsia="楷体_GB2312" w:cs="楷体_GB2312"/>
          <w:b/>
          <w:sz w:val="32"/>
          <w:szCs w:val="32"/>
          <w:lang w:val="en-US" w:eastAsia="zh-CN"/>
        </w:rPr>
        <w:t>。</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（1）实施周期目标</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工程主要是新建仓迳自来水厂、原水管线、配水管网及调蓄山塘。取水口位于迳头村的仓迳电站引水渠，水厂选址位于现状仓迳电站厂房附近，利用现状仓迳电站引水渠道设管取水。水厂建成后，可将管网铺设覆盖至仓前村、迳头村、大陂村、大村村、楼下村、龙冈村、社坪村、井冈村和迳头社区共 9 个行政村（社区），实现集中供水，保障镇区及周边村委居民生活及工业企业用水需求。供水范围涉及99 个自然村，现状共 6480 户、28940 人。近期 2025 年供水规模为 1.0 万m³/d，远期 2030 年供水规模为 2.0 万m³/d。</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（2）当年度目标</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目标1：对取水口上游约3公里引水渠及河道清淤、加固；目标2：新建供水主管8KM。</w:t>
      </w:r>
    </w:p>
    <w:p>
      <w:pPr>
        <w:snapToGrid w:val="0"/>
        <w:spacing w:line="560" w:lineRule="exact"/>
        <w:ind w:firstLine="640" w:firstLineChars="200"/>
        <w:rPr>
          <w:rFonts w:hint="eastAsia" w:ascii="仿宋_GB2312" w:hAnsi="仿宋_GB2312" w:eastAsia="仿宋_GB2312" w:cs="仿宋_GB2312"/>
          <w:sz w:val="32"/>
          <w:szCs w:val="32"/>
          <w:lang w:val="en-US" w:eastAsia="zh-CN"/>
        </w:rPr>
      </w:pPr>
    </w:p>
    <w:p>
      <w:pPr>
        <w:snapToGrid w:val="0"/>
        <w:spacing w:line="560" w:lineRule="exact"/>
        <w:ind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t>（三）资金安排及使用情况。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2024年已安排专项债券资金共计1000.00万元。</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（2）资金执行情况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佛冈县迳头镇仓迳自来水厂供水工程，2024年度下达专项债券资金1000.00万元，截至2024年12月底，共完成投资1000.00万元（专项债券资金1000.00万元），投资完成率100%。</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（3）资金用途</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本次专项债券主要用于支付项目工程费、监理费、设计费等。</w:t>
      </w:r>
    </w:p>
    <w:p>
      <w:pPr>
        <w:numPr>
          <w:ilvl w:val="0"/>
          <w:numId w:val="0"/>
        </w:numPr>
        <w:snapToGrid w:val="0"/>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二、绩效指标分析</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（1）产出指标分析</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产出指标分值40分，指标得分40分。</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1.数量指标（得分10分，得分原因：达到年初预设的指标值）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2024年佛冈县迳头镇仓迳自来水厂供水工程新建供水主管8KM，完成绩效目标，达到年初预设的指标值。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2.项目质量指标（得分10分，得分原因：达到年初预设的指标值）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佛冈县迳头镇仓迳自来水厂供水工程验收合格率100%。</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3.项目时效指标（得分10分，得分原因：达到年初预设的指标值）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佛冈县迳头镇仓迳自来水厂供水工程项目按计划开工率100%。</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4.项目成本指标（得分10分，得分原因：达到年初预设的指标值）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佛冈县迳头镇仓迳自来水厂供水工程实施周期投资概算23999.68万元，2024年度下达专项债券资金1000万元，年度预算控制1000万元。</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（2）效益指标完成情况分析</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效益指标分值30分，指标得分30分。</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1.经济效益指标（得分8分，得分原因：达到年初预设的指标值）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佛冈县迳头镇仓迳自来水厂供水工程实施后，保障乡镇及周边农村饮水安全，完善供水管网建设有利于带动当地经济快速发展，为国民经济持续健康发展提供安全保障。</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2.社会效益指标（得分8分，得分原因：达到年初预设的指标值）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佛冈县迳头镇仓迳自来水厂供水工程实施后，优化当地供水水质，满足当地人民群众对健康生活质量的要求，提供生活质量，保障居民社会生活平稳。</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3.生态效益指标（得分8分，得分原因：达到年初预设的指标值）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通过项目的建设，能够提高水资源的利用效率，减少水资源的浪费，同时保障水资源的可持续利用。在保障人类生产和发展的同时，保护水生态环境。</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4.可持续影响指标（得分6分，得分原因：达到年初预设的指标值）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通过项目的建设，完善供水管网是实现社会健康、协调和可持续发展的需要，从宏观战略的观点上看，具有长远的战略发展意义。</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（三）项目满意度指标完成情况分析</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指标分值10分，得分10分，达到年初预设的指标值。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对佛冈县迳头镇仓迳自来水厂供水工程进行问卷调查所获得的的数据进行整理分析，群众对农村供水建设工作的满意度为100%。</w:t>
      </w:r>
    </w:p>
    <w:p>
      <w:pPr>
        <w:snapToGrid w:val="0"/>
        <w:spacing w:line="560" w:lineRule="exact"/>
        <w:rPr>
          <w:rFonts w:hint="eastAsia" w:ascii="仿宋_GB2312" w:hAnsi="仿宋_GB2312" w:eastAsia="仿宋_GB2312" w:cs="仿宋_GB2312"/>
          <w:sz w:val="32"/>
          <w:szCs w:val="32"/>
          <w:lang w:val="en-US" w:eastAsia="zh-CN"/>
        </w:rPr>
      </w:pPr>
    </w:p>
    <w:p>
      <w:pPr>
        <w:snapToGrid w:val="0"/>
        <w:spacing w:line="560" w:lineRule="exact"/>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第三部分：附件</w:t>
      </w:r>
    </w:p>
    <w:p>
      <w:pPr>
        <w:snapToGrid w:val="0"/>
        <w:spacing w:line="560" w:lineRule="exact"/>
        <w:rPr>
          <w:rFonts w:hint="eastAsia" w:ascii="仿宋_GB2312" w:hAnsi="仿宋_GB2312" w:eastAsia="仿宋_GB2312" w:cs="仿宋_GB2312"/>
          <w:sz w:val="32"/>
          <w:szCs w:val="32"/>
          <w:lang w:val="en-US" w:eastAsia="zh-CN"/>
        </w:rPr>
      </w:pPr>
    </w:p>
    <w:p>
      <w:pPr>
        <w:snapToGrid w:val="0"/>
        <w:spacing w:line="560" w:lineRule="exac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主要包括：</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一是绩效评价指标体系、评分标准及得分情况表：以表格方式呈现绩效评价得分、扣分情况。</w:t>
      </w:r>
    </w:p>
    <w:p>
      <w:pPr>
        <w:snapToGrid w:val="0"/>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二是绩效评价说明：用于说明绩效评价的目的、依据、参考资料、方法、指标体系、工作流程、重点事项、局限性、参与人员等事项。 </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三是满意度调查结果。以数据、图形等方式呈现满意度调查的数据分布，呈现从原始数据至调查结果的路径。 </w:t>
      </w:r>
    </w:p>
    <w:p>
      <w:pPr>
        <w:snapToGrid w:val="0"/>
        <w:spacing w:line="560" w:lineRule="exact"/>
        <w:ind w:firstLine="640" w:firstLineChars="200"/>
        <w:rPr>
          <w:rFonts w:hint="default"/>
          <w:sz w:val="32"/>
          <w:szCs w:val="32"/>
          <w:lang w:val="en-US" w:eastAsia="zh-CN"/>
        </w:rPr>
      </w:pPr>
      <w:r>
        <w:rPr>
          <w:rFonts w:hint="eastAsia" w:ascii="仿宋_GB2312" w:hAnsi="仿宋_GB2312" w:eastAsia="仿宋_GB2312" w:cs="仿宋_GB2312"/>
          <w:sz w:val="32"/>
          <w:szCs w:val="32"/>
          <w:lang w:val="en-US" w:eastAsia="zh-CN"/>
        </w:rPr>
        <w:t>四是各类数据分析表格。用于解释报告各类事项，主要包括但不限于：存在问题情况明细表、基础数据分析表、绩效目标完成情况明细表等。</w:t>
      </w:r>
    </w:p>
    <w:p>
      <w:pPr>
        <w:rPr>
          <w:sz w:val="32"/>
          <w:szCs w:val="32"/>
        </w:rPr>
      </w:pPr>
    </w:p>
    <w:p>
      <w:pPr>
        <w:pStyle w:val="2"/>
        <w:rPr>
          <w:rFonts w:hint="eastAsia" w:ascii="仿宋" w:hAnsi="仿宋" w:eastAsia="仿宋" w:cs="仿宋"/>
          <w:sz w:val="32"/>
          <w:szCs w:val="32"/>
        </w:rPr>
      </w:pPr>
    </w:p>
    <w:p>
      <w:pPr>
        <w:pStyle w:val="2"/>
        <w:ind w:firstLine="5120" w:firstLineChars="1600"/>
        <w:rPr>
          <w:rFonts w:hint="eastAsia" w:ascii="仿宋" w:hAnsi="仿宋" w:eastAsia="仿宋" w:cs="仿宋"/>
          <w:sz w:val="32"/>
          <w:szCs w:val="32"/>
          <w:lang w:eastAsia="zh-CN"/>
        </w:rPr>
      </w:pPr>
      <w:r>
        <w:rPr>
          <w:rFonts w:hint="eastAsia" w:ascii="仿宋" w:hAnsi="仿宋" w:eastAsia="仿宋" w:cs="仿宋"/>
          <w:sz w:val="32"/>
          <w:szCs w:val="32"/>
          <w:lang w:eastAsia="zh-CN"/>
        </w:rPr>
        <w:t>佛冈县水利局</w:t>
      </w:r>
    </w:p>
    <w:p>
      <w:pPr>
        <w:pStyle w:val="2"/>
        <w:ind w:firstLine="4800" w:firstLineChars="15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2025年4月29日</w:t>
      </w:r>
    </w:p>
    <w:sectPr>
      <w:pgSz w:w="11906" w:h="16838"/>
      <w:pgMar w:top="2041" w:right="1417"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A4B11"/>
    <w:multiLevelType w:val="singleLevel"/>
    <w:tmpl w:val="968A4B11"/>
    <w:lvl w:ilvl="0" w:tentative="0">
      <w:start w:val="2"/>
      <w:numFmt w:val="chineseCounting"/>
      <w:suff w:val="nothing"/>
      <w:lvlText w:val="（%1）"/>
      <w:lvlJc w:val="left"/>
      <w:rPr>
        <w:rFonts w:hint="eastAsia"/>
      </w:rPr>
    </w:lvl>
  </w:abstractNum>
  <w:abstractNum w:abstractNumId="1">
    <w:nsid w:val="BCEFAF51"/>
    <w:multiLevelType w:val="singleLevel"/>
    <w:tmpl w:val="BCEFAF51"/>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806D66"/>
    <w:rsid w:val="01806D66"/>
    <w:rsid w:val="16B8329A"/>
    <w:rsid w:val="19921DAF"/>
    <w:rsid w:val="215639A7"/>
    <w:rsid w:val="369C1569"/>
    <w:rsid w:val="3D993CA7"/>
    <w:rsid w:val="43FF0407"/>
    <w:rsid w:val="447D3F7D"/>
    <w:rsid w:val="47BE7FFF"/>
    <w:rsid w:val="5430262C"/>
    <w:rsid w:val="5B830315"/>
    <w:rsid w:val="6B01291E"/>
    <w:rsid w:val="6CBA689A"/>
    <w:rsid w:val="79A35771"/>
    <w:rsid w:val="7B707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eastAsia="方正小标宋简体" w:asciiTheme="minorAscii" w:hAnsiTheme="minorAscii"/>
      <w:kern w:val="44"/>
      <w:sz w:val="44"/>
    </w:rPr>
  </w:style>
  <w:style w:type="character" w:default="1" w:styleId="8">
    <w:name w:val="Default Paragraph Font"/>
    <w:semiHidden/>
    <w:qFormat/>
    <w:uiPriority w:val="0"/>
    <w:rPr>
      <w:rFonts w:ascii="Calibri" w:hAnsi="Calibri" w:eastAsia="仿宋_GB2312"/>
      <w:sz w:val="32"/>
    </w:rPr>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spacing w:line="240" w:lineRule="auto"/>
      <w:ind w:firstLine="420"/>
      <w:jc w:val="both"/>
    </w:pPr>
    <w:rPr>
      <w:rFonts w:ascii="Times New Roman" w:hAnsi="Times New Roman" w:eastAsia="宋体" w:cs="Times New Roman"/>
      <w:kern w:val="2"/>
      <w:sz w:val="21"/>
      <w:szCs w:val="21"/>
    </w:rPr>
  </w:style>
  <w:style w:type="paragraph" w:styleId="4">
    <w:name w:val="Body Text"/>
    <w:basedOn w:val="1"/>
    <w:qFormat/>
    <w:uiPriority w:val="1"/>
    <w:rPr>
      <w:sz w:val="32"/>
      <w:szCs w:val="32"/>
    </w:rPr>
  </w:style>
  <w:style w:type="paragraph" w:styleId="5">
    <w:name w:val="footer"/>
    <w:basedOn w:val="1"/>
    <w:qFormat/>
    <w:uiPriority w:val="0"/>
    <w:pPr>
      <w:tabs>
        <w:tab w:val="center" w:pos="4153"/>
        <w:tab w:val="right" w:pos="8306"/>
      </w:tabs>
      <w:snapToGrid w:val="0"/>
      <w:jc w:val="left"/>
    </w:pPr>
    <w:rPr>
      <w:rFonts w:eastAsia="仿宋" w:asciiTheme="minorAscii" w:hAnsiTheme="minorAscii"/>
      <w:sz w:val="24"/>
    </w:rPr>
  </w:style>
  <w:style w:type="paragraph" w:styleId="6">
    <w:name w:val="toc 1"/>
    <w:basedOn w:val="1"/>
    <w:next w:val="1"/>
    <w:unhideWhenUsed/>
    <w:qFormat/>
    <w:uiPriority w:val="39"/>
  </w:style>
  <w:style w:type="character" w:styleId="9">
    <w:name w:val="page number"/>
    <w:basedOn w:val="8"/>
    <w:qFormat/>
    <w:uiPriority w:val="0"/>
    <w:rPr>
      <w:rFonts w:ascii="Times New Roman" w:hAnsi="Times New Roman" w:eastAsia="仿宋"/>
      <w:sz w:val="24"/>
    </w:rPr>
  </w:style>
  <w:style w:type="paragraph" w:customStyle="1" w:styleId="10">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2025-04-15T03:16:00Z</dcterms:created>
  <dc:creator>Anson</dc:creator>
  <cp:lastModifiedBy>admin</cp:lastModifiedBy>
  <dcterms:modified xsi:type="dcterms:W3CDTF">2025-06-10T01:29:19Z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