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jc w:val="center"/>
        <w:rPr>
          <w:rFonts w:hint="eastAsia" w:ascii="楷体_GB2312" w:hAnsi="楷体_GB2312" w:eastAsia="楷体_GB2312" w:cs="楷体_GB2312"/>
          <w:b w:val="0"/>
          <w:bCs w:val="0"/>
          <w:sz w:val="44"/>
          <w:szCs w:val="44"/>
        </w:rPr>
      </w:pPr>
      <w:r>
        <w:rPr>
          <w:rFonts w:hint="eastAsia" w:ascii="方正小标宋简体" w:hAnsi="Times New Roman" w:eastAsia="方正小标宋简体" w:cs="Times New Roman"/>
          <w:sz w:val="44"/>
          <w:szCs w:val="44"/>
          <w:lang w:val="en-US" w:eastAsia="zh-CN"/>
        </w:rPr>
        <w:t>佛冈县老旧小区改造之县城雨污分流综合治理工程专项债券项目</w:t>
      </w:r>
      <w:r>
        <w:rPr>
          <w:rFonts w:hint="eastAsia" w:ascii="方正小标宋简体" w:hAnsi="Times New Roman" w:eastAsia="方正小标宋简体" w:cs="Times New Roman"/>
          <w:sz w:val="44"/>
          <w:szCs w:val="44"/>
        </w:rPr>
        <w:t>资金绩效评价报告</w:t>
      </w:r>
    </w:p>
    <w:p>
      <w:pPr>
        <w:snapToGrid w:val="0"/>
        <w:spacing w:line="288" w:lineRule="auto"/>
        <w:rPr>
          <w:rFonts w:hint="eastAsia" w:ascii="仿宋_GB2312" w:hAnsi="仿宋_GB2312" w:eastAsia="仿宋_GB2312" w:cs="仿宋_GB2312"/>
          <w:sz w:val="32"/>
          <w:szCs w:val="32"/>
        </w:rPr>
      </w:pPr>
    </w:p>
    <w:p>
      <w:pPr>
        <w:snapToGrid w:val="0"/>
        <w:spacing w:line="288"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第一部分：绩效报告</w:t>
      </w:r>
    </w:p>
    <w:p>
      <w:pPr>
        <w:pStyle w:val="6"/>
        <w:numPr>
          <w:ilvl w:val="0"/>
          <w:numId w:val="0"/>
        </w:numPr>
        <w:tabs>
          <w:tab w:val="right" w:leader="dot" w:pos="8958"/>
        </w:tabs>
        <w:snapToGrid w:val="0"/>
        <w:spacing w:line="288" w:lineRule="auto"/>
        <w:ind w:firstLine="0" w:firstLineChars="0"/>
        <w:rPr>
          <w:rFonts w:hint="eastAsia" w:ascii="仿宋_GB2312" w:hAnsi="仿宋_GB2312" w:eastAsia="仿宋_GB2312" w:cs="仿宋_GB2312"/>
          <w:bCs/>
          <w:sz w:val="32"/>
          <w:szCs w:val="32"/>
        </w:rPr>
      </w:pP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一、</w:t>
      </w:r>
      <w:r>
        <w:rPr>
          <w:rFonts w:hint="eastAsia" w:ascii="黑体" w:hAnsi="黑体" w:eastAsia="黑体" w:cs="黑体"/>
          <w:bCs/>
          <w:sz w:val="32"/>
          <w:szCs w:val="32"/>
        </w:rPr>
        <w:t>项目概要</w:t>
      </w:r>
    </w:p>
    <w:p>
      <w:pPr>
        <w:pStyle w:val="6"/>
        <w:keepNext w:val="0"/>
        <w:keepLines w:val="0"/>
        <w:pageBreakBefore w:val="0"/>
        <w:widowControl w:val="0"/>
        <w:numPr>
          <w:ilvl w:val="0"/>
          <w:numId w:val="0"/>
        </w:numPr>
        <w:kinsoku/>
        <w:wordWrap/>
        <w:overflowPunct/>
        <w:topLinePunct w:val="0"/>
        <w:bidi w:val="0"/>
        <w:snapToGrid w:val="0"/>
        <w:spacing w:line="570" w:lineRule="exact"/>
        <w:ind w:firstLine="643" w:firstLineChars="200"/>
        <w:textAlignment w:val="auto"/>
        <w:rPr>
          <w:rFonts w:hint="eastAsia" w:ascii="楷体_GB2312" w:hAnsi="楷体_GB2312" w:eastAsia="楷体_GB2312" w:cs="楷体_GB2312"/>
          <w:b/>
          <w:bCs w:val="0"/>
          <w:sz w:val="32"/>
          <w:szCs w:val="32"/>
          <w:lang w:val="en-US" w:eastAsia="zh-CN"/>
        </w:rPr>
      </w:pPr>
      <w:r>
        <w:rPr>
          <w:rFonts w:hint="eastAsia" w:ascii="楷体_GB2312" w:hAnsi="楷体_GB2312" w:eastAsia="楷体_GB2312" w:cs="楷体_GB2312"/>
          <w:b/>
          <w:bCs w:val="0"/>
          <w:sz w:val="32"/>
          <w:szCs w:val="32"/>
          <w:lang w:val="en-US" w:eastAsia="zh-CN"/>
        </w:rPr>
        <w:t>（一）项目概况。</w:t>
      </w:r>
    </w:p>
    <w:p>
      <w:pPr>
        <w:widowControl w:val="0"/>
        <w:adjustRightInd w:val="0"/>
        <w:snapToGrid w:val="0"/>
        <w:spacing w:line="360" w:lineRule="auto"/>
        <w:ind w:firstLine="56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2024年佛冈县老旧小区改造之县城雨污分流综合治理工程专项债券资金下达预算为2000万元。</w:t>
      </w:r>
      <w:r>
        <w:rPr>
          <w:rFonts w:hint="eastAsia" w:ascii="仿宋_GB2312" w:hAnsi="仿宋_GB2312" w:eastAsia="仿宋_GB2312" w:cs="仿宋_GB2312"/>
          <w:sz w:val="32"/>
          <w:szCs w:val="32"/>
        </w:rPr>
        <w:t>项目位于佛冈县石角镇，主要建设内容:佛冈县老旧小区改造之县城雨污分流综合治理工程包括两部分:</w:t>
      </w:r>
    </w:p>
    <w:p>
      <w:pPr>
        <w:widowControl w:val="0"/>
        <w:adjustRightInd w:val="0"/>
        <w:snapToGrid w:val="0"/>
        <w:spacing w:line="360" w:lineRule="auto"/>
        <w:ind w:firstLine="56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排水管道的雨污分流改造:对106国道、文明路、青云路、青松路、环城中路和环城西路的现状排水管进行改造，将原有的合流管道作为污水管，新建d800~d3000雨水管及雨水口。并将106国道南侧山体的洪水截至文明路的新建雨水管、冈田水，实现城南片区高水高排和雨污分流，解决片区的内涝和污染问题。本部分新建d1500~d3000雨水干管共长约8.3千米，d800支管约3.2千米，dn200 雨水口连接管约6.6千米，雨水口约664个，检查井约394个。</w:t>
      </w:r>
    </w:p>
    <w:p>
      <w:pPr>
        <w:widowControl w:val="0"/>
        <w:adjustRightInd w:val="0"/>
        <w:snapToGrid w:val="0"/>
        <w:spacing w:line="360" w:lineRule="auto"/>
        <w:ind w:firstLine="56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污水处理厂的提质扩容:佛冈县污水处理厂现状的</w:t>
      </w:r>
    </w:p>
    <w:p>
      <w:pPr>
        <w:widowControl w:val="0"/>
        <w:adjustRightInd w:val="0"/>
        <w:snapToGrid w:val="0"/>
        <w:spacing w:line="360" w:lineRule="auto"/>
        <w:ind w:firstLine="561" w:firstLineChars="0"/>
        <w:jc w:val="both"/>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处理规模是3万吨/天，其出水是达到《城镇污水处理厂污染物排放标准》(GB18918-2002) 一级标准中的B标准和广东省地方标准《水污染物排放限值》(DB4416-2001) 一级标准(第二时段)的要求;本次拟增加2万吨/天的处理规模，且要求出水达到《城镇污水处理厂污染物排放标准》(GB18918-2002) 一级标准中的A标准和广东省地方标准《水污染物排放限值》(DB4416-2001)一级标准(第二时段)的要求。</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fldChar w:fldCharType="begin"/>
      </w:r>
      <w:r>
        <w:rPr>
          <w:rFonts w:hint="eastAsia" w:ascii="仿宋_GB2312" w:hAnsi="仿宋_GB2312" w:eastAsia="仿宋_GB2312" w:cs="仿宋_GB2312"/>
          <w:b/>
          <w:sz w:val="32"/>
          <w:szCs w:val="32"/>
          <w:lang w:val="en-US" w:eastAsia="zh-CN"/>
        </w:rPr>
        <w:instrText xml:space="preserve"> HYPERLINK \l _Toc29791 </w:instrText>
      </w:r>
      <w:r>
        <w:rPr>
          <w:rFonts w:hint="eastAsia" w:ascii="仿宋_GB2312" w:hAnsi="仿宋_GB2312" w:eastAsia="仿宋_GB2312" w:cs="仿宋_GB2312"/>
          <w:b/>
          <w:sz w:val="32"/>
          <w:szCs w:val="32"/>
          <w:lang w:val="en-US" w:eastAsia="zh-CN"/>
        </w:rPr>
        <w:fldChar w:fldCharType="separate"/>
      </w:r>
      <w:r>
        <w:rPr>
          <w:rFonts w:hint="eastAsia" w:ascii="仿宋_GB2312" w:hAnsi="仿宋_GB2312" w:eastAsia="仿宋_GB2312" w:cs="仿宋_GB2312"/>
          <w:b/>
          <w:bCs w:val="0"/>
          <w:kern w:val="2"/>
          <w:sz w:val="32"/>
          <w:szCs w:val="32"/>
          <w:lang w:val="en-US" w:eastAsia="zh-CN" w:bidi="ar-SA"/>
        </w:rPr>
        <w:t>（二）绩效目标</w:t>
      </w:r>
      <w:r>
        <w:rPr>
          <w:rFonts w:hint="eastAsia" w:ascii="仿宋_GB2312" w:hAnsi="仿宋_GB2312" w:eastAsia="仿宋_GB2312" w:cs="仿宋_GB2312"/>
          <w:b/>
          <w:sz w:val="32"/>
          <w:szCs w:val="32"/>
          <w:lang w:val="en-US" w:eastAsia="zh-CN"/>
        </w:rPr>
        <w:fldChar w:fldCharType="end"/>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工程主要任务是城南片区进行雨污分流改造，以及对佛冈县污水处理厂进行扩容提标改造。通过综合治理后，工程范围内的排水管道由雨污合流改为雨污分流，内涝防治标准可达到20年一遇，污水处理厂达到5万吨/天的设计处理规模。</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雨污分流将从根本上消除城市河道污染现象，持续改善城市水环境质量，防涝能力大幅度增强，污水厂可接纳更多的污水，使城市生态持续向好，使得佛冈的水更清、天更蓝，为城市发展、招商引资提供更好的条件。 </w:t>
      </w:r>
    </w:p>
    <w:p>
      <w:pPr>
        <w:keepNext w:val="0"/>
        <w:keepLines w:val="0"/>
        <w:pageBreakBefore w:val="0"/>
        <w:widowControl w:val="0"/>
        <w:numPr>
          <w:ilvl w:val="0"/>
          <w:numId w:val="1"/>
        </w:numPr>
        <w:kinsoku/>
        <w:wordWrap/>
        <w:overflowPunct/>
        <w:topLinePunct w:val="0"/>
        <w:bidi w:val="0"/>
        <w:snapToGrid w:val="0"/>
        <w:spacing w:line="570" w:lineRule="exact"/>
        <w:ind w:firstLine="643" w:firstLineChars="200"/>
        <w:textAlignment w:val="auto"/>
        <w:rPr>
          <w:rFonts w:hint="eastAsia" w:ascii="仿宋_GB2312" w:hAnsi="仿宋_GB2312" w:eastAsia="仿宋_GB2312" w:cs="仿宋_GB2312"/>
          <w:b/>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kern w:val="2"/>
          <w:sz w:val="32"/>
          <w:szCs w:val="32"/>
          <w:lang w:val="en-US" w:eastAsia="zh-CN" w:bidi="ar-SA"/>
          <w14:textFill>
            <w14:solidFill>
              <w14:schemeClr w14:val="tx1"/>
            </w14:solidFill>
          </w14:textFill>
        </w:rPr>
        <w:t>评价金额及支出使用情况</w:t>
      </w:r>
    </w:p>
    <w:p>
      <w:pPr>
        <w:keepNext w:val="0"/>
        <w:keepLines w:val="0"/>
        <w:pageBreakBefore w:val="0"/>
        <w:widowControl w:val="0"/>
        <w:kinsoku/>
        <w:wordWrap/>
        <w:overflowPunct/>
        <w:topLinePunct w:val="0"/>
        <w:bidi w:val="0"/>
        <w:spacing w:line="570" w:lineRule="exact"/>
        <w:ind w:firstLine="640"/>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（1）资金到位情况</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2024年已安排专项债券资金共计2,00</w:t>
      </w:r>
      <w:r>
        <w:rPr>
          <w:rFonts w:hint="eastAsia" w:ascii="仿宋_GB2312" w:hAnsi="仿宋_GB2312" w:eastAsia="仿宋_GB2312" w:cs="仿宋_GB2312"/>
          <w:color w:val="000000" w:themeColor="text1"/>
          <w:sz w:val="32"/>
          <w:szCs w:val="32"/>
          <w:highlight w:val="none"/>
          <w14:textFill>
            <w14:solidFill>
              <w14:schemeClr w14:val="tx1"/>
            </w14:solidFill>
          </w14:textFill>
        </w:rPr>
        <w:t>0.00万元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（2）资金执行情况</w:t>
      </w: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，2024年度下达专项债券资金2000万元，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截至2024年12月底，共完成投资2000万元（专项债券资金2000万元），投资完成率</w:t>
      </w:r>
      <w:bookmarkStart w:id="0" w:name="BOOK_三12截至2022年12月底投资完成率"/>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100</w:t>
      </w:r>
      <w:bookmarkEnd w:id="0"/>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lang w:eastAsia="zh-CN"/>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二、评价结论与绩效分析</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3" w:firstLineChars="200"/>
        <w:textAlignment w:val="auto"/>
        <w:rPr>
          <w:rFonts w:hint="eastAsia" w:ascii="仿宋_GB2312" w:hAnsi="仿宋_GB2312" w:eastAsia="仿宋_GB2312" w:cs="仿宋_GB2312"/>
          <w:b/>
          <w:bCs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bCs w:val="0"/>
          <w:color w:val="000000" w:themeColor="text1"/>
          <w:kern w:val="2"/>
          <w:sz w:val="32"/>
          <w:szCs w:val="32"/>
          <w:lang w:val="en-US" w:eastAsia="zh-CN" w:bidi="ar-SA"/>
          <w14:textFill>
            <w14:solidFill>
              <w14:schemeClr w14:val="tx1"/>
            </w14:solidFill>
          </w14:textFill>
        </w:rPr>
        <w:t>（一）总结结论</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3" w:firstLineChars="200"/>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val="0"/>
          <w:color w:val="000000" w:themeColor="text1"/>
          <w:kern w:val="2"/>
          <w:sz w:val="32"/>
          <w:szCs w:val="32"/>
          <w:lang w:val="en-US" w:eastAsia="zh-CN" w:bidi="ar-SA"/>
          <w14:textFill>
            <w14:solidFill>
              <w14:schemeClr w14:val="tx1"/>
            </w14:solidFill>
          </w14:textFill>
        </w:rPr>
        <w:t>（二）各部分绩效分析</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 xml:space="preserve"> </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一期</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正在施工阶段</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，预计</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2024年12月30日完工，</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绩效目标与年初预期一致</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w:t>
      </w:r>
    </w:p>
    <w:p>
      <w:pPr>
        <w:pStyle w:val="6"/>
        <w:keepNext w:val="0"/>
        <w:keepLines w:val="0"/>
        <w:pageBreakBefore w:val="0"/>
        <w:widowControl w:val="0"/>
        <w:numPr>
          <w:ilvl w:val="0"/>
          <w:numId w:val="2"/>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产出指标完成情况分析</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产出指标分值</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40分，指标得分40分。</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佛冈县老旧小区改造之县城雨污分流综合治理工程正在按</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计划施工。</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项目数量指标</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新建DN1000～DN2000雨水干管,完成绩效目标，达到年初预设的指标值。</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项目质量指标</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佛冈县老旧小区改造之县城雨污分流综合治理工程验收</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合格率</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100%。</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项目时效指标</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项目按计划开工率100%。</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项目成本指标</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，2024年度下达专项债券资金2000万元，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预算投资2000万元</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w:t>
      </w:r>
    </w:p>
    <w:p>
      <w:pPr>
        <w:pStyle w:val="6"/>
        <w:keepNext w:val="0"/>
        <w:keepLines w:val="0"/>
        <w:pageBreakBefore w:val="0"/>
        <w:widowControl w:val="0"/>
        <w:numPr>
          <w:ilvl w:val="0"/>
          <w:numId w:val="2"/>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eastAsia="zh-CN"/>
          <w14:textFill>
            <w14:solidFill>
              <w14:schemeClr w14:val="tx1"/>
            </w14:solidFill>
          </w14:textFill>
        </w:rPr>
        <w:t>效益指标完成情况分析</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eastAsia="zh-CN"/>
          <w14:textFill>
            <w14:solidFill>
              <w14:schemeClr w14:val="tx1"/>
            </w14:solidFill>
          </w14:textFill>
        </w:rPr>
        <w:t>效益指标分值</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30分，指标得30分。</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经济效益指标</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实施后，可减轻水体污染，营造良好的招商环境，有利于引进优良的企业，为国民经济持续健康发展提供安全保障。</w:t>
      </w:r>
    </w:p>
    <w:p>
      <w:pPr>
        <w:pStyle w:val="4"/>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实施后，大幅提高片区对洪涝灾害抵御能力，改善村镇的卫生环境以及流域水环境，减少入河污染源，减少因环境卫生而导致的疾病，提升当地居住环境，保障居民社会生活平稳。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通过项目的建设，能够提高水资源的利用效率，减少水资源的浪费，同时保障水资源的可持续利用。在保障人类生产和发展的同时，保护水生态环境。</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通过项目的建设，完善雨水、污水分流排放管网是实现社会健康、协调和可持续发展的需要。</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项目满意度情况</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w:t>
      </w:r>
      <w:r>
        <w:rPr>
          <w:rFonts w:hint="eastAsia" w:ascii="仿宋_GB2312" w:hAnsi="仿宋_GB2312" w:eastAsia="仿宋_GB2312" w:cs="仿宋_GB2312"/>
          <w:bCs/>
          <w:sz w:val="32"/>
          <w:szCs w:val="32"/>
          <w:lang w:val="en-US" w:eastAsia="zh-CN"/>
        </w:rPr>
        <w:t>佛冈县老旧小区改造之县城雨污分流综合治理工程</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进行问卷调查所获得的的数据进行整理分析，群众对雨污分流建设工作的满意度为100%。</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三、主要绩效</w:t>
      </w:r>
    </w:p>
    <w:p>
      <w:pPr>
        <w:keepNext w:val="0"/>
        <w:keepLines w:val="0"/>
        <w:pageBreakBefore w:val="0"/>
        <w:widowControl w:val="0"/>
        <w:kinsoku/>
        <w:wordWrap/>
        <w:overflowPunct/>
        <w:topLinePunct w:val="0"/>
        <w:bidi w:val="0"/>
        <w:snapToGrid w:val="0"/>
        <w:spacing w:line="570" w:lineRule="exact"/>
        <w:textAlignment w:val="auto"/>
        <w:rPr>
          <w:rFonts w:hint="default" w:eastAsia="黑体"/>
          <w:color w:val="000000" w:themeColor="text1"/>
          <w:sz w:val="32"/>
          <w:szCs w:val="32"/>
          <w:lang w:val="en-US" w:eastAsia="zh-CN"/>
          <w14:textFill>
            <w14:solidFill>
              <w14:schemeClr w14:val="tx1"/>
            </w14:solidFill>
          </w14:textFill>
        </w:rPr>
      </w:pPr>
      <w:r>
        <w:rPr>
          <w:rFonts w:hint="eastAsia" w:ascii="黑体" w:hAnsi="黑体" w:eastAsia="黑体" w:cs="黑体"/>
          <w:bCs/>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 xml:space="preserve"> </w:t>
      </w:r>
      <w:r>
        <w:rPr>
          <w:rFonts w:hint="eastAsia" w:ascii="仿宋_GB2312" w:hAnsi="仿宋" w:eastAsia="仿宋_GB2312" w:cs="仿宋"/>
          <w:color w:val="000000" w:themeColor="text1"/>
          <w:sz w:val="32"/>
          <w:szCs w:val="32"/>
          <w:highlight w:val="none"/>
          <w:lang w:val="en-US"/>
          <w14:textFill>
            <w14:solidFill>
              <w14:schemeClr w14:val="tx1"/>
            </w14:solidFill>
          </w14:textFill>
        </w:rPr>
        <w:t>雨污分流将从根本上消除城市河道污染现象，持续改善城市水环境质量，防涝能力大幅度增强，污水厂可接纳更多的污水，使城市生态持续向好，使得佛冈的水更清、天更蓝，为城市发展、招商引资提供更好的条件。</w:t>
      </w:r>
    </w:p>
    <w:p>
      <w:pPr>
        <w:pStyle w:val="6"/>
        <w:keepNext w:val="0"/>
        <w:keepLines w:val="0"/>
        <w:pageBreakBefore w:val="0"/>
        <w:widowControl w:val="0"/>
        <w:numPr>
          <w:ilvl w:val="0"/>
          <w:numId w:val="3"/>
        </w:numPr>
        <w:tabs>
          <w:tab w:val="right" w:leader="dot" w:pos="8958"/>
        </w:tabs>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存在问题</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绩效指标设定不够细化，对绩效目标的社会效益、生态效益、可持续等方面未设立具体的指标，绩效指标设定的科学性有待提高。</w:t>
      </w: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黑体" w:hAnsi="黑体" w:eastAsia="黑体" w:cs="黑体"/>
          <w:bCs/>
          <w:color w:val="000000" w:themeColor="text1"/>
          <w:sz w:val="32"/>
          <w:szCs w:val="32"/>
          <w:lang w:val="en-US" w:eastAsia="zh-CN"/>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五、</w:t>
      </w:r>
      <w:r>
        <w:rPr>
          <w:rFonts w:hint="eastAsia" w:ascii="黑体" w:hAnsi="黑体" w:eastAsia="黑体" w:cs="黑体"/>
          <w:bCs/>
          <w:color w:val="000000" w:themeColor="text1"/>
          <w:sz w:val="32"/>
          <w:szCs w:val="32"/>
          <w:lang w:eastAsia="zh-CN"/>
          <w14:textFill>
            <w14:solidFill>
              <w14:schemeClr w14:val="tx1"/>
            </w14:solidFill>
          </w14:textFill>
        </w:rPr>
        <w:t>改进措施</w:t>
      </w:r>
    </w:p>
    <w:p>
      <w:pPr>
        <w:keepNext w:val="0"/>
        <w:keepLines w:val="0"/>
        <w:pageBreakBefore w:val="0"/>
        <w:widowControl w:val="0"/>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是申报债券项目要进一步夯实基础，做好债券前期工作。项目实施单位需高度重视项目预期受益与融资平衡方案及可行性研究报告的编制，充分论证。二是做好项目事前绩效评估，提高成本测算的准确性，三是设置完整细化的绩效指标、完善相应业务和财务管理制度，便于项目日常管理、考核和事后评价，提高财政资金的使用效益，提升财政资金使用的科学化、精细化。</w:t>
      </w: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bidi w:val="0"/>
        <w:snapToGrid w:val="0"/>
        <w:spacing w:line="570" w:lineRule="exact"/>
        <w:jc w:val="center"/>
        <w:textAlignment w:val="auto"/>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第二部分：分析报告</w:t>
      </w:r>
    </w:p>
    <w:p>
      <w:pPr>
        <w:keepNext w:val="0"/>
        <w:keepLines w:val="0"/>
        <w:pageBreakBefore w:val="0"/>
        <w:widowControl w:val="0"/>
        <w:kinsoku/>
        <w:wordWrap/>
        <w:overflowPunct/>
        <w:topLinePunct w:val="0"/>
        <w:bidi w:val="0"/>
        <w:snapToGrid w:val="0"/>
        <w:spacing w:line="57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黑体" w:hAnsi="黑体" w:eastAsia="黑体" w:cs="黑体"/>
          <w:color w:val="000000" w:themeColor="text1"/>
          <w:sz w:val="32"/>
          <w:szCs w:val="32"/>
          <w:highlight w:val="green"/>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一、基本情况</w:t>
      </w:r>
    </w:p>
    <w:p>
      <w:pPr>
        <w:adjustRightInd w:val="0"/>
        <w:snapToGrid w:val="0"/>
        <w:spacing w:line="360" w:lineRule="auto"/>
        <w:ind w:firstLine="643"/>
        <w:outlineLvl w:val="1"/>
        <w:rPr>
          <w:rFonts w:hint="default" w:ascii="仿宋_GB2312" w:hAnsi="仿宋" w:eastAsia="仿宋_GB2312" w:cs="仿宋_GB2312"/>
          <w:b/>
          <w:bCs/>
          <w:color w:val="000000"/>
          <w:sz w:val="32"/>
          <w:szCs w:val="32"/>
          <w:lang w:val="en-US" w:eastAsia="zh-CN"/>
        </w:rPr>
      </w:pPr>
      <w:bookmarkStart w:id="1" w:name="_Toc10133"/>
      <w:bookmarkStart w:id="2" w:name="_Toc99030931"/>
      <w:bookmarkStart w:id="3" w:name="_Toc101973055"/>
      <w:bookmarkStart w:id="4" w:name="_Toc15306"/>
      <w:bookmarkStart w:id="5" w:name="_Toc10033"/>
      <w:bookmarkStart w:id="6" w:name="_Toc4999"/>
      <w:bookmarkStart w:id="7" w:name="_Toc21139"/>
      <w:bookmarkStart w:id="8" w:name="_Toc4459"/>
      <w:r>
        <w:rPr>
          <w:rFonts w:hint="eastAsia" w:ascii="仿宋_GB2312" w:hAnsi="仿宋" w:eastAsia="仿宋_GB2312" w:cs="仿宋_GB2312"/>
          <w:b/>
          <w:bCs/>
          <w:color w:val="000000"/>
          <w:sz w:val="32"/>
          <w:szCs w:val="32"/>
          <w:lang w:eastAsia="zh-CN"/>
        </w:rPr>
        <w:t>（</w:t>
      </w:r>
      <w:r>
        <w:rPr>
          <w:rFonts w:hint="eastAsia" w:ascii="仿宋_GB2312" w:hAnsi="仿宋" w:eastAsia="仿宋_GB2312" w:cs="仿宋_GB2312"/>
          <w:b/>
          <w:bCs/>
          <w:color w:val="000000"/>
          <w:sz w:val="32"/>
          <w:szCs w:val="32"/>
          <w:lang w:val="en-US" w:eastAsia="zh-CN"/>
        </w:rPr>
        <w:t>一</w:t>
      </w:r>
      <w:r>
        <w:rPr>
          <w:rFonts w:hint="eastAsia" w:ascii="仿宋_GB2312" w:hAnsi="仿宋" w:eastAsia="仿宋_GB2312" w:cs="仿宋_GB2312"/>
          <w:b/>
          <w:bCs/>
          <w:color w:val="000000"/>
          <w:sz w:val="32"/>
          <w:szCs w:val="32"/>
          <w:lang w:eastAsia="zh-CN"/>
        </w:rPr>
        <w:t>）</w:t>
      </w:r>
      <w:r>
        <w:rPr>
          <w:rFonts w:hint="eastAsia" w:ascii="仿宋_GB2312" w:hAnsi="仿宋" w:eastAsia="仿宋_GB2312" w:cs="仿宋_GB2312"/>
          <w:b/>
          <w:bCs/>
          <w:color w:val="000000"/>
          <w:sz w:val="32"/>
          <w:szCs w:val="32"/>
          <w:lang w:val="en-US" w:eastAsia="zh-CN"/>
        </w:rPr>
        <w:t>项目基本情况</w:t>
      </w:r>
    </w:p>
    <w:bookmarkEnd w:id="1"/>
    <w:bookmarkEnd w:id="2"/>
    <w:bookmarkEnd w:id="3"/>
    <w:bookmarkEnd w:id="4"/>
    <w:bookmarkEnd w:id="5"/>
    <w:bookmarkEnd w:id="6"/>
    <w:bookmarkEnd w:id="7"/>
    <w:bookmarkEnd w:id="8"/>
    <w:p>
      <w:pPr>
        <w:adjustRightInd w:val="0"/>
        <w:snapToGrid w:val="0"/>
        <w:spacing w:line="360" w:lineRule="auto"/>
        <w:ind w:firstLine="643"/>
        <w:outlineLvl w:val="1"/>
        <w:rPr>
          <w:rFonts w:hint="eastAsia" w:ascii="仿宋_GB2312" w:hAnsi="仿宋" w:eastAsia="仿宋_GB2312" w:cs="仿宋_GB2312"/>
          <w:b/>
          <w:bCs/>
          <w:color w:val="000000"/>
          <w:sz w:val="32"/>
          <w:szCs w:val="32"/>
        </w:rPr>
      </w:pPr>
      <w:r>
        <w:rPr>
          <w:rFonts w:hint="eastAsia" w:ascii="仿宋_GB2312" w:hAnsi="仿宋" w:eastAsia="仿宋_GB2312" w:cs="仿宋_GB2312"/>
          <w:b/>
          <w:bCs/>
          <w:color w:val="000000"/>
          <w:sz w:val="32"/>
          <w:szCs w:val="32"/>
        </w:rPr>
        <w:t>（</w:t>
      </w:r>
      <w:r>
        <w:rPr>
          <w:rFonts w:hint="eastAsia" w:ascii="仿宋_GB2312" w:hAnsi="仿宋" w:eastAsia="仿宋_GB2312" w:cs="仿宋_GB2312"/>
          <w:b/>
          <w:bCs/>
          <w:color w:val="000000"/>
          <w:sz w:val="32"/>
          <w:szCs w:val="32"/>
          <w:lang w:val="en-US" w:eastAsia="zh-CN"/>
        </w:rPr>
        <w:t>1</w:t>
      </w:r>
      <w:r>
        <w:rPr>
          <w:rFonts w:hint="eastAsia" w:ascii="仿宋_GB2312" w:hAnsi="仿宋" w:eastAsia="仿宋_GB2312" w:cs="仿宋_GB2312"/>
          <w:b/>
          <w:bCs/>
          <w:color w:val="000000"/>
          <w:sz w:val="32"/>
          <w:szCs w:val="32"/>
        </w:rPr>
        <w:t>）项目所处区域财政经济情况</w:t>
      </w:r>
    </w:p>
    <w:p>
      <w:pPr>
        <w:adjustRightInd w:val="0"/>
        <w:snapToGrid w:val="0"/>
        <w:spacing w:line="360" w:lineRule="auto"/>
        <w:ind w:firstLine="640"/>
        <w:jc w:val="both"/>
        <w:rPr>
          <w:rFonts w:hint="eastAsia" w:ascii="仿宋_GB2312" w:hAnsi="仿宋_GB2312" w:eastAsia="仿宋_GB2312" w:cs="仿宋_GB2312"/>
          <w:sz w:val="32"/>
          <w:szCs w:val="32"/>
        </w:rPr>
      </w:pPr>
      <w:bookmarkStart w:id="9" w:name="_Hlk102395787"/>
      <w:bookmarkStart w:id="10" w:name="_Toc6768"/>
      <w:bookmarkStart w:id="11" w:name="_Toc24251"/>
      <w:bookmarkStart w:id="12" w:name="_Toc11398"/>
      <w:bookmarkStart w:id="13" w:name="_Toc101973056"/>
      <w:bookmarkStart w:id="14" w:name="_Toc99030932"/>
      <w:bookmarkStart w:id="15" w:name="_Toc8194"/>
      <w:bookmarkStart w:id="16" w:name="_Toc17951"/>
      <w:bookmarkStart w:id="17" w:name="_Toc26219"/>
      <w:bookmarkStart w:id="18" w:name="_Toc31763"/>
      <w:bookmarkStart w:id="19" w:name="_Toc9605"/>
      <w:r>
        <w:rPr>
          <w:rFonts w:hint="eastAsia" w:ascii="仿宋_GB2312" w:hAnsi="仿宋_GB2312" w:eastAsia="仿宋_GB2312" w:cs="仿宋_GB2312"/>
          <w:sz w:val="32"/>
          <w:szCs w:val="32"/>
        </w:rPr>
        <w:t>佛冈县，广东省清远市下辖县，位于广东省中部，珠江三角洲大三角边缘，属山区县，与从化、新丰、英德和清远市清城区毗邻，是历代兵家必争之地。地形地势自东北向西南倾斜，境内低山、丘陵、谷地、平原交错，面积1295平方公里，六普户籍人口32.07万。佛冈有多处的史前文化遗址，且留存西周的古窑，</w:t>
      </w:r>
    </w:p>
    <w:p>
      <w:pPr>
        <w:adjustRightInd w:val="0"/>
        <w:snapToGrid w:val="0"/>
        <w:spacing w:line="360" w:lineRule="auto"/>
        <w:ind w:firstLine="0" w:firstLineChars="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春秋时期的青铜剑、唐宋的古道等。</w:t>
      </w:r>
    </w:p>
    <w:bookmarkEnd w:id="9"/>
    <w:p>
      <w:pPr>
        <w:adjustRightInd w:val="0"/>
        <w:snapToGrid w:val="0"/>
        <w:spacing w:line="360" w:lineRule="auto"/>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佛冈县2021年至</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年地区生产总值分别为</w:t>
      </w:r>
      <w:r>
        <w:rPr>
          <w:rFonts w:ascii="仿宋_GB2312" w:hAnsi="仿宋_GB2312" w:eastAsia="仿宋_GB2312" w:cs="仿宋_GB2312"/>
          <w:sz w:val="32"/>
          <w:szCs w:val="32"/>
        </w:rPr>
        <w:t>158.52</w:t>
      </w:r>
      <w:r>
        <w:rPr>
          <w:rFonts w:hint="eastAsia" w:ascii="仿宋_GB2312" w:hAnsi="仿宋_GB2312" w:eastAsia="仿宋_GB2312" w:cs="仿宋_GB2312"/>
          <w:sz w:val="32"/>
          <w:szCs w:val="32"/>
        </w:rPr>
        <w:t>亿元、161.34亿元和171.57亿元，政府性基金支出分别为11.80亿元、16.79亿元和18.76亿元。</w:t>
      </w:r>
    </w:p>
    <w:p>
      <w:pPr>
        <w:spacing w:line="360" w:lineRule="auto"/>
        <w:ind w:firstLine="0" w:firstLineChars="0"/>
        <w:jc w:val="center"/>
        <w:rPr>
          <w:rFonts w:hint="eastAsia" w:ascii="仿宋_GB2312" w:hAnsi="仿宋_GB2312" w:eastAsia="仿宋_GB2312" w:cs="仿宋_GB2312"/>
          <w:szCs w:val="28"/>
        </w:rPr>
      </w:pPr>
      <w:r>
        <w:rPr>
          <w:rFonts w:hint="eastAsia" w:ascii="仿宋_GB2312" w:hAnsi="仿宋_GB2312" w:eastAsia="仿宋_GB2312" w:cs="仿宋_GB2312"/>
          <w:szCs w:val="28"/>
        </w:rPr>
        <w:t>近三年佛冈县财政经济情况</w:t>
      </w:r>
    </w:p>
    <w:tbl>
      <w:tblPr>
        <w:tblStyle w:val="7"/>
        <w:tblW w:w="911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02"/>
        <w:gridCol w:w="1433"/>
        <w:gridCol w:w="1530"/>
        <w:gridCol w:w="16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502" w:type="dxa"/>
            <w:tcBorders>
              <w:left w:val="single" w:color="auto" w:sz="4" w:space="0"/>
            </w:tcBorders>
            <w:shd w:val="clear" w:color="auto" w:fill="BEBEBE"/>
            <w:noWrap w:val="0"/>
            <w:vAlign w:val="center"/>
          </w:tcPr>
          <w:p>
            <w:pPr>
              <w:ind w:firstLine="48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项目</w:t>
            </w:r>
          </w:p>
        </w:tc>
        <w:tc>
          <w:tcPr>
            <w:tcW w:w="1433" w:type="dxa"/>
            <w:shd w:val="clear" w:color="auto" w:fill="BEBEBE"/>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2021年</w:t>
            </w:r>
          </w:p>
        </w:tc>
        <w:tc>
          <w:tcPr>
            <w:tcW w:w="1530" w:type="dxa"/>
            <w:shd w:val="clear" w:color="auto" w:fill="BEBEBE"/>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2022年</w:t>
            </w:r>
          </w:p>
        </w:tc>
        <w:tc>
          <w:tcPr>
            <w:tcW w:w="1653" w:type="dxa"/>
            <w:tcBorders>
              <w:right w:val="single" w:color="auto" w:sz="4" w:space="0"/>
            </w:tcBorders>
            <w:shd w:val="clear" w:color="auto" w:fill="BEBEBE"/>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lang w:eastAsia="zh-CN"/>
              </w:rPr>
              <w:t>2024</w:t>
            </w:r>
            <w:r>
              <w:rPr>
                <w:rFonts w:hint="eastAsia" w:ascii="仿宋_GB2312" w:hAnsi="黑体" w:eastAsia="仿宋_GB2312" w:cs="黑体"/>
                <w:bCs/>
                <w:sz w:val="24"/>
                <w:szCs w:val="24"/>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502" w:type="dxa"/>
            <w:tcBorders>
              <w:left w:val="single" w:color="auto" w:sz="4" w:space="0"/>
            </w:tcBorders>
            <w:noWrap w:val="0"/>
            <w:vAlign w:val="center"/>
          </w:tcPr>
          <w:p>
            <w:pPr>
              <w:pStyle w:val="2"/>
              <w:ind w:firstLine="560"/>
              <w:jc w:val="center"/>
              <w:rPr>
                <w:rFonts w:hAnsi="仿宋" w:cs="仿宋"/>
                <w:color w:val="auto"/>
              </w:rPr>
            </w:pPr>
            <w:r>
              <w:rPr>
                <w:rFonts w:hAnsi="仿宋" w:cs="仿宋"/>
                <w:color w:val="auto"/>
              </w:rPr>
              <w:t>地区生产总值（亿元）</w:t>
            </w:r>
          </w:p>
        </w:tc>
        <w:tc>
          <w:tcPr>
            <w:tcW w:w="1433"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w:t>
            </w:r>
            <w:r>
              <w:rPr>
                <w:rFonts w:ascii="仿宋_GB2312" w:hAnsi="黑体" w:eastAsia="仿宋_GB2312" w:cs="黑体"/>
                <w:bCs/>
                <w:sz w:val="24"/>
                <w:szCs w:val="24"/>
              </w:rPr>
              <w:t>58.52</w:t>
            </w:r>
          </w:p>
        </w:tc>
        <w:tc>
          <w:tcPr>
            <w:tcW w:w="1530"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161.34</w:t>
            </w:r>
          </w:p>
        </w:tc>
        <w:tc>
          <w:tcPr>
            <w:tcW w:w="1653" w:type="dxa"/>
            <w:tcBorders>
              <w:right w:val="single" w:color="auto" w:sz="4" w:space="0"/>
            </w:tcBorders>
            <w:noWrap w:val="0"/>
            <w:vAlign w:val="center"/>
          </w:tcPr>
          <w:p>
            <w:pPr>
              <w:ind w:firstLine="0" w:firstLineChars="0"/>
              <w:jc w:val="center"/>
              <w:rPr>
                <w:rFonts w:ascii="仿宋_GB2312" w:hAnsi="黑体" w:eastAsia="仿宋_GB2312" w:cs="黑体"/>
                <w:bCs/>
                <w:sz w:val="24"/>
                <w:szCs w:val="24"/>
              </w:rPr>
            </w:pPr>
            <w:r>
              <w:rPr>
                <w:rFonts w:hint="eastAsia" w:ascii="仿宋_GB2312" w:hAnsi="黑体" w:eastAsia="仿宋_GB2312" w:cs="黑体"/>
                <w:bCs/>
                <w:sz w:val="24"/>
                <w:szCs w:val="24"/>
              </w:rPr>
              <w:t>171.57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502" w:type="dxa"/>
            <w:tcBorders>
              <w:left w:val="single" w:color="auto" w:sz="4" w:space="0"/>
            </w:tcBorders>
            <w:noWrap w:val="0"/>
            <w:vAlign w:val="center"/>
          </w:tcPr>
          <w:p>
            <w:pPr>
              <w:pStyle w:val="2"/>
              <w:ind w:firstLine="560"/>
              <w:jc w:val="center"/>
              <w:rPr>
                <w:rFonts w:hAnsi="仿宋" w:cs="仿宋"/>
                <w:color w:val="auto"/>
              </w:rPr>
            </w:pPr>
            <w:r>
              <w:rPr>
                <w:rFonts w:hAnsi="仿宋" w:cs="仿宋"/>
                <w:color w:val="auto"/>
              </w:rPr>
              <w:t>一般预算收入（亿元）</w:t>
            </w:r>
          </w:p>
        </w:tc>
        <w:tc>
          <w:tcPr>
            <w:tcW w:w="1433"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11.61</w:t>
            </w:r>
          </w:p>
        </w:tc>
        <w:tc>
          <w:tcPr>
            <w:tcW w:w="1530"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12.77</w:t>
            </w:r>
          </w:p>
        </w:tc>
        <w:tc>
          <w:tcPr>
            <w:tcW w:w="1653" w:type="dxa"/>
            <w:tcBorders>
              <w:right w:val="single" w:color="auto" w:sz="4" w:space="0"/>
            </w:tcBorders>
            <w:noWrap w:val="0"/>
            <w:vAlign w:val="center"/>
          </w:tcPr>
          <w:p>
            <w:pPr>
              <w:ind w:firstLine="0" w:firstLineChars="0"/>
              <w:jc w:val="center"/>
              <w:rPr>
                <w:rFonts w:ascii="仿宋_GB2312" w:hAnsi="黑体" w:eastAsia="仿宋_GB2312" w:cs="黑体"/>
                <w:bCs/>
                <w:sz w:val="24"/>
                <w:szCs w:val="24"/>
              </w:rPr>
            </w:pPr>
            <w:r>
              <w:rPr>
                <w:rFonts w:hint="eastAsia" w:ascii="仿宋_GB2312" w:hAnsi="黑体" w:eastAsia="仿宋_GB2312" w:cs="黑体"/>
                <w:bCs/>
                <w:sz w:val="24"/>
                <w:szCs w:val="24"/>
              </w:rPr>
              <w:t>13.59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502" w:type="dxa"/>
            <w:tcBorders>
              <w:left w:val="single" w:color="auto" w:sz="4" w:space="0"/>
            </w:tcBorders>
            <w:noWrap w:val="0"/>
            <w:vAlign w:val="center"/>
          </w:tcPr>
          <w:p>
            <w:pPr>
              <w:pStyle w:val="2"/>
              <w:ind w:firstLine="560"/>
              <w:jc w:val="center"/>
              <w:rPr>
                <w:rFonts w:hAnsi="仿宋" w:cs="仿宋"/>
                <w:color w:val="auto"/>
              </w:rPr>
            </w:pPr>
            <w:r>
              <w:rPr>
                <w:rFonts w:hAnsi="仿宋" w:cs="仿宋"/>
                <w:color w:val="auto"/>
              </w:rPr>
              <w:t>政府性基金收入（亿元）</w:t>
            </w:r>
          </w:p>
        </w:tc>
        <w:tc>
          <w:tcPr>
            <w:tcW w:w="1433"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16.27</w:t>
            </w:r>
          </w:p>
        </w:tc>
        <w:tc>
          <w:tcPr>
            <w:tcW w:w="1530"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10.76</w:t>
            </w:r>
          </w:p>
        </w:tc>
        <w:tc>
          <w:tcPr>
            <w:tcW w:w="1653" w:type="dxa"/>
            <w:tcBorders>
              <w:right w:val="single" w:color="auto" w:sz="4" w:space="0"/>
            </w:tcBorders>
            <w:noWrap w:val="0"/>
            <w:vAlign w:val="center"/>
          </w:tcPr>
          <w:p>
            <w:pPr>
              <w:ind w:firstLine="0" w:firstLineChars="0"/>
              <w:jc w:val="center"/>
              <w:rPr>
                <w:rFonts w:ascii="仿宋_GB2312" w:hAnsi="黑体" w:eastAsia="仿宋_GB2312" w:cs="黑体"/>
                <w:bCs/>
                <w:sz w:val="24"/>
                <w:szCs w:val="24"/>
              </w:rPr>
            </w:pPr>
            <w:r>
              <w:rPr>
                <w:rFonts w:hint="eastAsia" w:ascii="仿宋_GB2312" w:hAnsi="黑体" w:eastAsia="仿宋_GB2312" w:cs="黑体"/>
                <w:bCs/>
                <w:sz w:val="24"/>
                <w:szCs w:val="24"/>
              </w:rPr>
              <w:t>6.44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02" w:type="dxa"/>
            <w:tcBorders>
              <w:left w:val="single" w:color="auto" w:sz="4" w:space="0"/>
            </w:tcBorders>
            <w:noWrap w:val="0"/>
            <w:vAlign w:val="center"/>
          </w:tcPr>
          <w:p>
            <w:pPr>
              <w:pStyle w:val="2"/>
              <w:ind w:firstLine="560"/>
              <w:jc w:val="center"/>
              <w:rPr>
                <w:rFonts w:hAnsi="仿宋" w:cs="仿宋"/>
                <w:color w:val="auto"/>
              </w:rPr>
            </w:pPr>
            <w:r>
              <w:rPr>
                <w:rFonts w:hAnsi="仿宋" w:cs="仿宋"/>
                <w:color w:val="auto"/>
              </w:rPr>
              <w:t>其中：国有土地出让收入（亿元）</w:t>
            </w:r>
          </w:p>
        </w:tc>
        <w:tc>
          <w:tcPr>
            <w:tcW w:w="1433"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14.61</w:t>
            </w:r>
          </w:p>
        </w:tc>
        <w:tc>
          <w:tcPr>
            <w:tcW w:w="1530"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9.36</w:t>
            </w:r>
          </w:p>
        </w:tc>
        <w:tc>
          <w:tcPr>
            <w:tcW w:w="1653" w:type="dxa"/>
            <w:tcBorders>
              <w:right w:val="single" w:color="auto" w:sz="4" w:space="0"/>
            </w:tcBorders>
            <w:noWrap w:val="0"/>
            <w:vAlign w:val="center"/>
          </w:tcPr>
          <w:p>
            <w:pPr>
              <w:ind w:firstLine="0" w:firstLineChars="0"/>
              <w:jc w:val="center"/>
              <w:rPr>
                <w:rFonts w:ascii="仿宋_GB2312" w:hAnsi="黑体" w:eastAsia="仿宋_GB2312" w:cs="黑体"/>
                <w:bCs/>
                <w:sz w:val="24"/>
                <w:szCs w:val="24"/>
              </w:rPr>
            </w:pPr>
            <w:r>
              <w:rPr>
                <w:rFonts w:hint="eastAsia" w:ascii="仿宋_GB2312" w:hAnsi="黑体" w:eastAsia="仿宋_GB2312" w:cs="黑体"/>
                <w:bCs/>
                <w:sz w:val="24"/>
                <w:szCs w:val="24"/>
              </w:rPr>
              <w:t>5.25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502" w:type="dxa"/>
            <w:tcBorders>
              <w:left w:val="single" w:color="auto" w:sz="4" w:space="0"/>
            </w:tcBorders>
            <w:noWrap w:val="0"/>
            <w:vAlign w:val="center"/>
          </w:tcPr>
          <w:p>
            <w:pPr>
              <w:pStyle w:val="2"/>
              <w:ind w:firstLine="560"/>
              <w:jc w:val="center"/>
              <w:rPr>
                <w:rFonts w:hAnsi="仿宋" w:cs="仿宋"/>
                <w:color w:val="auto"/>
              </w:rPr>
            </w:pPr>
            <w:r>
              <w:rPr>
                <w:rFonts w:hAnsi="仿宋" w:cs="仿宋"/>
                <w:color w:val="auto"/>
              </w:rPr>
              <w:t>政府性基金支出（亿元）</w:t>
            </w:r>
          </w:p>
        </w:tc>
        <w:tc>
          <w:tcPr>
            <w:tcW w:w="1433"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11.80</w:t>
            </w:r>
          </w:p>
        </w:tc>
        <w:tc>
          <w:tcPr>
            <w:tcW w:w="1530"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16.79</w:t>
            </w:r>
          </w:p>
        </w:tc>
        <w:tc>
          <w:tcPr>
            <w:tcW w:w="1653" w:type="dxa"/>
            <w:tcBorders>
              <w:right w:val="single" w:color="auto" w:sz="4" w:space="0"/>
            </w:tcBorders>
            <w:noWrap w:val="0"/>
            <w:vAlign w:val="center"/>
          </w:tcPr>
          <w:p>
            <w:pPr>
              <w:ind w:firstLine="0" w:firstLineChars="0"/>
              <w:jc w:val="center"/>
              <w:rPr>
                <w:rFonts w:ascii="仿宋_GB2312" w:hAnsi="黑体" w:eastAsia="仿宋_GB2312" w:cs="黑体"/>
                <w:bCs/>
                <w:sz w:val="24"/>
                <w:szCs w:val="24"/>
              </w:rPr>
            </w:pPr>
            <w:r>
              <w:rPr>
                <w:rFonts w:hint="eastAsia" w:ascii="仿宋_GB2312" w:hAnsi="黑体" w:eastAsia="仿宋_GB2312" w:cs="黑体"/>
                <w:bCs/>
                <w:sz w:val="24"/>
                <w:szCs w:val="24"/>
              </w:rPr>
              <w:t>18.76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502" w:type="dxa"/>
            <w:tcBorders>
              <w:left w:val="single" w:color="auto" w:sz="4" w:space="0"/>
            </w:tcBorders>
            <w:noWrap w:val="0"/>
            <w:vAlign w:val="center"/>
          </w:tcPr>
          <w:p>
            <w:pPr>
              <w:pStyle w:val="2"/>
              <w:ind w:firstLine="560"/>
              <w:jc w:val="center"/>
              <w:rPr>
                <w:rFonts w:hAnsi="仿宋" w:cs="仿宋"/>
                <w:color w:val="auto"/>
              </w:rPr>
            </w:pPr>
            <w:r>
              <w:rPr>
                <w:rFonts w:hAnsi="仿宋" w:cs="仿宋"/>
                <w:color w:val="auto"/>
              </w:rPr>
              <w:t>其中：国有土地出让支出（亿元）</w:t>
            </w:r>
          </w:p>
        </w:tc>
        <w:tc>
          <w:tcPr>
            <w:tcW w:w="1433"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8.60</w:t>
            </w:r>
          </w:p>
        </w:tc>
        <w:tc>
          <w:tcPr>
            <w:tcW w:w="1530" w:type="dxa"/>
            <w:noWrap w:val="0"/>
            <w:vAlign w:val="center"/>
          </w:tcPr>
          <w:p>
            <w:pPr>
              <w:ind w:firstLine="0" w:firstLineChars="0"/>
              <w:jc w:val="center"/>
              <w:rPr>
                <w:rFonts w:hint="eastAsia" w:ascii="仿宋_GB2312" w:hAnsi="黑体" w:eastAsia="仿宋_GB2312" w:cs="黑体"/>
                <w:bCs/>
                <w:sz w:val="24"/>
                <w:szCs w:val="24"/>
              </w:rPr>
            </w:pPr>
            <w:r>
              <w:rPr>
                <w:rFonts w:hint="eastAsia" w:ascii="仿宋_GB2312" w:hAnsi="黑体" w:eastAsia="仿宋_GB2312" w:cs="黑体"/>
                <w:bCs/>
                <w:sz w:val="24"/>
                <w:szCs w:val="24"/>
              </w:rPr>
              <w:t>3.70</w:t>
            </w:r>
          </w:p>
        </w:tc>
        <w:tc>
          <w:tcPr>
            <w:tcW w:w="1653" w:type="dxa"/>
            <w:tcBorders>
              <w:right w:val="single" w:color="auto" w:sz="4" w:space="0"/>
            </w:tcBorders>
            <w:noWrap w:val="0"/>
            <w:vAlign w:val="center"/>
          </w:tcPr>
          <w:p>
            <w:pPr>
              <w:ind w:firstLine="0" w:firstLineChars="0"/>
              <w:jc w:val="center"/>
              <w:rPr>
                <w:rFonts w:ascii="仿宋_GB2312" w:hAnsi="黑体" w:eastAsia="仿宋_GB2312" w:cs="黑体"/>
                <w:bCs/>
                <w:sz w:val="24"/>
                <w:szCs w:val="24"/>
              </w:rPr>
            </w:pPr>
            <w:r>
              <w:rPr>
                <w:rFonts w:hint="eastAsia" w:ascii="仿宋_GB2312" w:hAnsi="黑体" w:eastAsia="仿宋_GB2312" w:cs="黑体"/>
                <w:bCs/>
                <w:sz w:val="24"/>
                <w:szCs w:val="24"/>
              </w:rPr>
              <w:t>2.92</w:t>
            </w:r>
          </w:p>
        </w:tc>
      </w:tr>
    </w:tbl>
    <w:p>
      <w:pPr>
        <w:pStyle w:val="3"/>
        <w:ind w:firstLine="643"/>
        <w:rPr>
          <w:rFonts w:hint="eastAsia" w:ascii="仿宋_GB2312" w:hAnsi="仿宋" w:eastAsia="仿宋_GB2312" w:cs="仿宋_GB2312"/>
          <w:b w:val="0"/>
          <w:bCs w:val="0"/>
          <w:sz w:val="32"/>
        </w:rPr>
      </w:pPr>
      <w:r>
        <w:rPr>
          <w:rFonts w:hint="eastAsia" w:ascii="仿宋_GB2312" w:hAnsi="仿宋" w:eastAsia="仿宋_GB2312" w:cs="仿宋_GB2312"/>
          <w:sz w:val="32"/>
        </w:rPr>
        <w:t>（</w:t>
      </w:r>
      <w:r>
        <w:rPr>
          <w:rFonts w:hint="eastAsia" w:ascii="仿宋_GB2312" w:hAnsi="仿宋" w:eastAsia="仿宋_GB2312" w:cs="仿宋_GB2312"/>
          <w:sz w:val="32"/>
          <w:lang w:val="en-US" w:eastAsia="zh-CN"/>
        </w:rPr>
        <w:t>2</w:t>
      </w:r>
      <w:r>
        <w:rPr>
          <w:rFonts w:hint="eastAsia" w:ascii="仿宋_GB2312" w:hAnsi="仿宋" w:eastAsia="仿宋_GB2312" w:cs="仿宋_GB2312"/>
          <w:sz w:val="32"/>
        </w:rPr>
        <w:t>）本地社会发展规划和行业相关规划</w:t>
      </w:r>
      <w:bookmarkEnd w:id="10"/>
      <w:bookmarkEnd w:id="11"/>
      <w:bookmarkEnd w:id="12"/>
      <w:bookmarkEnd w:id="13"/>
      <w:bookmarkEnd w:id="14"/>
      <w:bookmarkEnd w:id="15"/>
      <w:bookmarkEnd w:id="16"/>
      <w:bookmarkEnd w:id="17"/>
      <w:bookmarkEnd w:id="18"/>
      <w:bookmarkEnd w:id="19"/>
    </w:p>
    <w:p>
      <w:pPr>
        <w:pStyle w:val="4"/>
        <w:spacing w:before="0" w:after="0" w:line="360" w:lineRule="auto"/>
        <w:ind w:firstLine="640"/>
        <w:jc w:val="both"/>
        <w:rPr>
          <w:rFonts w:hint="eastAsia" w:ascii="仿宋_GB2312" w:hAnsi="仿宋_GB2312" w:eastAsia="仿宋_GB2312" w:cs="仿宋_GB2312"/>
          <w:sz w:val="32"/>
          <w:szCs w:val="32"/>
          <w:lang w:val="en-US"/>
        </w:rPr>
      </w:pPr>
      <w:bookmarkStart w:id="20" w:name="_Toc19892"/>
      <w:bookmarkStart w:id="21" w:name="_Toc21002"/>
      <w:bookmarkStart w:id="22" w:name="_Toc18098"/>
      <w:bookmarkStart w:id="23" w:name="_Toc28496"/>
      <w:bookmarkStart w:id="24" w:name="_Toc101973057"/>
      <w:bookmarkStart w:id="25" w:name="_Toc99030933"/>
      <w:bookmarkStart w:id="26" w:name="_Toc26478"/>
      <w:bookmarkStart w:id="27" w:name="_Toc28114"/>
      <w:r>
        <w:rPr>
          <w:rFonts w:hint="eastAsia" w:ascii="仿宋_GB2312" w:hAnsi="仿宋_GB2312" w:eastAsia="仿宋_GB2312" w:cs="仿宋_GB2312"/>
          <w:sz w:val="32"/>
          <w:szCs w:val="32"/>
          <w:lang w:val="en-US"/>
        </w:rPr>
        <w:t>潖江以内的佛冈城南片区是佛冈县城的中心腹地，片区内的排水体制为雨污合流排水，居民楼的雨水和生活污水就近排入至城市街道的合流管道中再进行末端截污，严重的影响了水环境。进行县城的雨污分流，改善河涌水质，提升县城人居质量，也是落实河长制的一项有效措施。</w:t>
      </w:r>
    </w:p>
    <w:p>
      <w:pPr>
        <w:pStyle w:val="4"/>
        <w:spacing w:before="0" w:after="0" w:line="360" w:lineRule="auto"/>
        <w:ind w:firstLine="64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106国道以南区域有大面积的山体，其汛期产生的山水也通过106国道下的管涵排入至城南片区的现状排水管渠后，再排入至潖江。汛期时，该部分洪水会极大的增加城南片区排水管网的压力，造成城南片区容易内涝。因此本雨污分流项目的实施，可以减轻县城的内涝现象。</w:t>
      </w:r>
    </w:p>
    <w:p>
      <w:pPr>
        <w:pStyle w:val="4"/>
        <w:spacing w:before="0" w:after="0" w:line="360" w:lineRule="auto"/>
        <w:ind w:firstLine="640"/>
        <w:jc w:val="both"/>
        <w:rPr>
          <w:rFonts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 xml:space="preserve">现佛冈县污水处理厂的日设计处理规模是3万吨，出水标准要达到《城镇污水处理厂污染物排放标准》（GB18918-2002）一级标准中的B标准和广东省地方标准《水污染物排放限值》（DB4416-2001）一级标准（第二时段）的要求。但根据国家新的环保政策要求，县城的污水处理厂的水质应达到《城镇污水处理厂污染物排放标准》（GB18918-2002）一级标准中的A标准和广东省地方标准《水污染物排放限值》（DB4416-2001）一级标准（第二时段）的要求；且根据统计，进水污水量已达3.5万吨/天，污水厂已处于超负荷运行。所以污水处理厂的改扩建是达到国家环保要求，为城区发展奠定基础设施的必要。                                                                                                                                                                                                                                                                                                                                                                                                                                                                                                                                                                                                                                                                                                                                                                                                                                                                                                                                                                                                                                                                                                                                                                                                                                                                                                                                                                                                                                                                                                                                                                                                                                                                                                                                                                                                                                                                                                                                                                                                                                                                                                                                                                                                                                                                                                                                                                                                                                                                                                                                                                                                                                                                                                                                                                                                                                                                                                                                                                                                                                                                                                                                                                                                                                                                                                                                                                                                                                                                                                                                                                                                                                                                                                                                                                                                         </w:t>
      </w:r>
    </w:p>
    <w:p>
      <w:pPr>
        <w:pStyle w:val="4"/>
        <w:spacing w:before="0" w:after="0" w:line="360" w:lineRule="auto"/>
        <w:ind w:firstLine="64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因此，佛冈县城的雨污分流综合整治工程是改善水体环境、减轻城市内涝和满足城市污水处理需求的需要，为城市的发展和建设创造条件。</w:t>
      </w:r>
    </w:p>
    <w:p>
      <w:pPr>
        <w:widowControl w:val="0"/>
        <w:adjustRightInd w:val="0"/>
        <w:snapToGrid w:val="0"/>
        <w:spacing w:line="360" w:lineRule="auto"/>
        <w:ind w:firstLine="643"/>
        <w:jc w:val="both"/>
        <w:outlineLvl w:val="1"/>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en-US" w:eastAsia="zh-CN"/>
        </w:rPr>
        <w:t>3</w:t>
      </w:r>
      <w:r>
        <w:rPr>
          <w:rFonts w:hint="eastAsia" w:ascii="仿宋_GB2312" w:hAnsi="仿宋_GB2312" w:eastAsia="仿宋_GB2312" w:cs="仿宋_GB2312"/>
          <w:b/>
          <w:bCs/>
          <w:color w:val="000000"/>
          <w:sz w:val="32"/>
          <w:szCs w:val="32"/>
        </w:rPr>
        <w:t>）项目</w:t>
      </w:r>
      <w:bookmarkEnd w:id="20"/>
      <w:bookmarkEnd w:id="21"/>
      <w:bookmarkEnd w:id="22"/>
      <w:bookmarkEnd w:id="23"/>
      <w:r>
        <w:rPr>
          <w:rFonts w:hint="eastAsia" w:ascii="仿宋_GB2312" w:hAnsi="仿宋_GB2312" w:eastAsia="仿宋_GB2312" w:cs="仿宋_GB2312"/>
          <w:b/>
          <w:bCs/>
          <w:color w:val="000000"/>
          <w:sz w:val="32"/>
          <w:szCs w:val="32"/>
        </w:rPr>
        <w:t>情况</w:t>
      </w:r>
      <w:bookmarkEnd w:id="24"/>
      <w:bookmarkEnd w:id="25"/>
      <w:bookmarkEnd w:id="26"/>
      <w:bookmarkEnd w:id="27"/>
    </w:p>
    <w:p>
      <w:pPr>
        <w:pStyle w:val="4"/>
        <w:spacing w:before="0" w:after="0" w:line="360" w:lineRule="auto"/>
        <w:ind w:firstLine="640"/>
        <w:jc w:val="both"/>
        <w:rPr>
          <w:rFonts w:ascii="仿宋_GB2312" w:hAnsi="仿宋_GB2312" w:eastAsia="仿宋_GB2312" w:cs="仿宋_GB2312"/>
          <w:sz w:val="32"/>
          <w:szCs w:val="32"/>
          <w:lang w:val="en-US"/>
        </w:rPr>
      </w:pPr>
      <w:bookmarkStart w:id="28" w:name="_Toc8096"/>
      <w:bookmarkStart w:id="29" w:name="_Toc7674"/>
      <w:bookmarkStart w:id="30" w:name="_Toc18655"/>
      <w:bookmarkStart w:id="31" w:name="_Toc99030935"/>
      <w:bookmarkStart w:id="32" w:name="_Toc101973059"/>
      <w:bookmarkStart w:id="33" w:name="_Toc26791"/>
      <w:bookmarkStart w:id="34" w:name="_Toc2548"/>
      <w:bookmarkStart w:id="35" w:name="_Toc11700"/>
      <w:r>
        <w:rPr>
          <w:rFonts w:hint="eastAsia" w:ascii="仿宋_GB2312" w:hAnsi="仿宋_GB2312" w:eastAsia="仿宋_GB2312" w:cs="仿宋_GB2312"/>
          <w:sz w:val="32"/>
          <w:szCs w:val="32"/>
          <w:lang w:val="en-US"/>
        </w:rPr>
        <w:t>2022年4月27日，佛冈县发展和改革局出具的《关于佛冈县老旧小区改造之县城雨污分流综合治理工程可行性研究报告的批复》（佛发改(2022) 97号），同意本项目实施。</w:t>
      </w:r>
    </w:p>
    <w:p>
      <w:pPr>
        <w:widowControl w:val="0"/>
        <w:adjustRightInd w:val="0"/>
        <w:snapToGrid w:val="0"/>
        <w:spacing w:line="360" w:lineRule="auto"/>
        <w:ind w:firstLine="561" w:firstLineChars="0"/>
        <w:jc w:val="both"/>
        <w:outlineLvl w:val="1"/>
        <w:rPr>
          <w:rFonts w:hint="eastAsia" w:ascii="仿宋_GB2312" w:hAnsi="仿宋" w:eastAsia="仿宋_GB2312" w:cs="仿宋"/>
          <w:sz w:val="32"/>
          <w:szCs w:val="32"/>
        </w:rPr>
      </w:pPr>
      <w:r>
        <w:rPr>
          <w:rFonts w:hint="eastAsia" w:ascii="仿宋_GB2312" w:hAnsi="仿宋" w:eastAsia="仿宋_GB2312" w:cs="仿宋"/>
          <w:sz w:val="32"/>
          <w:szCs w:val="32"/>
        </w:rPr>
        <w:t>项目位于佛冈县石角镇，主要建设内容:佛冈县老旧小区改造之县城雨污分流综合治理工程包括两部分:</w:t>
      </w:r>
    </w:p>
    <w:p>
      <w:pPr>
        <w:widowControl w:val="0"/>
        <w:adjustRightInd w:val="0"/>
        <w:snapToGrid w:val="0"/>
        <w:spacing w:line="360" w:lineRule="auto"/>
        <w:ind w:firstLine="561" w:firstLineChars="0"/>
        <w:jc w:val="both"/>
        <w:outlineLvl w:val="1"/>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排水管道的雨污分流改造:对106国道、文明路、青云路、青松路、环城中路和环城西路的现状排水管进行改造，将原有的合流管道作为污水管，新建d800~d3000雨水管及雨水口。并将106国道南侧山体的洪水截至文明路的新建雨水管、冈田水，实现城南片区高水高排和雨污分流，解决片区的内涝和污染问题。本部分新建d1500~d3000雨水干管共长约8.3千米，d800支管约3.2千米，dn200 雨水口连接管约6.6千米，雨水口约664个，检查井约394个。</w:t>
      </w:r>
    </w:p>
    <w:p>
      <w:pPr>
        <w:widowControl w:val="0"/>
        <w:adjustRightInd w:val="0"/>
        <w:snapToGrid w:val="0"/>
        <w:spacing w:line="360" w:lineRule="auto"/>
        <w:ind w:firstLine="561" w:firstLineChars="0"/>
        <w:jc w:val="both"/>
        <w:outlineLvl w:val="1"/>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污水处理厂的提质扩容:佛冈县污水处理厂现状的处理规模是3万吨/天，其出水是达到《城镇污水处理厂污染物排放标准》(GB18918-2002) 一级标准中的B标准和广东省地方标准《水污染物排放限值》(DB4416-2001) 一级标准(第二时段)的要求;本次拟增加2万吨/天的处理规模，且要求出水达到《城镇污水处理厂污染物排放标准》(GB18918-2002) 一级标准中的A标准和广东省地方标准《水污染物排放限值》(DB4416-2001)一级标准(第二时段)的要求。</w:t>
      </w:r>
    </w:p>
    <w:p>
      <w:pPr>
        <w:widowControl w:val="0"/>
        <w:adjustRightInd w:val="0"/>
        <w:snapToGrid w:val="0"/>
        <w:spacing w:line="360" w:lineRule="auto"/>
        <w:ind w:firstLine="561" w:firstLineChars="0"/>
        <w:jc w:val="both"/>
        <w:outlineLvl w:val="1"/>
        <w:rPr>
          <w:rFonts w:hint="eastAsia" w:ascii="仿宋_GB2312" w:hAnsi="仿宋" w:eastAsia="仿宋_GB2312" w:cs="仿宋"/>
          <w:b/>
          <w:bCs/>
          <w:sz w:val="32"/>
          <w:szCs w:val="32"/>
        </w:rPr>
      </w:pPr>
      <w:bookmarkStart w:id="36" w:name="_Toc99030934"/>
      <w:bookmarkStart w:id="37" w:name="_Toc99031013"/>
      <w:bookmarkStart w:id="38" w:name="_Toc101973058"/>
      <w:r>
        <w:rPr>
          <w:rFonts w:hint="eastAsia" w:ascii="仿宋_GB2312" w:hAnsi="仿宋" w:eastAsia="仿宋_GB2312" w:cs="仿宋"/>
          <w:sz w:val="32"/>
          <w:szCs w:val="32"/>
        </w:rPr>
        <w:t>本项目属于有一定收益的公益性项目。</w:t>
      </w:r>
      <w:bookmarkEnd w:id="36"/>
      <w:bookmarkEnd w:id="37"/>
      <w:bookmarkEnd w:id="38"/>
    </w:p>
    <w:p>
      <w:pPr>
        <w:widowControl w:val="0"/>
        <w:adjustRightInd w:val="0"/>
        <w:snapToGrid w:val="0"/>
        <w:spacing w:line="360" w:lineRule="auto"/>
        <w:ind w:firstLine="561" w:firstLineChars="0"/>
        <w:jc w:val="both"/>
        <w:outlineLvl w:val="1"/>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en-US" w:eastAsia="zh-CN"/>
        </w:rPr>
        <w:t>4</w:t>
      </w:r>
      <w:r>
        <w:rPr>
          <w:rFonts w:hint="eastAsia" w:ascii="仿宋_GB2312" w:hAnsi="仿宋_GB2312" w:eastAsia="仿宋_GB2312" w:cs="仿宋_GB2312"/>
          <w:b/>
          <w:bCs/>
          <w:color w:val="000000"/>
          <w:sz w:val="32"/>
          <w:szCs w:val="32"/>
        </w:rPr>
        <w:t>）项目立项情况或实施依据</w:t>
      </w:r>
      <w:bookmarkEnd w:id="28"/>
      <w:bookmarkEnd w:id="29"/>
      <w:bookmarkEnd w:id="30"/>
      <w:bookmarkEnd w:id="31"/>
      <w:bookmarkEnd w:id="32"/>
      <w:bookmarkEnd w:id="33"/>
      <w:bookmarkEnd w:id="34"/>
      <w:bookmarkEnd w:id="35"/>
    </w:p>
    <w:p>
      <w:pPr>
        <w:pStyle w:val="4"/>
        <w:spacing w:before="0" w:after="0" w:line="360" w:lineRule="auto"/>
        <w:ind w:firstLine="640"/>
        <w:jc w:val="both"/>
        <w:rPr>
          <w:rFonts w:ascii="仿宋_GB2312" w:hAnsi="仿宋_GB2312" w:eastAsia="仿宋_GB2312" w:cs="仿宋_GB2312"/>
          <w:sz w:val="32"/>
          <w:szCs w:val="32"/>
          <w:lang w:val="en-US"/>
        </w:rPr>
      </w:pPr>
      <w:bookmarkStart w:id="39" w:name="_Toc4489"/>
      <w:bookmarkStart w:id="40" w:name="_Toc16947"/>
      <w:bookmarkStart w:id="41" w:name="_Toc101973060"/>
      <w:bookmarkStart w:id="42" w:name="_Toc99030936"/>
      <w:bookmarkStart w:id="43" w:name="_Toc14727"/>
      <w:bookmarkStart w:id="44" w:name="_Toc22609"/>
      <w:bookmarkStart w:id="45" w:name="_Toc29630"/>
      <w:bookmarkStart w:id="46" w:name="_Toc8867"/>
      <w:r>
        <w:rPr>
          <w:rFonts w:hint="eastAsia" w:ascii="仿宋_GB2312" w:hAnsi="仿宋_GB2312" w:eastAsia="仿宋_GB2312" w:cs="仿宋_GB2312"/>
          <w:sz w:val="32"/>
          <w:szCs w:val="32"/>
          <w:lang w:val="en-US"/>
        </w:rPr>
        <w:t>2022年4月27日，佛冈县发展和改革局出具的《关于佛冈县老旧小区改造之县城雨污分流综合治理工程可行性研究报告的批复》（佛发改(2022) 97号），同意本项目实施。</w:t>
      </w:r>
    </w:p>
    <w:p>
      <w:pPr>
        <w:widowControl w:val="0"/>
        <w:adjustRightInd w:val="0"/>
        <w:snapToGrid w:val="0"/>
        <w:spacing w:line="360" w:lineRule="auto"/>
        <w:ind w:firstLine="561" w:firstLineChars="0"/>
        <w:jc w:val="both"/>
        <w:outlineLvl w:val="1"/>
        <w:rPr>
          <w:rFonts w:hint="eastAsia" w:ascii="仿宋_GB2312" w:hAnsi="仿宋" w:eastAsia="仿宋_GB2312" w:cs="仿宋_GB2312"/>
          <w:b/>
          <w:bCs/>
          <w:color w:val="000000"/>
          <w:sz w:val="32"/>
          <w:szCs w:val="32"/>
        </w:rPr>
      </w:pPr>
      <w:r>
        <w:rPr>
          <w:rFonts w:hint="eastAsia" w:ascii="仿宋_GB2312" w:hAnsi="仿宋" w:eastAsia="仿宋_GB2312" w:cs="仿宋_GB2312"/>
          <w:b/>
          <w:bCs/>
          <w:color w:val="000000"/>
          <w:sz w:val="32"/>
          <w:szCs w:val="32"/>
        </w:rPr>
        <w:t>（</w:t>
      </w:r>
      <w:r>
        <w:rPr>
          <w:rFonts w:hint="eastAsia" w:ascii="仿宋_GB2312" w:hAnsi="仿宋" w:eastAsia="仿宋_GB2312" w:cs="仿宋_GB2312"/>
          <w:b/>
          <w:bCs/>
          <w:color w:val="000000"/>
          <w:sz w:val="32"/>
          <w:szCs w:val="32"/>
          <w:lang w:val="en-US" w:eastAsia="zh-CN"/>
        </w:rPr>
        <w:t>5</w:t>
      </w:r>
      <w:r>
        <w:rPr>
          <w:rFonts w:hint="eastAsia" w:ascii="仿宋_GB2312" w:hAnsi="仿宋" w:eastAsia="仿宋_GB2312" w:cs="仿宋_GB2312"/>
          <w:b/>
          <w:bCs/>
          <w:color w:val="000000"/>
          <w:sz w:val="32"/>
          <w:szCs w:val="32"/>
        </w:rPr>
        <w:t>）责任主体</w:t>
      </w:r>
      <w:bookmarkEnd w:id="39"/>
      <w:bookmarkEnd w:id="40"/>
      <w:bookmarkEnd w:id="41"/>
      <w:bookmarkEnd w:id="42"/>
      <w:bookmarkEnd w:id="43"/>
      <w:bookmarkEnd w:id="44"/>
      <w:bookmarkEnd w:id="45"/>
      <w:bookmarkEnd w:id="46"/>
    </w:p>
    <w:p>
      <w:pPr>
        <w:adjustRightInd w:val="0"/>
        <w:snapToGrid w:val="0"/>
        <w:spacing w:line="360" w:lineRule="auto"/>
        <w:ind w:firstLine="560" w:firstLineChars="0"/>
        <w:rPr>
          <w:rFonts w:hint="eastAsia" w:ascii="仿宋_GB2312" w:hAnsi="仿宋" w:eastAsia="仿宋_GB2312" w:cs="仿宋"/>
          <w:sz w:val="32"/>
          <w:szCs w:val="32"/>
        </w:rPr>
      </w:pPr>
      <w:bookmarkStart w:id="47" w:name="_Hlk90990997"/>
      <w:r>
        <w:rPr>
          <w:rFonts w:hint="eastAsia" w:ascii="仿宋_GB2312" w:hAnsi="仿宋" w:eastAsia="仿宋_GB2312" w:cs="仿宋"/>
          <w:sz w:val="32"/>
          <w:szCs w:val="32"/>
        </w:rPr>
        <w:t>1.本项目实施单位为佛冈县水务工程建设管理中心，机构详细信息如下表：</w:t>
      </w:r>
    </w:p>
    <w:tbl>
      <w:tblPr>
        <w:tblStyle w:val="7"/>
        <w:tblW w:w="50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4"/>
        <w:gridCol w:w="5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rPr>
            </w:pPr>
            <w:r>
              <w:rPr>
                <w:rFonts w:hAnsi="仿宋" w:cs="仿宋"/>
                <w:color w:val="auto"/>
              </w:rPr>
              <w:t>名称</w:t>
            </w:r>
          </w:p>
        </w:tc>
        <w:tc>
          <w:tcPr>
            <w:tcW w:w="5753" w:type="dxa"/>
            <w:noWrap w:val="0"/>
            <w:vAlign w:val="center"/>
          </w:tcPr>
          <w:p>
            <w:pPr>
              <w:pStyle w:val="2"/>
              <w:ind w:firstLine="480" w:firstLineChars="200"/>
              <w:jc w:val="both"/>
              <w:rPr>
                <w:rFonts w:hAnsi="仿宋" w:cs="仿宋"/>
                <w:color w:val="auto"/>
              </w:rPr>
            </w:pPr>
            <w:r>
              <w:rPr>
                <w:rFonts w:hAnsi="仿宋" w:cs="仿宋"/>
                <w:color w:val="auto"/>
              </w:rPr>
              <w:t>佛冈县水务工程建设管理中心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rPr>
            </w:pPr>
            <w:r>
              <w:rPr>
                <w:rFonts w:hAnsi="仿宋" w:cs="仿宋"/>
                <w:color w:val="auto"/>
              </w:rPr>
              <w:t>统一社会信用代码</w:t>
            </w:r>
          </w:p>
        </w:tc>
        <w:tc>
          <w:tcPr>
            <w:tcW w:w="5753" w:type="dxa"/>
            <w:noWrap w:val="0"/>
            <w:vAlign w:val="center"/>
          </w:tcPr>
          <w:p>
            <w:pPr>
              <w:pStyle w:val="2"/>
              <w:ind w:firstLine="480" w:firstLineChars="200"/>
              <w:jc w:val="both"/>
              <w:rPr>
                <w:rFonts w:hAnsi="仿宋" w:cs="仿宋"/>
                <w:color w:val="auto"/>
              </w:rPr>
            </w:pPr>
            <w:r>
              <w:rPr>
                <w:rFonts w:hAnsi="仿宋" w:cs="仿宋"/>
                <w:color w:val="auto"/>
              </w:rPr>
              <w:t>12441821767317660Q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rPr>
            </w:pPr>
            <w:r>
              <w:rPr>
                <w:rFonts w:hAnsi="仿宋" w:cs="仿宋"/>
                <w:color w:val="auto"/>
              </w:rPr>
              <w:t>机构地址</w:t>
            </w:r>
          </w:p>
        </w:tc>
        <w:tc>
          <w:tcPr>
            <w:tcW w:w="5753" w:type="dxa"/>
            <w:noWrap w:val="0"/>
            <w:vAlign w:val="center"/>
          </w:tcPr>
          <w:p>
            <w:pPr>
              <w:pStyle w:val="2"/>
              <w:ind w:firstLine="480" w:firstLineChars="200"/>
              <w:jc w:val="both"/>
              <w:rPr>
                <w:rFonts w:hAnsi="仿宋" w:cs="仿宋"/>
                <w:color w:val="auto"/>
              </w:rPr>
            </w:pPr>
            <w:r>
              <w:rPr>
                <w:rFonts w:hAnsi="仿宋" w:cs="仿宋"/>
                <w:color w:val="auto"/>
              </w:rPr>
              <w:t>佛冈县振兴北路县人民中心西楼2层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color w:val="auto"/>
              </w:rPr>
            </w:pPr>
            <w:r>
              <w:rPr>
                <w:rFonts w:hAnsi="仿宋" w:cs="仿宋"/>
                <w:color w:val="auto"/>
              </w:rPr>
              <w:t>负责人</w:t>
            </w:r>
          </w:p>
        </w:tc>
        <w:tc>
          <w:tcPr>
            <w:tcW w:w="5753" w:type="dxa"/>
            <w:noWrap w:val="0"/>
            <w:vAlign w:val="center"/>
          </w:tcPr>
          <w:p>
            <w:pPr>
              <w:pStyle w:val="2"/>
              <w:ind w:firstLine="480" w:firstLineChars="200"/>
              <w:jc w:val="both"/>
              <w:rPr>
                <w:rFonts w:hAnsi="仿宋" w:cs="仿宋"/>
                <w:color w:val="auto"/>
              </w:rPr>
            </w:pPr>
            <w:r>
              <w:rPr>
                <w:rFonts w:hAnsi="仿宋" w:cs="仿宋"/>
                <w:color w:val="auto"/>
              </w:rPr>
              <w:t>吕常省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852" w:type="pct"/>
            <w:shd w:val="clear" w:color="auto" w:fill="D7D7D7"/>
            <w:noWrap w:val="0"/>
            <w:vAlign w:val="center"/>
          </w:tcPr>
          <w:p>
            <w:pPr>
              <w:pStyle w:val="2"/>
              <w:ind w:firstLine="480" w:firstLineChars="200"/>
              <w:jc w:val="both"/>
              <w:rPr>
                <w:rFonts w:hAnsi="仿宋" w:cs="仿宋"/>
                <w:color w:val="auto"/>
              </w:rPr>
            </w:pPr>
            <w:r>
              <w:rPr>
                <w:rFonts w:hAnsi="仿宋" w:cs="仿宋"/>
                <w:color w:val="auto"/>
              </w:rPr>
              <w:t>机构性质</w:t>
            </w:r>
          </w:p>
        </w:tc>
        <w:tc>
          <w:tcPr>
            <w:tcW w:w="5753" w:type="dxa"/>
            <w:noWrap w:val="0"/>
            <w:vAlign w:val="center"/>
          </w:tcPr>
          <w:p>
            <w:pPr>
              <w:pStyle w:val="2"/>
              <w:ind w:firstLine="480" w:firstLineChars="200"/>
              <w:jc w:val="both"/>
              <w:rPr>
                <w:rFonts w:hAnsi="仿宋" w:cs="仿宋"/>
                <w:color w:val="auto"/>
              </w:rPr>
            </w:pPr>
            <w:r>
              <w:rPr>
                <w:rFonts w:hAnsi="仿宋" w:cs="仿宋"/>
                <w:color w:val="auto"/>
              </w:rPr>
              <w:t>事业单位</w:t>
            </w:r>
          </w:p>
        </w:tc>
      </w:tr>
    </w:tbl>
    <w:p>
      <w:pPr>
        <w:adjustRightInd w:val="0"/>
        <w:snapToGrid w:val="0"/>
        <w:spacing w:line="360" w:lineRule="auto"/>
        <w:ind w:left="560" w:firstLine="0" w:firstLineChars="0"/>
        <w:rPr>
          <w:rFonts w:ascii="仿宋_GB2312" w:hAnsi="仿宋" w:eastAsia="仿宋_GB2312" w:cs="仿宋"/>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本项目主管部门为：</w:t>
      </w:r>
      <w:bookmarkEnd w:id="47"/>
      <w:r>
        <w:rPr>
          <w:rFonts w:hint="eastAsia" w:ascii="仿宋_GB2312" w:hAnsi="仿宋" w:eastAsia="仿宋_GB2312" w:cs="仿宋"/>
          <w:sz w:val="32"/>
          <w:szCs w:val="32"/>
        </w:rPr>
        <w:t>佛冈县水利局</w:t>
      </w:r>
    </w:p>
    <w:p>
      <w:pPr>
        <w:adjustRightInd w:val="0"/>
        <w:snapToGrid w:val="0"/>
        <w:spacing w:line="360" w:lineRule="auto"/>
        <w:ind w:left="560" w:firstLine="0" w:firstLineChars="0"/>
        <w:rPr>
          <w:rFonts w:ascii="仿宋_GB2312" w:hAnsi="仿宋" w:eastAsia="仿宋_GB2312" w:cs="仿宋"/>
          <w:sz w:val="32"/>
          <w:szCs w:val="32"/>
        </w:rPr>
      </w:pPr>
      <w:bookmarkStart w:id="48" w:name="_Hlk102046401"/>
      <w:r>
        <w:rPr>
          <w:rFonts w:hint="eastAsia" w:ascii="仿宋_GB2312" w:hAnsi="仿宋" w:eastAsia="仿宋_GB2312" w:cs="仿宋"/>
          <w:sz w:val="32"/>
          <w:szCs w:val="32"/>
        </w:rPr>
        <w:t>3.本项目资产管理部门为：佛冈县水利局</w:t>
      </w:r>
    </w:p>
    <w:p>
      <w:pPr>
        <w:adjustRightInd w:val="0"/>
        <w:snapToGrid w:val="0"/>
        <w:spacing w:line="360" w:lineRule="auto"/>
        <w:ind w:firstLine="640"/>
        <w:rPr>
          <w:rFonts w:ascii="仿宋_GB2312" w:hAnsi="仿宋" w:eastAsia="仿宋_GB2312" w:cs="仿宋"/>
          <w:sz w:val="32"/>
          <w:szCs w:val="32"/>
        </w:rPr>
      </w:pPr>
      <w:r>
        <w:rPr>
          <w:rFonts w:hint="eastAsia" w:ascii="仿宋_GB2312" w:hAnsi="仿宋" w:eastAsia="仿宋_GB2312" w:cs="仿宋"/>
          <w:sz w:val="32"/>
          <w:szCs w:val="32"/>
        </w:rPr>
        <w:t>佛冈县老旧小区改造之县城雨污分流综合治理工程建设完成形成资产后，佛冈县水利局为资产的责任部门，严格按照国家、省和单位内控制度进行管理。</w:t>
      </w:r>
      <w:bookmarkEnd w:id="48"/>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楷体_GB2312" w:hAnsi="楷体_GB2312" w:eastAsia="楷体_GB2312" w:cs="楷体_GB2312"/>
          <w:b/>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fldChar w:fldCharType="begin"/>
      </w: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instrText xml:space="preserve"> HYPERLINK \l _Toc29791 </w:instrText>
      </w: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fldChar w:fldCharType="separate"/>
      </w: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（二）绩效目标</w:t>
      </w:r>
      <w:r>
        <w:rPr>
          <w:rFonts w:hint="eastAsia" w:ascii="楷体_GB2312" w:hAnsi="楷体_GB2312" w:eastAsia="楷体_GB2312" w:cs="楷体_GB2312"/>
          <w:b/>
          <w:color w:val="000000" w:themeColor="text1"/>
          <w:sz w:val="32"/>
          <w:szCs w:val="32"/>
          <w:lang w:val="en-US" w:eastAsia="zh-CN"/>
          <w14:textFill>
            <w14:solidFill>
              <w14:schemeClr w14:val="tx1"/>
            </w14:solidFill>
          </w14:textFill>
        </w:rPr>
        <w:fldChar w:fldCharType="end"/>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工程主要任务是城南片区进行雨污分流改造，以及对佛冈县污水处理厂进行扩容提标改造。通过综合治理后，工程范围内的排水管道由雨污合流改为雨污分流，内涝防治标准可达到20年一遇，污水处理厂达到5万吨/天的设计处理规模。</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雨污分流将从根本上消除城市河道污染现象，持续改善城市水环境质量，防涝能力大幅度增强，污水厂可接纳更多的污水，使城市生态持续向好，使得佛冈的水更清、天更蓝，为城市发展、招商引资提供更好的条件。 </w:t>
      </w:r>
    </w:p>
    <w:p>
      <w:pPr>
        <w:keepNext w:val="0"/>
        <w:keepLines w:val="0"/>
        <w:pageBreakBefore w:val="0"/>
        <w:widowControl w:val="0"/>
        <w:numPr>
          <w:ilvl w:val="0"/>
          <w:numId w:val="0"/>
        </w:numPr>
        <w:kinsoku/>
        <w:wordWrap/>
        <w:overflowPunct/>
        <w:topLinePunct w:val="0"/>
        <w:bidi w:val="0"/>
        <w:snapToGrid w:val="0"/>
        <w:spacing w:line="570" w:lineRule="exact"/>
        <w:ind w:firstLine="643" w:firstLineChars="200"/>
        <w:textAlignment w:val="auto"/>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pPr>
      <w:r>
        <w:rPr>
          <w:rFonts w:hint="eastAsia" w:ascii="楷体_GB2312" w:hAnsi="楷体_GB2312" w:eastAsia="楷体_GB2312" w:cs="楷体_GB2312"/>
          <w:b/>
          <w:bCs w:val="0"/>
          <w:color w:val="000000" w:themeColor="text1"/>
          <w:kern w:val="2"/>
          <w:sz w:val="32"/>
          <w:szCs w:val="32"/>
          <w:lang w:val="en-US" w:eastAsia="zh-CN" w:bidi="ar-SA"/>
          <w14:textFill>
            <w14:solidFill>
              <w14:schemeClr w14:val="tx1"/>
            </w14:solidFill>
          </w14:textFill>
        </w:rPr>
        <w:t>（三）评价金额及支出使用情况</w:t>
      </w:r>
    </w:p>
    <w:p>
      <w:pPr>
        <w:keepNext w:val="0"/>
        <w:keepLines w:val="0"/>
        <w:pageBreakBefore w:val="0"/>
        <w:widowControl w:val="0"/>
        <w:kinsoku/>
        <w:wordWrap/>
        <w:overflowPunct/>
        <w:topLinePunct w:val="0"/>
        <w:bidi w:val="0"/>
        <w:spacing w:line="570" w:lineRule="exact"/>
        <w:ind w:firstLine="640"/>
        <w:textAlignment w:val="auto"/>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（1）资金到位情况</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 w:hAnsi="仿宋" w:cs="仿宋"/>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2024年已安排专项债券资金共计2,00</w:t>
      </w:r>
      <w:r>
        <w:rPr>
          <w:rFonts w:hint="eastAsia" w:ascii="仿宋_GB2312" w:hAnsi="仿宋" w:eastAsia="仿宋_GB2312" w:cs="仿宋"/>
          <w:color w:val="000000" w:themeColor="text1"/>
          <w:sz w:val="32"/>
          <w:szCs w:val="32"/>
          <w:highlight w:val="none"/>
          <w14:textFill>
            <w14:solidFill>
              <w14:schemeClr w14:val="tx1"/>
            </w14:solidFill>
          </w14:textFill>
        </w:rPr>
        <w:t>0.00</w:t>
      </w:r>
      <w:r>
        <w:rPr>
          <w:rFonts w:hint="eastAsia" w:ascii="仿宋" w:hAnsi="仿宋" w:cs="仿宋"/>
          <w:color w:val="000000" w:themeColor="text1"/>
          <w:sz w:val="32"/>
          <w:szCs w:val="32"/>
          <w:highlight w:val="none"/>
          <w14:textFill>
            <w14:solidFill>
              <w14:schemeClr w14:val="tx1"/>
            </w14:solidFill>
          </w14:textFill>
        </w:rPr>
        <w:t>万元</w:t>
      </w:r>
      <w:r>
        <w:rPr>
          <w:rFonts w:hint="eastAsia" w:ascii="仿宋" w:hAnsi="仿宋" w:cs="仿宋"/>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（2）资金执行情况</w:t>
      </w:r>
    </w:p>
    <w:p>
      <w:pPr>
        <w:keepNext w:val="0"/>
        <w:keepLines w:val="0"/>
        <w:pageBreakBefore w:val="0"/>
        <w:widowControl w:val="0"/>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 w:eastAsia="仿宋_GB2312" w:cs="仿宋"/>
          <w:sz w:val="32"/>
          <w:szCs w:val="32"/>
        </w:rPr>
        <w:t>佛冈县老旧小区改造之县城雨污分流综合治理工程</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，2024年度下达专项债券资金2000万元，</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截至2024年12月底，共完成投资2000万元（专项债券资金2000万元），投资完成率100%。</w:t>
      </w:r>
    </w:p>
    <w:p>
      <w:pPr>
        <w:pStyle w:val="2"/>
        <w:ind w:firstLine="640" w:firstLineChars="200"/>
        <w:rPr>
          <w:rFonts w:hint="default" w:cs="仿宋_GB2312"/>
          <w:color w:val="auto"/>
          <w:sz w:val="32"/>
          <w:szCs w:val="32"/>
          <w:highlight w:val="none"/>
          <w:lang w:val="en-US" w:eastAsia="zh-CN"/>
        </w:rPr>
      </w:pPr>
      <w:r>
        <w:rPr>
          <w:rFonts w:hint="eastAsia" w:cs="仿宋_GB2312"/>
          <w:color w:val="auto"/>
          <w:sz w:val="32"/>
          <w:szCs w:val="32"/>
          <w:highlight w:val="none"/>
          <w:lang w:val="en-US" w:eastAsia="zh-CN"/>
        </w:rPr>
        <w:t>（3）资金用途</w:t>
      </w:r>
    </w:p>
    <w:p>
      <w:pPr>
        <w:pStyle w:val="2"/>
        <w:ind w:firstLine="640" w:firstLineChars="200"/>
        <w:rPr>
          <w:rFonts w:cs="仿宋_GB2312"/>
          <w:color w:val="auto"/>
          <w:sz w:val="32"/>
          <w:szCs w:val="32"/>
          <w:highlight w:val="none"/>
        </w:rPr>
      </w:pPr>
      <w:r>
        <w:rPr>
          <w:rFonts w:hint="eastAsia" w:cs="仿宋_GB2312"/>
          <w:color w:val="auto"/>
          <w:sz w:val="32"/>
          <w:szCs w:val="32"/>
          <w:highlight w:val="none"/>
          <w:lang w:eastAsia="zh-CN"/>
        </w:rPr>
        <w:t>本次</w:t>
      </w:r>
      <w:r>
        <w:rPr>
          <w:rFonts w:cs="仿宋_GB2312"/>
          <w:color w:val="auto"/>
          <w:sz w:val="32"/>
          <w:szCs w:val="32"/>
          <w:highlight w:val="none"/>
        </w:rPr>
        <w:t>专项债券主要用于支付</w:t>
      </w:r>
      <w:r>
        <w:rPr>
          <w:rFonts w:hint="eastAsia" w:cs="仿宋_GB2312"/>
          <w:color w:val="auto"/>
          <w:sz w:val="32"/>
          <w:szCs w:val="32"/>
          <w:highlight w:val="none"/>
          <w:lang w:eastAsia="zh-CN"/>
        </w:rPr>
        <w:t>项目工程费、监理费、设计费等</w:t>
      </w:r>
      <w:r>
        <w:rPr>
          <w:rFonts w:cs="仿宋_GB2312"/>
          <w:color w:val="auto"/>
          <w:sz w:val="32"/>
          <w:szCs w:val="32"/>
          <w:highlight w:val="none"/>
        </w:rPr>
        <w:t>。</w:t>
      </w:r>
    </w:p>
    <w:p>
      <w:pPr>
        <w:pStyle w:val="2"/>
        <w:ind w:firstLine="640" w:firstLineChars="200"/>
        <w:jc w:val="center"/>
        <w:rPr>
          <w:rFonts w:cs="仿宋_GB2312"/>
          <w:color w:val="auto"/>
          <w:sz w:val="32"/>
          <w:szCs w:val="32"/>
          <w:highlight w:val="none"/>
        </w:rPr>
      </w:pPr>
      <w:r>
        <w:rPr>
          <w:rFonts w:cs="仿宋_GB2312"/>
          <w:color w:val="auto"/>
          <w:sz w:val="32"/>
          <w:szCs w:val="32"/>
          <w:highlight w:val="none"/>
        </w:rPr>
        <w:t>专项债券资金用途</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9"/>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用途</w:t>
            </w:r>
          </w:p>
        </w:tc>
        <w:tc>
          <w:tcPr>
            <w:tcW w:w="4196"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专项债券金额（万元）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lang w:eastAsia="zh-CN"/>
              </w:rPr>
              <w:t>工程费、监理费、设计费等</w:t>
            </w:r>
          </w:p>
        </w:tc>
        <w:tc>
          <w:tcPr>
            <w:tcW w:w="4196" w:type="dxa"/>
            <w:noWrap w:val="0"/>
            <w:vAlign w:val="top"/>
          </w:tcPr>
          <w:p>
            <w:pPr>
              <w:ind w:firstLine="0" w:firstLineChars="0"/>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合计</w:t>
            </w:r>
          </w:p>
        </w:tc>
        <w:tc>
          <w:tcPr>
            <w:tcW w:w="4196" w:type="dxa"/>
            <w:noWrap w:val="0"/>
            <w:vAlign w:val="top"/>
          </w:tcPr>
          <w:p>
            <w:pPr>
              <w:ind w:firstLine="0" w:firstLineChars="0"/>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2,000.00</w:t>
            </w:r>
          </w:p>
        </w:tc>
      </w:tr>
    </w:tbl>
    <w:p>
      <w:pPr>
        <w:pStyle w:val="4"/>
        <w:rPr>
          <w:rFonts w:hint="eastAsia"/>
          <w:lang w:val="en-US" w:eastAsia="zh-CN"/>
        </w:rPr>
      </w:pP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二、绩效指标分析</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（一）各部分绩效分析</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一期工程正在施工阶段，预计2024年12月30日完工，绩效目标与年初预期一致。</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（1）产出指标完成情况分析</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产出指标分值40分，指标得分40分。</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佛冈县老旧小区改造之县城雨污分流综合治理工程正在按计划施工。</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1.项目数量指标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佛冈县老旧小区改造之县城雨污分流综合治理工程新建DN1000～DN2000雨水干管,完成绩效目标，达到年初预设的指标值。</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2.项目质量指标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佛冈县老旧小区改造之县城雨污分流综合治理工程验收合格率100%。</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3.项目时效指标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佛冈县老旧小区改造之县城雨污分流综合治理工程项目按计划开工率100%。</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4.项目成本指标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佛冈县老旧小区改造之县城雨污分流综合治理工程，2024年度下达专项债券资金2000万元，预算投资2000万元。</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（2）效益指标完成情况分析</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效益指标分值30分，指标得分30分。</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1.经济效益指标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佛冈县老旧小区改造之县城雨污分流综合治理工程实施后，可减轻水体污染，营造良好的招商环境，有利于引进优良的企业，为国民经济持续健康发展提供安全保障。</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2.社会效益指标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实施后，大幅提高片区对洪涝灾害抵御能力，改善村镇的卫生环境以及流域水环境，减少入河污染源，减少因环境卫生而导致的疾病，提升当地居住环境，保障居民社会生活平稳。</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3.生态效益指标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通过项目的建设，能够提高水资源的利用效率，减少水资源的浪费，同时保障水资源的可持续利用。在保障人类生产和发展的同时，保护水生态环境。</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4.可持续影响指标</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通过项目的建设，完善雨水、污水分流排放管网是实现社会健康、协调和可持续发展的需要。</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3" w:firstLineChars="200"/>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5.项目满意度情况</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none"/>
          <w:lang w:val="en-US" w:eastAsia="zh-CN"/>
        </w:rPr>
        <w:t>对佛冈县老旧小区改造之县城雨污分流综合治理工程进行问卷调查所获得的的数据进行整理分析，群众对雨污分流建设工作的满意度为100%</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bidi w:val="0"/>
        <w:spacing w:line="57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none"/>
          <w:lang w:val="en-US" w:eastAsia="zh-CN"/>
        </w:rPr>
        <w:t>佛冈县老旧小区改造之县城雨污分流综合治理工程</w:t>
      </w:r>
      <w:r>
        <w:rPr>
          <w:rFonts w:hint="eastAsia" w:ascii="仿宋_GB2312" w:hAnsi="仿宋_GB2312" w:eastAsia="仿宋_GB2312" w:cs="仿宋_GB2312"/>
          <w:kern w:val="2"/>
          <w:sz w:val="32"/>
          <w:szCs w:val="32"/>
          <w:u w:val="none"/>
          <w:lang w:val="en-US" w:eastAsia="zh-CN" w:bidi="ar-SA"/>
        </w:rPr>
        <w:t>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snapToGrid w:val="0"/>
        <w:spacing w:line="288" w:lineRule="auto"/>
        <w:rPr>
          <w:rFonts w:hint="eastAsia" w:ascii="仿宋_GB2312" w:hAnsi="仿宋_GB2312" w:eastAsia="仿宋_GB2312" w:cs="仿宋_GB2312"/>
          <w:sz w:val="32"/>
          <w:szCs w:val="32"/>
          <w:lang w:val="en-US" w:eastAsia="zh-CN"/>
        </w:rPr>
      </w:pPr>
    </w:p>
    <w:p>
      <w:pPr>
        <w:snapToGrid w:val="0"/>
        <w:spacing w:line="288" w:lineRule="auto"/>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第三部分：附件</w:t>
      </w:r>
    </w:p>
    <w:p>
      <w:pPr>
        <w:snapToGrid w:val="0"/>
        <w:spacing w:line="288" w:lineRule="auto"/>
        <w:rPr>
          <w:rFonts w:hint="eastAsia" w:ascii="仿宋_GB2312" w:hAnsi="仿宋_GB2312" w:eastAsia="仿宋_GB2312" w:cs="仿宋_GB2312"/>
          <w:sz w:val="32"/>
          <w:szCs w:val="32"/>
          <w:lang w:val="en-US" w:eastAsia="zh-CN"/>
        </w:rPr>
      </w:pPr>
    </w:p>
    <w:p>
      <w:pPr>
        <w:snapToGrid w:val="0"/>
        <w:spacing w:line="360"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主要包括：</w:t>
      </w:r>
    </w:p>
    <w:p>
      <w:p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一是绩效评价指标体系、评分标准及得分情况表：以表格方式呈现绩效评价得分、扣分情况。</w:t>
      </w:r>
    </w:p>
    <w:p>
      <w:pPr>
        <w:snapToGrid w:val="0"/>
        <w:spacing w:line="360" w:lineRule="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二是绩效评价说明：用于说明绩效评价的目的、依据、参考资料、方法、指标体系、工作流程、重点事项、局限性、参与人员等事项。 </w:t>
      </w:r>
    </w:p>
    <w:p>
      <w:p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三是满意度调查结果。以数据、图形等方式呈现满意度调查的数据分布，呈现从原始数据至调查结果的路径。 </w:t>
      </w:r>
    </w:p>
    <w:p>
      <w:pPr>
        <w:snapToGrid w:val="0"/>
        <w:spacing w:line="360" w:lineRule="auto"/>
        <w:ind w:firstLine="640" w:firstLineChars="200"/>
        <w:rPr>
          <w:rFonts w:hint="default"/>
          <w:sz w:val="32"/>
          <w:szCs w:val="32"/>
          <w:lang w:val="en-US" w:eastAsia="zh-CN"/>
        </w:rPr>
      </w:pPr>
      <w:r>
        <w:rPr>
          <w:rFonts w:hint="eastAsia" w:ascii="仿宋_GB2312" w:hAnsi="仿宋_GB2312" w:eastAsia="仿宋_GB2312" w:cs="仿宋_GB2312"/>
          <w:sz w:val="32"/>
          <w:szCs w:val="32"/>
          <w:lang w:val="en-US" w:eastAsia="zh-CN"/>
        </w:rPr>
        <w:t>四是各类数据分析表格。用于解释报告各类事项，主要包括但不限于：存在问题情况明细表、基础数据分析表、绩效目标完成情况明细表等。</w:t>
      </w:r>
    </w:p>
    <w:p>
      <w:pPr>
        <w:rPr>
          <w:rFonts w:hint="eastAsia" w:ascii="仿宋" w:hAnsi="仿宋" w:eastAsia="仿宋" w:cs="仿宋"/>
          <w:sz w:val="32"/>
          <w:szCs w:val="32"/>
        </w:rPr>
      </w:pPr>
    </w:p>
    <w:p>
      <w:pPr>
        <w:pStyle w:val="2"/>
        <w:rPr>
          <w:rFonts w:hint="eastAsia"/>
        </w:rPr>
      </w:pPr>
    </w:p>
    <w:p>
      <w:pPr>
        <w:ind w:firstLine="5120" w:firstLineChars="1600"/>
        <w:rPr>
          <w:rFonts w:hint="eastAsia" w:ascii="仿宋" w:hAnsi="仿宋" w:eastAsia="仿宋" w:cs="仿宋"/>
          <w:sz w:val="32"/>
          <w:szCs w:val="32"/>
          <w:lang w:eastAsia="zh-CN"/>
        </w:rPr>
      </w:pPr>
      <w:r>
        <w:rPr>
          <w:rFonts w:hint="eastAsia" w:ascii="仿宋" w:hAnsi="仿宋" w:eastAsia="仿宋" w:cs="仿宋"/>
          <w:sz w:val="32"/>
          <w:szCs w:val="32"/>
          <w:lang w:eastAsia="zh-CN"/>
        </w:rPr>
        <w:t>佛冈县水利局</w:t>
      </w:r>
    </w:p>
    <w:p>
      <w:pPr>
        <w:pStyle w:val="2"/>
        <w:ind w:firstLine="5120" w:firstLineChars="1600"/>
        <w:rPr>
          <w:rFonts w:hint="eastAsia" w:ascii="仿宋" w:hAnsi="仿宋" w:eastAsia="仿宋" w:cs="仿宋"/>
          <w:sz w:val="32"/>
          <w:szCs w:val="32"/>
          <w:lang w:val="en-US" w:eastAsia="zh-CN"/>
        </w:rPr>
      </w:pPr>
      <w:bookmarkStart w:id="49" w:name="_GoBack"/>
      <w:bookmarkEnd w:id="49"/>
      <w:r>
        <w:rPr>
          <w:rFonts w:hint="eastAsia" w:ascii="仿宋" w:hAnsi="仿宋" w:eastAsia="仿宋" w:cs="仿宋"/>
          <w:sz w:val="32"/>
          <w:szCs w:val="32"/>
          <w:lang w:val="en-US" w:eastAsia="zh-CN"/>
        </w:rPr>
        <w:t>2025年4月29日</w:t>
      </w:r>
    </w:p>
    <w:sectPr>
      <w:pgSz w:w="11906" w:h="16838"/>
      <w:pgMar w:top="2154"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AE333"/>
    <w:multiLevelType w:val="singleLevel"/>
    <w:tmpl w:val="B7CAE333"/>
    <w:lvl w:ilvl="0" w:tentative="0">
      <w:start w:val="1"/>
      <w:numFmt w:val="decimal"/>
      <w:suff w:val="nothing"/>
      <w:lvlText w:val="%1．"/>
      <w:lvlJc w:val="left"/>
      <w:pPr>
        <w:ind w:left="197" w:firstLine="400"/>
      </w:pPr>
      <w:rPr>
        <w:rFonts w:hint="default"/>
      </w:rPr>
    </w:lvl>
  </w:abstractNum>
  <w:abstractNum w:abstractNumId="1">
    <w:nsid w:val="BCEFAF51"/>
    <w:multiLevelType w:val="singleLevel"/>
    <w:tmpl w:val="BCEFAF51"/>
    <w:lvl w:ilvl="0" w:tentative="0">
      <w:start w:val="4"/>
      <w:numFmt w:val="chineseCounting"/>
      <w:suff w:val="nothing"/>
      <w:lvlText w:val="%1、"/>
      <w:lvlJc w:val="left"/>
      <w:rPr>
        <w:rFonts w:hint="eastAsia"/>
      </w:rPr>
    </w:lvl>
  </w:abstractNum>
  <w:abstractNum w:abstractNumId="2">
    <w:nsid w:val="CFAD8D72"/>
    <w:multiLevelType w:val="singleLevel"/>
    <w:tmpl w:val="CFAD8D72"/>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D2125"/>
    <w:rsid w:val="1D9D2125"/>
    <w:rsid w:val="2E4F2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2"/>
    <w:next w:val="4"/>
    <w:qFormat/>
    <w:uiPriority w:val="9"/>
    <w:pPr>
      <w:keepNext/>
      <w:keepLines/>
      <w:widowControl w:val="0"/>
      <w:adjustRightInd w:val="0"/>
      <w:snapToGrid w:val="0"/>
      <w:spacing w:line="360" w:lineRule="auto"/>
      <w:jc w:val="both"/>
      <w:outlineLvl w:val="1"/>
    </w:pPr>
    <w:rPr>
      <w:rFonts w:ascii="Calibri Light" w:hAnsi="Calibri Light" w:eastAsia="等线" w:cs="Times New Roman"/>
      <w:b/>
      <w:bCs/>
      <w:color w:val="000000"/>
      <w:kern w:val="2"/>
      <w:sz w:val="21"/>
      <w:szCs w:val="32"/>
      <w:lang w:val="en-US" w:eastAsia="zh-CN" w:bidi="ar-SA"/>
    </w:rPr>
  </w:style>
  <w:style w:type="paragraph" w:styleId="5">
    <w:name w:val="heading 3"/>
    <w:next w:val="1"/>
    <w:qFormat/>
    <w:uiPriority w:val="0"/>
    <w:pPr>
      <w:keepNext/>
      <w:keepLines/>
      <w:widowControl w:val="0"/>
      <w:adjustRightInd w:val="0"/>
      <w:snapToGrid w:val="0"/>
      <w:jc w:val="both"/>
      <w:outlineLvl w:val="2"/>
    </w:pPr>
    <w:rPr>
      <w:rFonts w:ascii="宋体" w:hAnsi="宋体" w:eastAsia="等线" w:cs="Times New Roman"/>
      <w:b/>
      <w:bCs/>
      <w:color w:val="000000"/>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4">
    <w:name w:val="Body Text"/>
    <w:qFormat/>
    <w:uiPriority w:val="1"/>
    <w:pPr>
      <w:widowControl w:val="0"/>
      <w:jc w:val="both"/>
    </w:pPr>
    <w:rPr>
      <w:rFonts w:ascii="等线" w:hAnsi="等线" w:eastAsia="等线" w:cs="Times New Roman"/>
      <w:kern w:val="2"/>
      <w:sz w:val="32"/>
      <w:szCs w:val="32"/>
      <w:lang w:val="en-US" w:eastAsia="zh-CN" w:bidi="ar-SA"/>
    </w:rPr>
  </w:style>
  <w:style w:type="paragraph" w:styleId="6">
    <w:name w:val="toc 1"/>
    <w:next w:val="1"/>
    <w:unhideWhenUsed/>
    <w:qFormat/>
    <w:uiPriority w:val="39"/>
    <w:pPr>
      <w:widowControl w:val="0"/>
      <w:jc w:val="both"/>
    </w:pPr>
    <w:rPr>
      <w:rFonts w:ascii="等线" w:hAnsi="等线" w:eastAsia="等线"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2025-04-17T01:03:00Z</dcterms:created>
  <dc:creator>i</dc:creator>
  <cp:lastModifiedBy>微信用户</cp:lastModifiedBy>
  <dcterms:modified xsi:type="dcterms:W3CDTF">2025-04-29T03:44:43Z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