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jc w:val="center"/>
        <w:rPr>
          <w:rFonts w:hint="eastAsia" w:ascii="方正小标宋简体" w:hAnsi="Times New Roman" w:eastAsia="方正小标宋简体" w:cs="Times New Roman"/>
          <w:sz w:val="44"/>
          <w:szCs w:val="44"/>
          <w:lang w:val="en-US" w:eastAsia="zh-CN"/>
        </w:rPr>
      </w:pPr>
      <w:bookmarkStart w:id="49" w:name="_GoBack"/>
      <w:bookmarkEnd w:id="49"/>
      <w:r>
        <w:rPr>
          <w:rFonts w:hint="eastAsia" w:ascii="方正小标宋简体" w:hAnsi="Times New Roman" w:eastAsia="方正小标宋简体" w:cs="Times New Roman"/>
          <w:sz w:val="44"/>
          <w:szCs w:val="44"/>
          <w:lang w:val="en-US" w:eastAsia="zh-CN"/>
        </w:rPr>
        <w:t>佛冈县水系水生态综合整治项目</w:t>
      </w:r>
    </w:p>
    <w:p>
      <w:pPr>
        <w:snapToGrid w:val="0"/>
        <w:spacing w:line="288" w:lineRule="auto"/>
        <w:jc w:val="center"/>
        <w:rPr>
          <w:rFonts w:hint="eastAsia" w:ascii="楷体_GB2312" w:hAnsi="楷体_GB2312" w:eastAsia="楷体_GB2312" w:cs="楷体_GB2312"/>
          <w:b w:val="0"/>
          <w:bCs w:val="0"/>
          <w:sz w:val="44"/>
          <w:szCs w:val="44"/>
        </w:rPr>
      </w:pPr>
      <w:r>
        <w:rPr>
          <w:rFonts w:hint="eastAsia" w:ascii="方正小标宋简体" w:hAnsi="Times New Roman" w:eastAsia="方正小标宋简体" w:cs="Times New Roman"/>
          <w:sz w:val="44"/>
          <w:szCs w:val="44"/>
        </w:rPr>
        <w:t>资金绩效评价报告</w:t>
      </w:r>
    </w:p>
    <w:p>
      <w:pPr>
        <w:snapToGrid w:val="0"/>
        <w:spacing w:line="288" w:lineRule="auto"/>
        <w:rPr>
          <w:rFonts w:hint="eastAsia" w:ascii="仿宋_GB2312" w:hAnsi="仿宋_GB2312" w:eastAsia="仿宋_GB2312" w:cs="仿宋_GB2312"/>
          <w:sz w:val="32"/>
          <w:szCs w:val="32"/>
        </w:rPr>
      </w:pPr>
    </w:p>
    <w:p>
      <w:pPr>
        <w:snapToGrid w:val="0"/>
        <w:spacing w:line="288"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第一部分：绩效报告</w:t>
      </w:r>
    </w:p>
    <w:p>
      <w:pPr>
        <w:pStyle w:val="7"/>
        <w:numPr>
          <w:ilvl w:val="0"/>
          <w:numId w:val="0"/>
        </w:numPr>
        <w:tabs>
          <w:tab w:val="right" w:leader="dot" w:pos="8958"/>
        </w:tabs>
        <w:snapToGrid w:val="0"/>
        <w:spacing w:line="288" w:lineRule="auto"/>
        <w:ind w:firstLine="0" w:firstLineChars="0"/>
        <w:rPr>
          <w:rFonts w:hint="eastAsia" w:ascii="仿宋_GB2312" w:hAnsi="仿宋_GB2312" w:eastAsia="仿宋_GB2312" w:cs="仿宋_GB2312"/>
          <w:bCs/>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绩效报告用于综合简要呈现政策、项目整体情况、绩效及存在问题，具体框架及主要内容如下：</w:t>
      </w:r>
    </w:p>
    <w:p>
      <w:pPr>
        <w:pStyle w:val="7"/>
        <w:numPr>
          <w:ilvl w:val="0"/>
          <w:numId w:val="0"/>
        </w:numPr>
        <w:tabs>
          <w:tab w:val="right" w:leader="dot" w:pos="8958"/>
        </w:tabs>
        <w:snapToGrid w:val="0"/>
        <w:spacing w:line="360" w:lineRule="auto"/>
        <w:ind w:firstLine="640" w:firstLineChars="200"/>
        <w:rPr>
          <w:rFonts w:hint="eastAsia" w:ascii="黑体" w:hAnsi="黑体" w:eastAsia="黑体" w:cs="黑体"/>
          <w:bCs/>
          <w:sz w:val="32"/>
          <w:szCs w:val="32"/>
        </w:rPr>
      </w:pPr>
      <w:r>
        <w:rPr>
          <w:rFonts w:hint="eastAsia" w:ascii="黑体" w:hAnsi="黑体" w:eastAsia="黑体" w:cs="黑体"/>
          <w:bCs/>
          <w:sz w:val="32"/>
          <w:szCs w:val="32"/>
          <w:lang w:eastAsia="zh-CN"/>
        </w:rPr>
        <w:t>一、</w:t>
      </w:r>
      <w:r>
        <w:rPr>
          <w:rFonts w:hint="eastAsia" w:ascii="黑体" w:hAnsi="黑体" w:eastAsia="黑体" w:cs="黑体"/>
          <w:bCs/>
          <w:sz w:val="32"/>
          <w:szCs w:val="32"/>
        </w:rPr>
        <w:t>项目概要</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textAlignment w:val="auto"/>
        <w:rPr>
          <w:rFonts w:hint="eastAsia" w:ascii="楷体_GB2312" w:hAnsi="楷体_GB2312" w:eastAsia="楷体_GB2312" w:cs="楷体_GB2312"/>
          <w:b/>
          <w:bCs w:val="0"/>
          <w:sz w:val="32"/>
          <w:szCs w:val="32"/>
          <w:lang w:val="en-US" w:eastAsia="zh-CN"/>
        </w:rPr>
      </w:pPr>
      <w:r>
        <w:rPr>
          <w:rFonts w:hint="eastAsia" w:ascii="楷体_GB2312" w:hAnsi="楷体_GB2312" w:eastAsia="楷体_GB2312" w:cs="楷体_GB2312"/>
          <w:b/>
          <w:bCs w:val="0"/>
          <w:sz w:val="32"/>
          <w:szCs w:val="32"/>
          <w:lang w:val="en-US" w:eastAsia="zh-CN"/>
        </w:rPr>
        <w:t>（一）项目概况。</w:t>
      </w:r>
    </w:p>
    <w:p>
      <w:pPr>
        <w:pStyle w:val="7"/>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佛冈县水系水生态综合整治项目目前实施三个子项目，一是佛冈县水系水生态综合整治项目之烟岭河楼下段河道综合整治工程。二是佛冈县水系水生态综合整治项目之龙凤大桥上下游综合整治工程。三是佛冈县水系水生态综合整治项目龙山镇潖二水（学田至白沙塘村段）清淤工程。其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佛冈县水系水生态综合整治项目之烟岭河楼下段河道综合整治工程主要建设内容为对烟岭河楼下段北堤堤顶及现有滩地部位进行整治改造，包括：建设2.5m宽彩色透水混凝土园路长272.5m，铺设透水砖498㎡，铺设塑木地板902㎡，修整护坡4383㎡，新建水位观测站1座，新建观测平台1000㎡，步级107m，河道平整及清表900m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佛冈县水系水生态综合整治项目之龙凤大桥上下游综合整治工程主要建设内容为对潖江河奥园桥至龙凤大桥下游1#翻板闸段进行综合整治及修复龙溪水岸坡，潖江河整治内容包括：改造堤顶路面及附属设施2公里，修复两岸岸坡及坡面清杂；维修1#翻板闸等。</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佛冈县水系水生态综合整治项目龙山镇潖二水（学田至白沙塘村段）清淤工程主要建设内容为对潖二水学田至白沙塘村段进行清淤疏浚，清淤长度3.68公里；对右岸岸坡进行综合整治，改善和美化区域内的水环境，整治长度0.98公里等。</w:t>
      </w:r>
    </w:p>
    <w:p>
      <w:pPr>
        <w:pStyle w:val="7"/>
        <w:numPr>
          <w:ilvl w:val="0"/>
          <w:numId w:val="0"/>
        </w:numPr>
        <w:snapToGrid w:val="0"/>
        <w:spacing w:line="360" w:lineRule="auto"/>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fldChar w:fldCharType="begin"/>
      </w:r>
      <w:r>
        <w:rPr>
          <w:rFonts w:hint="eastAsia" w:ascii="楷体_GB2312" w:hAnsi="楷体_GB2312" w:eastAsia="楷体_GB2312" w:cs="楷体_GB2312"/>
          <w:b/>
          <w:sz w:val="32"/>
          <w:szCs w:val="32"/>
          <w:lang w:val="en-US" w:eastAsia="zh-CN"/>
        </w:rPr>
        <w:instrText xml:space="preserve"> HYPERLINK \l _Toc29791 </w:instrText>
      </w:r>
      <w:r>
        <w:rPr>
          <w:rFonts w:hint="eastAsia" w:ascii="楷体_GB2312" w:hAnsi="楷体_GB2312" w:eastAsia="楷体_GB2312" w:cs="楷体_GB2312"/>
          <w:b/>
          <w:sz w:val="32"/>
          <w:szCs w:val="32"/>
          <w:lang w:val="en-US" w:eastAsia="zh-CN"/>
        </w:rPr>
        <w:fldChar w:fldCharType="separate"/>
      </w:r>
      <w:r>
        <w:rPr>
          <w:rFonts w:hint="eastAsia" w:ascii="楷体_GB2312" w:hAnsi="楷体_GB2312" w:eastAsia="楷体_GB2312" w:cs="楷体_GB2312"/>
          <w:b/>
          <w:bCs w:val="0"/>
          <w:kern w:val="2"/>
          <w:sz w:val="32"/>
          <w:szCs w:val="32"/>
          <w:lang w:val="en-US" w:eastAsia="zh-CN" w:bidi="ar-SA"/>
        </w:rPr>
        <w:t>（二）绩效目标</w:t>
      </w:r>
      <w:r>
        <w:rPr>
          <w:rFonts w:hint="eastAsia" w:ascii="楷体_GB2312" w:hAnsi="楷体_GB2312" w:eastAsia="楷体_GB2312" w:cs="楷体_GB2312"/>
          <w:b/>
          <w:sz w:val="32"/>
          <w:szCs w:val="32"/>
          <w:lang w:val="en-US" w:eastAsia="zh-CN"/>
        </w:rPr>
        <w:fldChar w:fldCharType="end"/>
      </w:r>
      <w:r>
        <w:rPr>
          <w:rFonts w:hint="eastAsia" w:ascii="楷体_GB2312" w:hAnsi="楷体_GB2312" w:eastAsia="楷体_GB2312" w:cs="楷体_GB2312"/>
          <w:b/>
          <w:sz w:val="32"/>
          <w:szCs w:val="32"/>
          <w:lang w:val="en-US" w:eastAsia="zh-CN"/>
        </w:rPr>
        <w:t>。</w:t>
      </w:r>
    </w:p>
    <w:p>
      <w:pPr>
        <w:pStyle w:val="7"/>
        <w:numPr>
          <w:ilvl w:val="0"/>
          <w:numId w:val="0"/>
        </w:num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通过工程的建设可以使沿岸地区的防洪抗冲能力提高，可以使 沿河坡岸平顺美观，为沿岸村镇的生态文明村建设、园林绿化建设创造有利条件。工程的建设，美化了周边景观措施，成为周边居民休闲娱乐的聚集地，有益于居民的身心健康，带动周边零售业的发展。</w:t>
      </w:r>
    </w:p>
    <w:p>
      <w:pPr>
        <w:numPr>
          <w:ilvl w:val="0"/>
          <w:numId w:val="1"/>
        </w:numPr>
        <w:snapToGrid w:val="0"/>
        <w:spacing w:line="360" w:lineRule="auto"/>
        <w:ind w:firstLine="643" w:firstLineChars="200"/>
        <w:rPr>
          <w:rFonts w:hint="eastAsia" w:ascii="仿宋_GB2312" w:hAnsi="仿宋_GB2312" w:eastAsia="仿宋_GB2312" w:cs="仿宋_GB2312"/>
          <w:bCs/>
          <w:kern w:val="2"/>
          <w:sz w:val="32"/>
          <w:szCs w:val="32"/>
          <w:lang w:val="en-US" w:eastAsia="zh-CN" w:bidi="ar-SA"/>
        </w:rPr>
      </w:pPr>
      <w:r>
        <w:rPr>
          <w:rFonts w:hint="eastAsia" w:ascii="楷体_GB2312" w:hAnsi="楷体_GB2312" w:eastAsia="楷体_GB2312" w:cs="楷体_GB2312"/>
          <w:b/>
          <w:bCs w:val="0"/>
          <w:kern w:val="2"/>
          <w:sz w:val="32"/>
          <w:szCs w:val="32"/>
          <w:lang w:val="en-US" w:eastAsia="zh-CN" w:bidi="ar-SA"/>
        </w:rPr>
        <w:t>评价金额及支出使用情况。</w:t>
      </w:r>
      <w:r>
        <w:rPr>
          <w:rFonts w:hint="eastAsia" w:ascii="仿宋_GB2312" w:hAnsi="仿宋_GB2312" w:eastAsia="仿宋_GB2312" w:cs="仿宋_GB2312"/>
          <w:bCs/>
          <w:kern w:val="2"/>
          <w:sz w:val="32"/>
          <w:szCs w:val="32"/>
          <w:lang w:val="en-US" w:eastAsia="zh-CN" w:bidi="ar-SA"/>
        </w:rPr>
        <w:t>总体情况。</w:t>
      </w:r>
    </w:p>
    <w:p>
      <w:pPr>
        <w:keepNext w:val="0"/>
        <w:keepLines w:val="0"/>
        <w:pageBreakBefore w:val="0"/>
        <w:widowControl w:val="0"/>
        <w:kinsoku/>
        <w:wordWrap/>
        <w:overflowPunct/>
        <w:topLinePunct w:val="0"/>
        <w:bidi w:val="0"/>
        <w:spacing w:line="570" w:lineRule="exact"/>
        <w:ind w:firstLine="640"/>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（1）资金到位情况</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kern w:val="2"/>
          <w:sz w:val="32"/>
          <w:szCs w:val="32"/>
          <w:highlight w:val="none"/>
          <w:lang w:val="en-US" w:eastAsia="zh-CN" w:bidi="ar-SA"/>
        </w:rPr>
        <w:t>2024年已安排专项债券资金共计1,600</w:t>
      </w:r>
      <w:r>
        <w:rPr>
          <w:rFonts w:hint="eastAsia" w:ascii="仿宋_GB2312" w:hAnsi="仿宋_GB2312" w:eastAsia="仿宋_GB2312" w:cs="仿宋_GB2312"/>
          <w:color w:val="000000"/>
          <w:sz w:val="32"/>
          <w:szCs w:val="32"/>
          <w:highlight w:val="none"/>
        </w:rPr>
        <w:t>.00万元</w:t>
      </w:r>
      <w:r>
        <w:rPr>
          <w:rFonts w:hint="eastAsia" w:ascii="仿宋_GB2312" w:hAnsi="仿宋_GB2312" w:eastAsia="仿宋_GB2312" w:cs="仿宋_GB2312"/>
          <w:color w:val="000000"/>
          <w:sz w:val="32"/>
          <w:szCs w:val="32"/>
          <w:highlight w:val="none"/>
          <w:lang w:eastAsia="zh-CN"/>
        </w:rPr>
        <w:t>。</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（2）资金执行情况</w:t>
      </w:r>
    </w:p>
    <w:p>
      <w:pPr>
        <w:keepNext w:val="0"/>
        <w:keepLines w:val="0"/>
        <w:pageBreakBefore w:val="0"/>
        <w:widowControl w:val="0"/>
        <w:numPr>
          <w:ilvl w:val="0"/>
          <w:numId w:val="0"/>
        </w:numPr>
        <w:kinsoku/>
        <w:wordWrap/>
        <w:overflowPunct/>
        <w:topLinePunct w:val="0"/>
        <w:bidi w:val="0"/>
        <w:snapToGrid w:val="0"/>
        <w:spacing w:line="570" w:lineRule="exact"/>
        <w:ind w:firstLine="640" w:firstLineChars="200"/>
        <w:textAlignment w:val="auto"/>
        <w:rPr>
          <w:rFonts w:hint="eastAsia"/>
        </w:rPr>
      </w:pPr>
      <w:r>
        <w:rPr>
          <w:rFonts w:hint="eastAsia" w:ascii="仿宋_GB2312" w:hAnsi="仿宋_GB2312" w:eastAsia="仿宋_GB2312" w:cs="仿宋_GB2312"/>
          <w:kern w:val="2"/>
          <w:sz w:val="32"/>
          <w:szCs w:val="32"/>
          <w:lang w:val="en-US" w:eastAsia="zh-CN" w:bidi="ar-SA"/>
        </w:rPr>
        <w:t>佛冈县水系水生态综合整治项目</w:t>
      </w:r>
      <w:r>
        <w:rPr>
          <w:rFonts w:hint="eastAsia" w:ascii="仿宋_GB2312" w:hAnsi="仿宋_GB2312" w:eastAsia="仿宋_GB2312" w:cs="仿宋_GB2312"/>
          <w:color w:val="000000"/>
          <w:sz w:val="32"/>
          <w:szCs w:val="32"/>
          <w:u w:val="none"/>
          <w:lang w:val="en-US" w:eastAsia="zh-CN"/>
        </w:rPr>
        <w:t>，2024年度下达专项债券资金1600万元，</w:t>
      </w:r>
      <w:r>
        <w:rPr>
          <w:rFonts w:hint="eastAsia" w:ascii="仿宋_GB2312" w:hAnsi="仿宋_GB2312" w:eastAsia="仿宋_GB2312" w:cs="仿宋_GB2312"/>
          <w:color w:val="000000"/>
          <w:kern w:val="2"/>
          <w:sz w:val="32"/>
          <w:szCs w:val="32"/>
          <w:highlight w:val="none"/>
          <w:lang w:val="en-US" w:eastAsia="zh-CN" w:bidi="ar-SA"/>
        </w:rPr>
        <w:t>截至2024年12月底，共完成投资1600万元（专项债券资金1600万元），投资完成率</w:t>
      </w:r>
      <w:bookmarkStart w:id="0" w:name="BOOK_三12截至2022年12月底投资完成率"/>
      <w:r>
        <w:rPr>
          <w:rFonts w:hint="eastAsia" w:ascii="仿宋_GB2312" w:hAnsi="仿宋_GB2312" w:eastAsia="仿宋_GB2312" w:cs="仿宋_GB2312"/>
          <w:color w:val="000000"/>
          <w:kern w:val="2"/>
          <w:sz w:val="32"/>
          <w:szCs w:val="32"/>
          <w:highlight w:val="none"/>
          <w:lang w:val="en-US" w:eastAsia="zh-CN" w:bidi="ar-SA"/>
        </w:rPr>
        <w:t>100</w:t>
      </w:r>
      <w:bookmarkEnd w:id="0"/>
      <w:r>
        <w:rPr>
          <w:rFonts w:hint="eastAsia" w:ascii="仿宋_GB2312" w:hAnsi="仿宋_GB2312" w:eastAsia="仿宋_GB2312" w:cs="仿宋_GB2312"/>
          <w:color w:val="000000"/>
          <w:kern w:val="2"/>
          <w:sz w:val="32"/>
          <w:szCs w:val="32"/>
          <w:highlight w:val="none"/>
          <w:lang w:val="en-US" w:eastAsia="zh-CN" w:bidi="ar-SA"/>
        </w:rPr>
        <w:t>%。</w:t>
      </w:r>
    </w:p>
    <w:p>
      <w:pPr>
        <w:pStyle w:val="7"/>
        <w:numPr>
          <w:ilvl w:val="0"/>
          <w:numId w:val="0"/>
        </w:numPr>
        <w:tabs>
          <w:tab w:val="right" w:leader="dot" w:pos="8958"/>
        </w:tabs>
        <w:snapToGrid w:val="0"/>
        <w:spacing w:line="360" w:lineRule="auto"/>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二、评价结论与绩效分析</w:t>
      </w:r>
    </w:p>
    <w:p>
      <w:pPr>
        <w:pStyle w:val="7"/>
        <w:numPr>
          <w:ilvl w:val="0"/>
          <w:numId w:val="0"/>
        </w:numPr>
        <w:tabs>
          <w:tab w:val="right" w:leader="dot" w:pos="8958"/>
        </w:tabs>
        <w:snapToGrid w:val="0"/>
        <w:spacing w:line="360" w:lineRule="auto"/>
        <w:ind w:firstLine="643" w:firstLineChars="200"/>
        <w:rPr>
          <w:rFonts w:hint="eastAsia" w:ascii="楷体_GB2312" w:hAnsi="楷体_GB2312" w:eastAsia="楷体_GB2312" w:cs="楷体_GB2312"/>
          <w:b/>
          <w:bCs w:val="0"/>
          <w:kern w:val="2"/>
          <w:sz w:val="32"/>
          <w:szCs w:val="32"/>
          <w:lang w:val="en-US" w:eastAsia="zh-CN" w:bidi="ar-SA"/>
        </w:rPr>
      </w:pPr>
      <w:r>
        <w:rPr>
          <w:rFonts w:hint="eastAsia" w:ascii="楷体_GB2312" w:hAnsi="楷体_GB2312" w:eastAsia="楷体_GB2312" w:cs="楷体_GB2312"/>
          <w:b/>
          <w:bCs w:val="0"/>
          <w:kern w:val="2"/>
          <w:sz w:val="32"/>
          <w:szCs w:val="32"/>
          <w:lang w:val="en-US" w:eastAsia="zh-CN" w:bidi="ar-SA"/>
        </w:rPr>
        <w:t>（一）总结结论。</w:t>
      </w:r>
    </w:p>
    <w:p>
      <w:pPr>
        <w:pStyle w:val="7"/>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kern w:val="2"/>
          <w:sz w:val="32"/>
          <w:szCs w:val="32"/>
          <w:u w:val="none"/>
          <w:lang w:val="en-US" w:eastAsia="zh-CN" w:bidi="ar-SA"/>
        </w:rPr>
      </w:pPr>
      <w:r>
        <w:rPr>
          <w:rFonts w:hint="eastAsia" w:ascii="仿宋_GB2312" w:hAnsi="仿宋_GB2312" w:eastAsia="仿宋_GB2312" w:cs="仿宋_GB2312"/>
          <w:kern w:val="2"/>
          <w:sz w:val="32"/>
          <w:szCs w:val="32"/>
          <w:lang w:val="en-US" w:eastAsia="zh-CN" w:bidi="ar-SA"/>
        </w:rPr>
        <w:t>佛冈县水系水生态综合整治项目</w:t>
      </w:r>
      <w:r>
        <w:rPr>
          <w:rFonts w:hint="eastAsia" w:ascii="仿宋_GB2312" w:hAnsi="仿宋_GB2312" w:eastAsia="仿宋_GB2312" w:cs="仿宋_GB2312"/>
          <w:color w:val="000000"/>
          <w:kern w:val="2"/>
          <w:sz w:val="32"/>
          <w:szCs w:val="32"/>
          <w:u w:val="none"/>
          <w:lang w:val="en-US" w:eastAsia="zh-CN" w:bidi="ar-SA"/>
        </w:rPr>
        <w:t>资金使用情况评价得分结果是依据年初设定绩效指标及评价表，通过对收集到的佐证材料全面客观地了解、对比目标值与实际结果后，基于项目资金实际使用情况，严格按照评分标准进行打分，计算出评价得分：100分，绩效评价结果等级为：优。</w:t>
      </w:r>
    </w:p>
    <w:p>
      <w:pPr>
        <w:pStyle w:val="7"/>
        <w:keepNext w:val="0"/>
        <w:keepLines w:val="0"/>
        <w:pageBreakBefore w:val="0"/>
        <w:widowControl w:val="0"/>
        <w:numPr>
          <w:ilvl w:val="0"/>
          <w:numId w:val="0"/>
        </w:numPr>
        <w:tabs>
          <w:tab w:val="right" w:leader="dot" w:pos="8958"/>
        </w:tabs>
        <w:kinsoku/>
        <w:wordWrap/>
        <w:overflowPunct/>
        <w:topLinePunct w:val="0"/>
        <w:bidi w:val="0"/>
        <w:snapToGrid w:val="0"/>
        <w:spacing w:line="570" w:lineRule="exact"/>
        <w:ind w:firstLine="643" w:firstLineChars="200"/>
        <w:textAlignment w:val="auto"/>
        <w:rPr>
          <w:rFonts w:hint="eastAsia" w:ascii="仿宋_GB2312" w:hAnsi="仿宋_GB2312" w:eastAsia="仿宋_GB2312" w:cs="仿宋_GB2312"/>
          <w:bCs/>
          <w:color w:val="000000"/>
          <w:sz w:val="32"/>
          <w:szCs w:val="32"/>
          <w:lang w:val="en-US" w:eastAsia="zh-CN"/>
        </w:rPr>
      </w:pPr>
      <w:r>
        <w:rPr>
          <w:rFonts w:hint="eastAsia" w:ascii="仿宋_GB2312" w:hAnsi="仿宋_GB2312" w:eastAsia="仿宋_GB2312" w:cs="仿宋_GB2312"/>
          <w:b/>
          <w:bCs w:val="0"/>
          <w:color w:val="000000"/>
          <w:kern w:val="2"/>
          <w:sz w:val="32"/>
          <w:szCs w:val="32"/>
          <w:lang w:val="en-US" w:eastAsia="zh-CN" w:bidi="ar-SA"/>
        </w:rPr>
        <w:t>（二）各部分绩效分析</w:t>
      </w:r>
      <w:r>
        <w:rPr>
          <w:rFonts w:hint="eastAsia" w:ascii="仿宋_GB2312" w:hAnsi="仿宋_GB2312" w:eastAsia="仿宋_GB2312" w:cs="仿宋_GB2312"/>
          <w:bCs/>
          <w:color w:val="000000"/>
          <w:sz w:val="32"/>
          <w:szCs w:val="32"/>
          <w:lang w:val="en-US" w:eastAsia="zh-CN"/>
        </w:rPr>
        <w:t xml:space="preserve"> </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Cs/>
          <w:color w:val="000000"/>
          <w:sz w:val="32"/>
          <w:szCs w:val="32"/>
          <w:lang w:val="en-US" w:eastAsia="zh-CN"/>
        </w:rPr>
      </w:pPr>
      <w:r>
        <w:rPr>
          <w:rFonts w:hint="eastAsia" w:ascii="仿宋_GB2312" w:hAnsi="仿宋_GB2312" w:eastAsia="仿宋_GB2312" w:cs="仿宋_GB2312"/>
          <w:color w:val="000000"/>
          <w:sz w:val="32"/>
          <w:szCs w:val="32"/>
          <w:u w:val="none"/>
          <w:lang w:val="en-US" w:eastAsia="zh-CN"/>
        </w:rPr>
        <w:t>各子</w:t>
      </w:r>
      <w:r>
        <w:rPr>
          <w:rFonts w:hint="eastAsia" w:ascii="仿宋_GB2312" w:hAnsi="仿宋_GB2312" w:eastAsia="仿宋_GB2312" w:cs="仿宋_GB2312"/>
          <w:color w:val="000000"/>
          <w:sz w:val="32"/>
          <w:szCs w:val="32"/>
          <w:u w:val="none"/>
          <w:lang w:eastAsia="zh-CN"/>
        </w:rPr>
        <w:t>工程</w:t>
      </w:r>
      <w:r>
        <w:rPr>
          <w:rFonts w:hint="eastAsia" w:ascii="仿宋_GB2312" w:hAnsi="仿宋_GB2312" w:eastAsia="仿宋_GB2312" w:cs="仿宋_GB2312"/>
          <w:color w:val="000000"/>
          <w:sz w:val="32"/>
          <w:szCs w:val="32"/>
          <w:u w:val="none"/>
          <w:lang w:val="en-US" w:eastAsia="zh-CN"/>
        </w:rPr>
        <w:t>正在施工阶段</w:t>
      </w:r>
      <w:r>
        <w:rPr>
          <w:rFonts w:hint="eastAsia" w:ascii="仿宋_GB2312" w:hAnsi="仿宋_GB2312" w:eastAsia="仿宋_GB2312" w:cs="仿宋_GB2312"/>
          <w:color w:val="000000"/>
          <w:sz w:val="32"/>
          <w:szCs w:val="32"/>
          <w:u w:val="none"/>
          <w:lang w:eastAsia="zh-CN"/>
        </w:rPr>
        <w:t>，预计</w:t>
      </w:r>
      <w:r>
        <w:rPr>
          <w:rFonts w:hint="eastAsia" w:ascii="仿宋_GB2312" w:hAnsi="仿宋_GB2312" w:eastAsia="仿宋_GB2312" w:cs="仿宋_GB2312"/>
          <w:color w:val="000000"/>
          <w:sz w:val="32"/>
          <w:szCs w:val="32"/>
          <w:u w:val="none"/>
          <w:lang w:val="en-US" w:eastAsia="zh-CN"/>
        </w:rPr>
        <w:t>2025年5月30日完工，</w:t>
      </w:r>
      <w:r>
        <w:rPr>
          <w:rFonts w:hint="eastAsia" w:ascii="仿宋_GB2312" w:hAnsi="仿宋_GB2312" w:eastAsia="仿宋_GB2312" w:cs="仿宋_GB2312"/>
          <w:color w:val="000000"/>
          <w:sz w:val="32"/>
          <w:szCs w:val="32"/>
          <w:u w:val="none"/>
          <w:lang w:eastAsia="zh-CN"/>
        </w:rPr>
        <w:t>绩效目标与年初预期一致</w:t>
      </w:r>
      <w:r>
        <w:rPr>
          <w:rFonts w:hint="eastAsia" w:ascii="仿宋_GB2312" w:hAnsi="仿宋_GB2312" w:eastAsia="仿宋_GB2312" w:cs="仿宋_GB2312"/>
          <w:bCs/>
          <w:color w:val="000000"/>
          <w:sz w:val="32"/>
          <w:szCs w:val="32"/>
          <w:lang w:val="en-US" w:eastAsia="zh-CN"/>
        </w:rPr>
        <w:t>。</w:t>
      </w:r>
    </w:p>
    <w:p>
      <w:pPr>
        <w:pStyle w:val="7"/>
        <w:keepNext w:val="0"/>
        <w:keepLines w:val="0"/>
        <w:pageBreakBefore w:val="0"/>
        <w:widowControl w:val="0"/>
        <w:numPr>
          <w:ilvl w:val="0"/>
          <w:numId w:val="2"/>
        </w:numPr>
        <w:tabs>
          <w:tab w:val="right" w:leader="dot" w:pos="8958"/>
        </w:tabs>
        <w:kinsoku/>
        <w:wordWrap/>
        <w:overflowPunct/>
        <w:topLinePunct w:val="0"/>
        <w:autoSpaceDE/>
        <w:autoSpaceDN/>
        <w:bidi w:val="0"/>
        <w:adjustRightInd/>
        <w:snapToGrid w:val="0"/>
        <w:spacing w:line="570" w:lineRule="exact"/>
        <w:ind w:left="197" w:leftChars="0" w:firstLine="643" w:firstLineChars="0"/>
        <w:textAlignment w:val="auto"/>
        <w:rPr>
          <w:rFonts w:hint="eastAsia" w:ascii="仿宋_GB2312" w:hAnsi="仿宋_GB2312" w:eastAsia="仿宋_GB2312" w:cs="仿宋_GB2312"/>
          <w:b/>
          <w:bCs/>
          <w:color w:val="000000"/>
          <w:sz w:val="32"/>
          <w:szCs w:val="32"/>
          <w:u w:val="none"/>
          <w:lang w:eastAsia="zh-CN"/>
        </w:rPr>
      </w:pPr>
      <w:r>
        <w:rPr>
          <w:rFonts w:hint="eastAsia" w:ascii="仿宋_GB2312" w:hAnsi="仿宋_GB2312" w:eastAsia="仿宋_GB2312" w:cs="仿宋_GB2312"/>
          <w:b/>
          <w:bCs/>
          <w:color w:val="000000"/>
          <w:sz w:val="32"/>
          <w:szCs w:val="32"/>
          <w:u w:val="none"/>
          <w:lang w:eastAsia="zh-CN"/>
        </w:rPr>
        <w:t>产出指标完成情况分析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eastAsia="zh-CN"/>
        </w:rPr>
        <w:t>产出指标分值</w:t>
      </w:r>
      <w:r>
        <w:rPr>
          <w:rFonts w:hint="eastAsia" w:ascii="仿宋_GB2312" w:hAnsi="仿宋_GB2312" w:eastAsia="仿宋_GB2312" w:cs="仿宋_GB2312"/>
          <w:color w:val="000000"/>
          <w:sz w:val="32"/>
          <w:szCs w:val="32"/>
          <w:u w:val="none"/>
          <w:lang w:val="en-US" w:eastAsia="zh-CN"/>
        </w:rPr>
        <w:t>40分，指标得分40分。</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kern w:val="2"/>
          <w:sz w:val="32"/>
          <w:szCs w:val="32"/>
          <w:lang w:val="en-US" w:eastAsia="zh-CN" w:bidi="ar-SA"/>
        </w:rPr>
        <w:t>佛冈县水系水生态综合整治项目</w:t>
      </w:r>
      <w:r>
        <w:rPr>
          <w:rFonts w:hint="eastAsia" w:ascii="仿宋_GB2312" w:hAnsi="仿宋_GB2312" w:eastAsia="仿宋_GB2312" w:cs="仿宋_GB2312"/>
          <w:bCs/>
          <w:sz w:val="32"/>
          <w:szCs w:val="32"/>
          <w:lang w:val="en-US" w:eastAsia="zh-CN"/>
        </w:rPr>
        <w:t>正在按</w:t>
      </w:r>
      <w:r>
        <w:rPr>
          <w:rFonts w:hint="eastAsia" w:ascii="仿宋_GB2312" w:hAnsi="仿宋_GB2312" w:eastAsia="仿宋_GB2312" w:cs="仿宋_GB2312"/>
          <w:color w:val="000000"/>
          <w:sz w:val="32"/>
          <w:szCs w:val="32"/>
          <w:u w:val="none"/>
          <w:lang w:val="en-US" w:eastAsia="zh-CN"/>
        </w:rPr>
        <w:t>计划施工。</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u w:val="none"/>
          <w:lang w:eastAsia="zh-CN"/>
        </w:rPr>
      </w:pP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b/>
          <w:bCs/>
          <w:color w:val="000000"/>
          <w:sz w:val="32"/>
          <w:szCs w:val="32"/>
          <w:u w:val="none"/>
          <w:lang w:eastAsia="zh-CN"/>
        </w:rPr>
        <w:t>项目数量指标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u w:val="none"/>
          <w:lang w:val="en-US" w:eastAsia="zh-CN"/>
        </w:rPr>
        <w:t>整治河道5km,完成绩效目标，达到年初预设的指标值。</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u w:val="none"/>
          <w:lang w:eastAsia="zh-CN"/>
        </w:rPr>
      </w:pP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b/>
          <w:bCs/>
          <w:color w:val="000000"/>
          <w:sz w:val="32"/>
          <w:szCs w:val="32"/>
          <w:u w:val="none"/>
          <w:lang w:eastAsia="zh-CN"/>
        </w:rPr>
        <w:t>项目质量指标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佛冈县水系水生态综合整治项目验收</w:t>
      </w:r>
      <w:r>
        <w:rPr>
          <w:rFonts w:hint="eastAsia" w:ascii="仿宋_GB2312" w:hAnsi="仿宋_GB2312" w:eastAsia="仿宋_GB2312" w:cs="仿宋_GB2312"/>
          <w:color w:val="000000"/>
          <w:sz w:val="32"/>
          <w:szCs w:val="32"/>
          <w:u w:val="none"/>
          <w:lang w:eastAsia="zh-CN"/>
        </w:rPr>
        <w:t>合格率</w:t>
      </w:r>
      <w:r>
        <w:rPr>
          <w:rFonts w:hint="eastAsia" w:ascii="仿宋_GB2312" w:hAnsi="仿宋_GB2312" w:eastAsia="仿宋_GB2312" w:cs="仿宋_GB2312"/>
          <w:color w:val="000000"/>
          <w:sz w:val="32"/>
          <w:szCs w:val="32"/>
          <w:u w:val="none"/>
          <w:lang w:val="en-US" w:eastAsia="zh-CN"/>
        </w:rPr>
        <w:t>100%。</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eastAsia="zh-CN"/>
        </w:rPr>
      </w:pP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b/>
          <w:bCs/>
          <w:color w:val="000000"/>
          <w:sz w:val="32"/>
          <w:szCs w:val="32"/>
          <w:u w:val="none"/>
          <w:lang w:eastAsia="zh-CN"/>
        </w:rPr>
        <w:t>项目时效指标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w:t>
      </w:r>
      <w:r>
        <w:rPr>
          <w:rFonts w:hint="eastAsia" w:ascii="仿宋_GB2312" w:hAnsi="仿宋_GB2312" w:eastAsia="仿宋_GB2312" w:cs="仿宋_GB2312"/>
          <w:color w:val="000000"/>
          <w:sz w:val="32"/>
          <w:szCs w:val="32"/>
          <w:u w:val="none"/>
          <w:lang w:val="en-US" w:eastAsia="zh-CN"/>
        </w:rPr>
        <w:t>项目按计划开工率100%。</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（4）</w:t>
      </w:r>
      <w:r>
        <w:rPr>
          <w:rFonts w:hint="eastAsia" w:ascii="仿宋_GB2312" w:hAnsi="仿宋_GB2312" w:eastAsia="仿宋_GB2312" w:cs="仿宋_GB2312"/>
          <w:b/>
          <w:bCs/>
          <w:color w:val="000000"/>
          <w:sz w:val="32"/>
          <w:szCs w:val="32"/>
          <w:u w:val="none"/>
          <w:lang w:val="en-US" w:eastAsia="zh-CN"/>
        </w:rPr>
        <w:t>项目成本指标</w:t>
      </w:r>
    </w:p>
    <w:p>
      <w:pPr>
        <w:ind w:firstLine="640" w:firstLineChars="200"/>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u w:val="none"/>
          <w:lang w:val="en-US" w:eastAsia="zh-CN"/>
        </w:rPr>
        <w:t>，2024年度下达专项债券资金1600万元，</w:t>
      </w:r>
      <w:r>
        <w:rPr>
          <w:rFonts w:hint="eastAsia" w:ascii="仿宋_GB2312" w:hAnsi="仿宋_GB2312" w:eastAsia="仿宋_GB2312" w:cs="仿宋_GB2312"/>
          <w:color w:val="000000"/>
          <w:kern w:val="2"/>
          <w:sz w:val="32"/>
          <w:szCs w:val="32"/>
          <w:highlight w:val="none"/>
          <w:lang w:val="en-US" w:eastAsia="zh-CN" w:bidi="ar-SA"/>
        </w:rPr>
        <w:t>预算投资1600万元</w:t>
      </w:r>
      <w:r>
        <w:rPr>
          <w:rFonts w:hint="eastAsia" w:ascii="仿宋_GB2312" w:hAnsi="仿宋_GB2312" w:eastAsia="仿宋_GB2312" w:cs="仿宋_GB2312"/>
          <w:color w:val="000000"/>
          <w:sz w:val="32"/>
          <w:szCs w:val="32"/>
          <w:u w:val="none"/>
          <w:lang w:val="en-US" w:eastAsia="zh-CN"/>
        </w:rPr>
        <w:t>。</w:t>
      </w:r>
    </w:p>
    <w:p>
      <w:pPr>
        <w:pStyle w:val="7"/>
        <w:keepNext w:val="0"/>
        <w:keepLines w:val="0"/>
        <w:pageBreakBefore w:val="0"/>
        <w:widowControl w:val="0"/>
        <w:numPr>
          <w:ilvl w:val="0"/>
          <w:numId w:val="2"/>
        </w:numPr>
        <w:tabs>
          <w:tab w:val="right" w:leader="dot" w:pos="8958"/>
        </w:tabs>
        <w:kinsoku/>
        <w:wordWrap/>
        <w:overflowPunct/>
        <w:topLinePunct w:val="0"/>
        <w:autoSpaceDE/>
        <w:autoSpaceDN/>
        <w:bidi w:val="0"/>
        <w:adjustRightInd/>
        <w:snapToGrid w:val="0"/>
        <w:spacing w:line="570" w:lineRule="exact"/>
        <w:ind w:left="197" w:leftChars="0" w:firstLine="643" w:firstLineChars="0"/>
        <w:textAlignment w:val="auto"/>
        <w:rPr>
          <w:rFonts w:hint="eastAsia" w:ascii="仿宋_GB2312" w:hAnsi="仿宋_GB2312" w:eastAsia="仿宋_GB2312" w:cs="仿宋_GB2312"/>
          <w:b/>
          <w:bCs/>
          <w:color w:val="000000"/>
          <w:sz w:val="32"/>
          <w:szCs w:val="32"/>
          <w:u w:val="none"/>
          <w:lang w:eastAsia="zh-CN"/>
        </w:rPr>
      </w:pPr>
      <w:r>
        <w:rPr>
          <w:rFonts w:hint="eastAsia" w:ascii="仿宋_GB2312" w:hAnsi="仿宋_GB2312" w:eastAsia="仿宋_GB2312" w:cs="仿宋_GB2312"/>
          <w:b/>
          <w:bCs/>
          <w:color w:val="000000"/>
          <w:sz w:val="32"/>
          <w:szCs w:val="32"/>
          <w:u w:val="none"/>
          <w:lang w:eastAsia="zh-CN"/>
        </w:rPr>
        <w:t>效益指标完成情况分析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eastAsia="zh-CN"/>
        </w:rPr>
        <w:t>效益指标分值</w:t>
      </w:r>
      <w:r>
        <w:rPr>
          <w:rFonts w:hint="eastAsia" w:ascii="仿宋_GB2312" w:hAnsi="仿宋_GB2312" w:eastAsia="仿宋_GB2312" w:cs="仿宋_GB2312"/>
          <w:color w:val="000000"/>
          <w:sz w:val="32"/>
          <w:szCs w:val="32"/>
          <w:u w:val="none"/>
          <w:lang w:val="en-US" w:eastAsia="zh-CN"/>
        </w:rPr>
        <w:t>30分，指标得分30分。</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（1）</w:t>
      </w:r>
      <w:r>
        <w:rPr>
          <w:rFonts w:hint="eastAsia" w:ascii="仿宋_GB2312" w:hAnsi="仿宋_GB2312" w:eastAsia="仿宋_GB2312" w:cs="仿宋_GB2312"/>
          <w:b/>
          <w:bCs/>
          <w:color w:val="000000"/>
          <w:sz w:val="32"/>
          <w:szCs w:val="32"/>
          <w:u w:val="none"/>
          <w:lang w:val="en-US" w:eastAsia="zh-CN"/>
        </w:rPr>
        <w:t>经济效益指标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u w:val="none"/>
          <w:lang w:val="en-US" w:eastAsia="zh-CN"/>
        </w:rPr>
        <w:t>实施后，可提高潖江、潖二水、烟岭河干流及支流和 50 平方公里以下的河流流域的防汛能力，为国民经济持续健康发展提供安全保障。</w:t>
      </w:r>
    </w:p>
    <w:p>
      <w:pPr>
        <w:pStyle w:val="5"/>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b/>
          <w:bCs/>
          <w:color w:val="000000"/>
          <w:sz w:val="32"/>
          <w:szCs w:val="32"/>
          <w:lang w:val="en-US" w:eastAsia="zh-CN"/>
        </w:rPr>
        <w:t>社会效益指标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lang w:val="en-US" w:eastAsia="zh-CN"/>
        </w:rPr>
        <w:t>实施后，通过工程建设提高沿岸地区河道排洪排涝能力、防洪抗冲能力，保障居民社会生活平稳。</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b/>
          <w:bCs/>
          <w:color w:val="000000"/>
          <w:sz w:val="32"/>
          <w:szCs w:val="32"/>
          <w:lang w:val="en-US" w:eastAsia="zh-CN"/>
        </w:rPr>
        <w:t>生态效益指标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工程的建设，有效保护水资源，防止水土流失。</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b/>
          <w:bCs/>
          <w:color w:val="000000"/>
          <w:sz w:val="32"/>
          <w:szCs w:val="32"/>
          <w:lang w:val="en-US" w:eastAsia="zh-CN"/>
        </w:rPr>
        <w:t>可持续影响指标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工程建设是佛冈县营造安定、和谐社会的第一要务，是社会发展的必然要求。完善河道功能，保障社会健康、协调和可持续发展的需要。对改善沿岸地区的生态环境、促进水土流失综合治理、提高人民群众的生活质量都具有积极的意义。</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b/>
          <w:bCs/>
          <w:color w:val="000000"/>
          <w:sz w:val="32"/>
          <w:szCs w:val="32"/>
          <w:lang w:val="en-US" w:eastAsia="zh-CN"/>
        </w:rPr>
        <w:t>项目满意度情况</w:t>
      </w:r>
    </w:p>
    <w:p>
      <w:pPr>
        <w:pStyle w:val="2"/>
        <w:ind w:firstLine="640" w:firstLineChars="200"/>
        <w:rPr>
          <w:rFonts w:hint="eastAsia"/>
          <w:lang w:val="en-US" w:eastAsia="zh-CN"/>
        </w:rPr>
      </w:pPr>
      <w:r>
        <w:rPr>
          <w:rFonts w:hint="eastAsia" w:ascii="仿宋_GB2312" w:hAnsi="仿宋_GB2312" w:eastAsia="仿宋_GB2312" w:cs="仿宋_GB2312"/>
          <w:color w:val="000000"/>
          <w:sz w:val="32"/>
          <w:szCs w:val="32"/>
          <w:lang w:val="en-US" w:eastAsia="zh-CN"/>
        </w:rPr>
        <w:t>对</w:t>
      </w:r>
      <w:r>
        <w:rPr>
          <w:rFonts w:hint="eastAsia"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lang w:val="en-US" w:eastAsia="zh-CN"/>
        </w:rPr>
        <w:t>进行问卷调查所获得的的数据进行整理分析，群众对</w:t>
      </w:r>
      <w:r>
        <w:rPr>
          <w:rFonts w:hint="eastAsia" w:cs="仿宋_GB2312"/>
          <w:color w:val="000000"/>
          <w:sz w:val="32"/>
          <w:szCs w:val="32"/>
          <w:lang w:val="en-US" w:eastAsia="zh-CN"/>
        </w:rPr>
        <w:t>综合整治项目</w:t>
      </w:r>
      <w:r>
        <w:rPr>
          <w:rFonts w:hint="eastAsia" w:ascii="仿宋_GB2312" w:hAnsi="仿宋_GB2312" w:eastAsia="仿宋_GB2312" w:cs="仿宋_GB2312"/>
          <w:color w:val="000000"/>
          <w:sz w:val="32"/>
          <w:szCs w:val="32"/>
          <w:lang w:val="en-US" w:eastAsia="zh-CN"/>
        </w:rPr>
        <w:t>建设工作的满意度为</w:t>
      </w:r>
      <w:r>
        <w:rPr>
          <w:rFonts w:hint="eastAsia" w:cs="仿宋_GB2312"/>
          <w:color w:val="000000"/>
          <w:sz w:val="32"/>
          <w:szCs w:val="32"/>
          <w:lang w:val="en-US" w:eastAsia="zh-CN"/>
        </w:rPr>
        <w:t>100%</w:t>
      </w:r>
      <w:r>
        <w:rPr>
          <w:rFonts w:hint="eastAsia" w:ascii="仿宋_GB2312" w:hAnsi="仿宋_GB2312" w:eastAsia="仿宋_GB2312" w:cs="仿宋_GB2312"/>
          <w:color w:val="000000"/>
          <w:sz w:val="32"/>
          <w:szCs w:val="32"/>
          <w:lang w:val="en-US" w:eastAsia="zh-CN"/>
        </w:rPr>
        <w:t>。</w:t>
      </w:r>
    </w:p>
    <w:p>
      <w:pPr>
        <w:pStyle w:val="7"/>
        <w:numPr>
          <w:ilvl w:val="0"/>
          <w:numId w:val="0"/>
        </w:numPr>
        <w:tabs>
          <w:tab w:val="right" w:leader="dot" w:pos="8958"/>
        </w:tabs>
        <w:snapToGrid w:val="0"/>
        <w:spacing w:line="360" w:lineRule="auto"/>
        <w:ind w:firstLine="640" w:firstLineChars="200"/>
        <w:rPr>
          <w:rFonts w:hint="eastAsia" w:ascii="黑体" w:hAnsi="黑体" w:eastAsia="黑体" w:cs="黑体"/>
          <w:bCs/>
          <w:sz w:val="32"/>
          <w:szCs w:val="32"/>
        </w:rPr>
      </w:pPr>
      <w:r>
        <w:rPr>
          <w:rFonts w:hint="eastAsia" w:ascii="黑体" w:hAnsi="黑体" w:eastAsia="黑体" w:cs="黑体"/>
          <w:bCs/>
          <w:sz w:val="32"/>
          <w:szCs w:val="32"/>
        </w:rPr>
        <w:t>三、主要绩效</w:t>
      </w:r>
    </w:p>
    <w:p>
      <w:pPr>
        <w:snapToGrid w:val="0"/>
        <w:spacing w:line="360" w:lineRule="auto"/>
        <w:rPr>
          <w:rFonts w:hint="default" w:eastAsia="黑体"/>
          <w:sz w:val="32"/>
          <w:szCs w:val="32"/>
          <w:lang w:val="en-US" w:eastAsia="zh-CN"/>
        </w:rPr>
      </w:pPr>
      <w:r>
        <w:rPr>
          <w:rFonts w:hint="eastAsia" w:ascii="黑体" w:hAnsi="黑体" w:eastAsia="黑体" w:cs="黑体"/>
          <w:bCs/>
          <w:sz w:val="32"/>
          <w:szCs w:val="32"/>
          <w:lang w:val="en-US" w:eastAsia="zh-CN"/>
        </w:rPr>
        <w:t xml:space="preserve">   </w:t>
      </w:r>
      <w:r>
        <w:rPr>
          <w:rFonts w:hint="eastAsia" w:ascii="仿宋_GB2312" w:hAnsi="仿宋_GB2312" w:eastAsia="仿宋_GB2312" w:cs="仿宋_GB2312"/>
          <w:bCs/>
          <w:color w:val="000000"/>
          <w:sz w:val="32"/>
          <w:szCs w:val="32"/>
          <w:lang w:val="en-US" w:eastAsia="zh-CN"/>
        </w:rPr>
        <w:t>项目的实施可以有效地改善当地的生态环境，提高水库库容，提高河道排洪能力以及沿河地区抵御洪涝灾害的能力，为当地社会经济快速可持续发展提供了较好的外部条件</w:t>
      </w:r>
      <w:r>
        <w:rPr>
          <w:rFonts w:hint="eastAsia" w:ascii="仿宋_GB2312" w:hAnsi="仿宋_GB2312" w:eastAsia="仿宋_GB2312" w:cs="仿宋_GB2312"/>
          <w:bCs/>
          <w:sz w:val="32"/>
          <w:szCs w:val="32"/>
          <w:lang w:val="en-US" w:eastAsia="zh-CN"/>
        </w:rPr>
        <w:t>。</w:t>
      </w:r>
    </w:p>
    <w:p>
      <w:pPr>
        <w:pStyle w:val="7"/>
        <w:numPr>
          <w:ilvl w:val="0"/>
          <w:numId w:val="3"/>
        </w:numPr>
        <w:tabs>
          <w:tab w:val="right" w:leader="dot" w:pos="8958"/>
        </w:tabs>
        <w:snapToGrid w:val="0"/>
        <w:spacing w:line="360" w:lineRule="auto"/>
        <w:ind w:firstLine="640" w:firstLineChars="200"/>
        <w:rPr>
          <w:rFonts w:hint="eastAsia" w:ascii="黑体" w:hAnsi="黑体" w:eastAsia="黑体" w:cs="黑体"/>
          <w:bCs/>
          <w:sz w:val="32"/>
          <w:szCs w:val="32"/>
        </w:rPr>
      </w:pPr>
      <w:r>
        <w:rPr>
          <w:rFonts w:hint="eastAsia" w:ascii="黑体" w:hAnsi="黑体" w:eastAsia="黑体" w:cs="黑体"/>
          <w:bCs/>
          <w:sz w:val="32"/>
          <w:szCs w:val="32"/>
        </w:rPr>
        <w:t>存在问题</w:t>
      </w:r>
    </w:p>
    <w:p>
      <w:pPr>
        <w:numPr>
          <w:ilvl w:val="0"/>
          <w:numId w:val="0"/>
        </w:numPr>
        <w:snapToGrid w:val="0"/>
        <w:spacing w:line="36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暂无</w:t>
      </w:r>
    </w:p>
    <w:p>
      <w:pPr>
        <w:numPr>
          <w:ilvl w:val="0"/>
          <w:numId w:val="0"/>
        </w:numPr>
        <w:snapToGrid w:val="0"/>
        <w:spacing w:line="360" w:lineRule="auto"/>
        <w:ind w:firstLine="640" w:firstLineChars="200"/>
        <w:rPr>
          <w:rFonts w:hint="eastAsia" w:ascii="黑体" w:hAnsi="黑体" w:eastAsia="黑体" w:cs="黑体"/>
          <w:bCs/>
          <w:sz w:val="32"/>
          <w:szCs w:val="32"/>
          <w:lang w:val="en-US" w:eastAsia="zh-CN"/>
        </w:rPr>
      </w:pPr>
      <w:r>
        <w:rPr>
          <w:rFonts w:hint="eastAsia" w:ascii="黑体" w:hAnsi="黑体" w:eastAsia="黑体" w:cs="黑体"/>
          <w:bCs/>
          <w:sz w:val="32"/>
          <w:szCs w:val="32"/>
        </w:rPr>
        <w:t>五、</w:t>
      </w:r>
      <w:r>
        <w:rPr>
          <w:rFonts w:hint="eastAsia" w:ascii="黑体" w:hAnsi="黑体" w:eastAsia="黑体" w:cs="黑体"/>
          <w:bCs/>
          <w:sz w:val="32"/>
          <w:szCs w:val="32"/>
          <w:lang w:eastAsia="zh-CN"/>
        </w:rPr>
        <w:t>改进措施</w:t>
      </w:r>
    </w:p>
    <w:p>
      <w:pPr>
        <w:keepNext w:val="0"/>
        <w:keepLines w:val="0"/>
        <w:pageBreakBefore w:val="0"/>
        <w:widowControl w:val="0"/>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是申报债券项目要进一步夯实基础，做好债券前期工作。项目实施单位需高度重视项目预期受益与融资平衡方案及可行性研究报告的编制，充分论证。二是做好项目事前绩效评估，提高成本测算的准确性，三是设置完整细化的绩效指标、完善相应业务和财务管理制度，便于项目日常管理、考核和事后评价，提高财政资金的使用效益，提升财政资金使用的科学化、精细化。</w:t>
      </w:r>
    </w:p>
    <w:p>
      <w:pPr>
        <w:snapToGrid w:val="0"/>
        <w:spacing w:line="360" w:lineRule="auto"/>
        <w:ind w:firstLine="640" w:firstLineChars="200"/>
        <w:rPr>
          <w:rFonts w:hint="eastAsia" w:ascii="仿宋_GB2312" w:hAnsi="仿宋_GB2312" w:eastAsia="仿宋_GB2312" w:cs="仿宋_GB2312"/>
          <w:sz w:val="32"/>
          <w:szCs w:val="32"/>
          <w:lang w:val="en-US" w:eastAsia="zh-CN"/>
        </w:rPr>
      </w:pPr>
    </w:p>
    <w:p>
      <w:pPr>
        <w:snapToGrid w:val="0"/>
        <w:spacing w:line="288" w:lineRule="auto"/>
        <w:jc w:val="center"/>
        <w:rPr>
          <w:rFonts w:hint="eastAsia" w:ascii="方正小标宋简体" w:hAnsi="方正小标宋简体" w:eastAsia="方正小标宋简体" w:cs="方正小标宋简体"/>
          <w:sz w:val="32"/>
          <w:szCs w:val="32"/>
          <w:lang w:val="en-US" w:eastAsia="zh-CN"/>
        </w:rPr>
      </w:pPr>
    </w:p>
    <w:p>
      <w:pPr>
        <w:snapToGrid w:val="0"/>
        <w:spacing w:line="288" w:lineRule="auto"/>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第二部分：分析报告</w:t>
      </w:r>
    </w:p>
    <w:p>
      <w:pPr>
        <w:snapToGrid w:val="0"/>
        <w:spacing w:line="288" w:lineRule="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分析报告，是绩效报告的详细版，具体说明各项基本情况，并对各评价指标展开分析。具体框架与内容如下：</w:t>
      </w:r>
    </w:p>
    <w:p>
      <w:pPr>
        <w:numPr>
          <w:ilvl w:val="0"/>
          <w:numId w:val="0"/>
        </w:numPr>
        <w:snapToGrid w:val="0"/>
        <w:spacing w:line="360" w:lineRule="auto"/>
        <w:ind w:firstLine="640" w:firstLineChars="200"/>
        <w:rPr>
          <w:rFonts w:hint="eastAsia" w:ascii="黑体" w:hAnsi="黑体" w:eastAsia="黑体" w:cs="黑体"/>
          <w:sz w:val="32"/>
          <w:szCs w:val="32"/>
          <w:highlight w:val="green"/>
          <w:lang w:val="en-US" w:eastAsia="zh-CN"/>
        </w:rPr>
      </w:pPr>
      <w:r>
        <w:rPr>
          <w:rFonts w:hint="eastAsia" w:ascii="黑体" w:hAnsi="黑体" w:eastAsia="黑体" w:cs="黑体"/>
          <w:sz w:val="32"/>
          <w:szCs w:val="32"/>
          <w:lang w:val="en-US" w:eastAsia="zh-CN"/>
        </w:rPr>
        <w:t>一、基本情况</w:t>
      </w:r>
    </w:p>
    <w:p>
      <w:pPr>
        <w:adjustRightInd w:val="0"/>
        <w:snapToGrid w:val="0"/>
        <w:spacing w:line="360" w:lineRule="auto"/>
        <w:ind w:firstLine="643"/>
        <w:outlineLvl w:val="1"/>
        <w:rPr>
          <w:rFonts w:hint="eastAsia" w:ascii="仿宋_GB2312" w:hAnsi="仿宋" w:eastAsia="仿宋_GB2312" w:cs="仿宋_GB2312"/>
          <w:b/>
          <w:bCs/>
          <w:color w:val="000000"/>
          <w:sz w:val="32"/>
          <w:szCs w:val="32"/>
        </w:rPr>
      </w:pPr>
      <w:r>
        <w:rPr>
          <w:rFonts w:hint="eastAsia" w:ascii="楷体_GB2312" w:hAnsi="楷体_GB2312" w:eastAsia="楷体_GB2312" w:cs="楷体_GB2312"/>
          <w:b/>
          <w:sz w:val="32"/>
          <w:szCs w:val="32"/>
          <w:lang w:val="en-US" w:eastAsia="zh-CN"/>
        </w:rPr>
        <w:t>（一）项目基本情况。</w:t>
      </w:r>
      <w:bookmarkStart w:id="1" w:name="_Toc99030931"/>
      <w:bookmarkStart w:id="2" w:name="_Toc15306"/>
      <w:bookmarkStart w:id="3" w:name="_Toc10133"/>
      <w:bookmarkStart w:id="4" w:name="_Toc4459"/>
      <w:bookmarkStart w:id="5" w:name="_Toc10033"/>
      <w:bookmarkStart w:id="6" w:name="_Toc21139"/>
      <w:bookmarkStart w:id="7" w:name="_Toc101973055"/>
      <w:bookmarkStart w:id="8" w:name="_Toc4999"/>
      <w:r>
        <w:rPr>
          <w:rFonts w:hint="eastAsia" w:ascii="仿宋_GB2312" w:hAnsi="仿宋" w:eastAsia="仿宋_GB2312" w:cs="仿宋_GB2312"/>
          <w:b/>
          <w:bCs/>
          <w:color w:val="000000"/>
          <w:sz w:val="32"/>
          <w:szCs w:val="32"/>
        </w:rPr>
        <w:t>（一）项目所处区域财政经济情况</w:t>
      </w:r>
      <w:bookmarkEnd w:id="1"/>
      <w:bookmarkEnd w:id="2"/>
      <w:bookmarkEnd w:id="3"/>
      <w:bookmarkEnd w:id="4"/>
      <w:bookmarkEnd w:id="5"/>
      <w:bookmarkEnd w:id="6"/>
      <w:bookmarkEnd w:id="7"/>
      <w:bookmarkEnd w:id="8"/>
    </w:p>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bookmarkStart w:id="9" w:name="_Hlk102395787"/>
      <w:bookmarkStart w:id="10" w:name="_Toc8194"/>
      <w:bookmarkStart w:id="11" w:name="_Toc11398"/>
      <w:bookmarkStart w:id="12" w:name="_Toc9605"/>
      <w:bookmarkStart w:id="13" w:name="_Toc101973056"/>
      <w:bookmarkStart w:id="14" w:name="_Toc6768"/>
      <w:bookmarkStart w:id="15" w:name="_Toc99030932"/>
      <w:bookmarkStart w:id="16" w:name="_Toc17951"/>
      <w:bookmarkStart w:id="17" w:name="_Toc31763"/>
      <w:bookmarkStart w:id="18" w:name="_Toc26219"/>
      <w:bookmarkStart w:id="19" w:name="_Toc24251"/>
      <w:r>
        <w:rPr>
          <w:rFonts w:hint="eastAsia" w:ascii="仿宋_GB2312" w:hAnsi="仿宋_GB2312" w:eastAsia="仿宋_GB2312" w:cs="仿宋_GB2312"/>
          <w:color w:val="auto"/>
          <w:sz w:val="32"/>
          <w:szCs w:val="32"/>
          <w:highlight w:val="none"/>
        </w:rPr>
        <w:t>佛冈县，广东省清远市下辖县，位于广东省中部，珠江三角洲大三角边缘，属山区县，与从化、新丰、英德和清远市清城区毗邻，是历代兵家必争之地。地形地势自东北向西南倾斜，境内低山、丘陵、谷地、平原交错，面积1295平方公里，六普户籍人口32.07万。佛冈有多处的史前文化遗址，且留存西周的古窑，</w:t>
      </w:r>
    </w:p>
    <w:p>
      <w:pPr>
        <w:adjustRightInd w:val="0"/>
        <w:snapToGrid w:val="0"/>
        <w:spacing w:line="360" w:lineRule="auto"/>
        <w:ind w:left="0" w:leftChars="0"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春秋时期的青铜剑、唐宋的古道等。</w:t>
      </w:r>
    </w:p>
    <w:bookmarkEnd w:id="9"/>
    <w:p>
      <w:pPr>
        <w:adjustRightInd w:val="0"/>
        <w:snapToGrid w:val="0"/>
        <w:spacing w:line="360" w:lineRule="auto"/>
        <w:ind w:firstLine="64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佛冈县20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年至202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年地区生产总值分别为</w:t>
      </w:r>
      <w:r>
        <w:rPr>
          <w:rFonts w:ascii="仿宋_GB2312" w:hAnsi="仿宋_GB2312" w:eastAsia="仿宋_GB2312" w:cs="仿宋_GB2312"/>
          <w:color w:val="auto"/>
          <w:sz w:val="32"/>
          <w:szCs w:val="32"/>
          <w:highlight w:val="none"/>
        </w:rPr>
        <w:t>158.52</w:t>
      </w:r>
      <w:r>
        <w:rPr>
          <w:rFonts w:hint="eastAsia" w:ascii="仿宋_GB2312" w:hAnsi="仿宋_GB2312" w:eastAsia="仿宋_GB2312" w:cs="仿宋_GB2312"/>
          <w:color w:val="auto"/>
          <w:sz w:val="32"/>
          <w:szCs w:val="32"/>
          <w:highlight w:val="none"/>
        </w:rPr>
        <w:t>亿元</w:t>
      </w:r>
      <w:r>
        <w:rPr>
          <w:rFonts w:hint="eastAsia" w:ascii="仿宋_GB2312" w:hAnsi="仿宋_GB2312" w:eastAsia="仿宋_GB2312" w:cs="仿宋_GB2312"/>
          <w:color w:val="auto"/>
          <w:sz w:val="32"/>
          <w:szCs w:val="32"/>
          <w:highlight w:val="none"/>
          <w:lang w:val="en-US" w:eastAsia="zh-CN"/>
        </w:rPr>
        <w:t>、161.34亿元和171.57亿元</w:t>
      </w:r>
      <w:r>
        <w:rPr>
          <w:rFonts w:hint="eastAsia" w:ascii="仿宋_GB2312" w:hAnsi="仿宋_GB2312" w:eastAsia="仿宋_GB2312" w:cs="仿宋_GB2312"/>
          <w:color w:val="auto"/>
          <w:sz w:val="32"/>
          <w:szCs w:val="32"/>
          <w:highlight w:val="none"/>
        </w:rPr>
        <w:t>，政府性基金支出分别为11.80亿元</w:t>
      </w:r>
      <w:r>
        <w:rPr>
          <w:rFonts w:hint="eastAsia" w:ascii="仿宋_GB2312" w:hAnsi="仿宋_GB2312" w:eastAsia="仿宋_GB2312" w:cs="仿宋_GB2312"/>
          <w:color w:val="auto"/>
          <w:sz w:val="32"/>
          <w:szCs w:val="32"/>
          <w:highlight w:val="none"/>
          <w:lang w:val="en-US" w:eastAsia="zh-CN"/>
        </w:rPr>
        <w:t>、16.79亿元和18.76亿元</w:t>
      </w:r>
      <w:r>
        <w:rPr>
          <w:rFonts w:hint="eastAsia" w:ascii="仿宋_GB2312" w:hAnsi="仿宋_GB2312" w:eastAsia="仿宋_GB2312" w:cs="仿宋_GB2312"/>
          <w:color w:val="auto"/>
          <w:sz w:val="32"/>
          <w:szCs w:val="32"/>
          <w:highlight w:val="none"/>
        </w:rPr>
        <w:t>。</w:t>
      </w:r>
    </w:p>
    <w:p>
      <w:pPr>
        <w:spacing w:line="360" w:lineRule="auto"/>
        <w:ind w:firstLine="0" w:firstLineChars="0"/>
        <w:jc w:val="center"/>
        <w:rPr>
          <w:rFonts w:hint="eastAsia" w:ascii="仿宋_GB2312" w:hAnsi="仿宋_GB2312" w:eastAsia="仿宋_GB2312" w:cs="仿宋_GB2312"/>
          <w:color w:val="auto"/>
          <w:szCs w:val="28"/>
          <w:highlight w:val="none"/>
        </w:rPr>
      </w:pPr>
      <w:r>
        <w:rPr>
          <w:rFonts w:hint="eastAsia" w:ascii="仿宋_GB2312" w:hAnsi="仿宋_GB2312" w:eastAsia="仿宋_GB2312" w:cs="仿宋_GB2312"/>
          <w:color w:val="auto"/>
          <w:szCs w:val="28"/>
          <w:highlight w:val="none"/>
        </w:rPr>
        <w:t>近三年佛冈县财政经济情况</w:t>
      </w:r>
    </w:p>
    <w:tbl>
      <w:tblPr>
        <w:tblStyle w:val="9"/>
        <w:tblW w:w="911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502"/>
        <w:gridCol w:w="1433"/>
        <w:gridCol w:w="1530"/>
        <w:gridCol w:w="165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502" w:type="dxa"/>
            <w:tcBorders>
              <w:left w:val="single" w:color="auto" w:sz="4" w:space="0"/>
            </w:tcBorders>
            <w:shd w:val="clear" w:color="auto" w:fill="BEBEBE"/>
            <w:noWrap w:val="0"/>
            <w:vAlign w:val="center"/>
          </w:tcPr>
          <w:p>
            <w:pPr>
              <w:ind w:firstLine="48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项目</w:t>
            </w:r>
          </w:p>
        </w:tc>
        <w:tc>
          <w:tcPr>
            <w:tcW w:w="1433" w:type="dxa"/>
            <w:shd w:val="clear" w:color="auto" w:fill="BEBEBE"/>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2021年</w:t>
            </w:r>
          </w:p>
        </w:tc>
        <w:tc>
          <w:tcPr>
            <w:tcW w:w="1530" w:type="dxa"/>
            <w:shd w:val="clear" w:color="auto" w:fill="BEBEBE"/>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w:t>
            </w:r>
            <w:r>
              <w:rPr>
                <w:rFonts w:hint="eastAsia" w:ascii="仿宋_GB2312" w:hAnsi="黑体" w:eastAsia="仿宋_GB2312" w:cs="黑体"/>
                <w:bCs/>
                <w:color w:val="auto"/>
                <w:sz w:val="24"/>
                <w:szCs w:val="24"/>
                <w:highlight w:val="none"/>
                <w:lang w:val="en-US" w:eastAsia="zh-CN"/>
              </w:rPr>
              <w:t>2</w:t>
            </w:r>
            <w:r>
              <w:rPr>
                <w:rFonts w:hint="eastAsia" w:ascii="仿宋_GB2312" w:hAnsi="黑体" w:eastAsia="仿宋_GB2312" w:cs="黑体"/>
                <w:bCs/>
                <w:color w:val="auto"/>
                <w:sz w:val="24"/>
                <w:szCs w:val="24"/>
                <w:highlight w:val="none"/>
              </w:rPr>
              <w:t>年</w:t>
            </w:r>
          </w:p>
        </w:tc>
        <w:tc>
          <w:tcPr>
            <w:tcW w:w="1653" w:type="dxa"/>
            <w:tcBorders>
              <w:right w:val="single" w:color="auto" w:sz="4" w:space="0"/>
            </w:tcBorders>
            <w:shd w:val="clear" w:color="auto" w:fill="BEBEBE"/>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w:t>
            </w:r>
            <w:r>
              <w:rPr>
                <w:rFonts w:hint="eastAsia" w:ascii="仿宋_GB2312" w:hAnsi="黑体" w:eastAsia="仿宋_GB2312" w:cs="黑体"/>
                <w:bCs/>
                <w:color w:val="auto"/>
                <w:sz w:val="24"/>
                <w:szCs w:val="24"/>
                <w:highlight w:val="none"/>
                <w:lang w:val="en-US" w:eastAsia="zh-CN"/>
              </w:rPr>
              <w:t>3</w:t>
            </w:r>
            <w:r>
              <w:rPr>
                <w:rFonts w:hint="eastAsia" w:ascii="仿宋_GB2312" w:hAnsi="黑体" w:eastAsia="仿宋_GB2312" w:cs="黑体"/>
                <w:bCs/>
                <w:color w:val="auto"/>
                <w:sz w:val="24"/>
                <w:szCs w:val="24"/>
                <w:highlight w:val="none"/>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地区生产总值（亿元）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w:t>
            </w:r>
            <w:r>
              <w:rPr>
                <w:rFonts w:hint="default" w:ascii="仿宋_GB2312" w:hAnsi="黑体" w:eastAsia="仿宋_GB2312" w:cs="黑体"/>
                <w:bCs/>
                <w:color w:val="auto"/>
                <w:sz w:val="24"/>
                <w:szCs w:val="24"/>
                <w:highlight w:val="none"/>
              </w:rPr>
              <w:t>58.52</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161.34</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171.57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517"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一般预算收入（亿元）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11.61</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12.77</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13.59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政府性基金收入（亿元）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16.27</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w:t>
            </w:r>
            <w:r>
              <w:rPr>
                <w:rFonts w:hint="eastAsia" w:ascii="仿宋_GB2312" w:hAnsi="黑体" w:eastAsia="仿宋_GB2312" w:cs="黑体"/>
                <w:bCs/>
                <w:color w:val="auto"/>
                <w:sz w:val="24"/>
                <w:szCs w:val="24"/>
                <w:highlight w:val="none"/>
                <w:lang w:val="en-US" w:eastAsia="zh-CN"/>
              </w:rPr>
              <w:t>0.76</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6.44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其中：国有土地出让收入（亿元）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14.61</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9.36</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5.25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政府性基金支出（亿元）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11.80</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16.79</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18.76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4502" w:type="dxa"/>
            <w:tcBorders>
              <w:left w:val="single" w:color="auto" w:sz="4" w:space="0"/>
            </w:tcBorders>
            <w:noWrap w:val="0"/>
            <w:vAlign w:val="center"/>
          </w:tcPr>
          <w:p>
            <w:pPr>
              <w:pStyle w:val="2"/>
              <w:jc w:val="center"/>
              <w:rPr>
                <w:rFonts w:hAnsi="仿宋" w:cs="仿宋"/>
                <w:color w:val="auto"/>
                <w:highlight w:val="none"/>
              </w:rPr>
            </w:pPr>
            <w:r>
              <w:rPr>
                <w:rFonts w:hAnsi="仿宋" w:cs="仿宋"/>
                <w:color w:val="auto"/>
                <w:highlight w:val="none"/>
              </w:rPr>
              <w:t>其中：国有土地出让支出（亿元）</w:t>
            </w:r>
          </w:p>
        </w:tc>
        <w:tc>
          <w:tcPr>
            <w:tcW w:w="1433"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8.60</w:t>
            </w:r>
          </w:p>
        </w:tc>
        <w:tc>
          <w:tcPr>
            <w:tcW w:w="1530" w:type="dxa"/>
            <w:noWrap w:val="0"/>
            <w:vAlign w:val="center"/>
          </w:tcPr>
          <w:p>
            <w:pPr>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3.70</w:t>
            </w:r>
          </w:p>
        </w:tc>
        <w:tc>
          <w:tcPr>
            <w:tcW w:w="1653" w:type="dxa"/>
            <w:tcBorders>
              <w:right w:val="single" w:color="auto" w:sz="4" w:space="0"/>
            </w:tcBorders>
            <w:noWrap w:val="0"/>
            <w:vAlign w:val="center"/>
          </w:tcPr>
          <w:p>
            <w:pPr>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2.92</w:t>
            </w:r>
          </w:p>
        </w:tc>
      </w:tr>
    </w:tbl>
    <w:p>
      <w:pPr>
        <w:pStyle w:val="3"/>
        <w:spacing w:before="0" w:after="0"/>
        <w:ind w:firstLine="643"/>
        <w:rPr>
          <w:rFonts w:hint="eastAsia" w:ascii="仿宋_GB2312" w:hAnsi="仿宋" w:eastAsia="仿宋_GB2312" w:cs="仿宋_GB2312"/>
          <w:b w:val="0"/>
          <w:bCs w:val="0"/>
          <w:sz w:val="32"/>
        </w:rPr>
      </w:pPr>
      <w:r>
        <w:rPr>
          <w:rFonts w:hint="eastAsia" w:ascii="仿宋_GB2312" w:hAnsi="仿宋" w:eastAsia="仿宋_GB2312" w:cs="仿宋_GB2312"/>
          <w:sz w:val="32"/>
        </w:rPr>
        <w:t>（二）本地社会发展规划和</w:t>
      </w:r>
      <w:r>
        <w:rPr>
          <w:rFonts w:hint="eastAsia" w:ascii="仿宋_GB2312" w:hAnsi="仿宋" w:eastAsia="仿宋_GB2312" w:cs="仿宋_GB2312"/>
          <w:sz w:val="32"/>
          <w:lang w:val="en-US"/>
        </w:rPr>
        <w:t>行业相关规划</w:t>
      </w:r>
      <w:bookmarkEnd w:id="10"/>
      <w:bookmarkEnd w:id="11"/>
      <w:bookmarkEnd w:id="12"/>
      <w:bookmarkEnd w:id="13"/>
      <w:bookmarkEnd w:id="14"/>
      <w:bookmarkEnd w:id="15"/>
      <w:bookmarkEnd w:id="16"/>
      <w:bookmarkEnd w:id="17"/>
      <w:bookmarkEnd w:id="18"/>
      <w:bookmarkEnd w:id="19"/>
    </w:p>
    <w:p>
      <w:pPr>
        <w:widowControl w:val="0"/>
        <w:adjustRightInd w:val="0"/>
        <w:snapToGrid w:val="0"/>
        <w:spacing w:line="360" w:lineRule="auto"/>
        <w:ind w:firstLine="643"/>
        <w:jc w:val="both"/>
        <w:outlineLvl w:val="1"/>
        <w:rPr>
          <w:rFonts w:hint="eastAsia" w:ascii="仿宋_GB2312" w:hAnsi="仿宋" w:eastAsia="仿宋_GB2312" w:cs="仿宋"/>
          <w:sz w:val="32"/>
          <w:szCs w:val="32"/>
        </w:rPr>
      </w:pPr>
      <w:bookmarkStart w:id="20" w:name="_Toc18098"/>
      <w:bookmarkStart w:id="21" w:name="_Toc28496"/>
      <w:bookmarkStart w:id="22" w:name="_Toc21002"/>
      <w:bookmarkStart w:id="23" w:name="_Toc19892"/>
      <w:bookmarkStart w:id="24" w:name="_Toc101973057"/>
      <w:bookmarkStart w:id="25" w:name="_Toc26478"/>
      <w:bookmarkStart w:id="26" w:name="_Toc99030933"/>
      <w:bookmarkStart w:id="27" w:name="_Toc28114"/>
      <w:r>
        <w:rPr>
          <w:rFonts w:hint="eastAsia" w:ascii="仿宋_GB2312" w:hAnsi="仿宋" w:eastAsia="仿宋_GB2312" w:cs="仿宋"/>
          <w:sz w:val="32"/>
          <w:szCs w:val="32"/>
        </w:rPr>
        <w:t>本项目勘踏调查汇总的佛冈县各类水库山塘共18座。作为优化水资源配置和防洪减灾的重要工程，在防洪保安、抗旱供水、涵养水源等方面一直发挥着巨大的经济、社会和生态效益。由于这批水库大都兴建于20世纪五六十年代，由于受当时设计、施工条件和技术水平的限制，缺乏有效的排沙设计，经多年运行，加上河流中携带的泥沙含量较多，淤积严重，侵占了水库防洪和兴利库容，影响水库综合效益的发挥，甚至部分水库因淤积严重而处于降等或报废状态。特别是在水库山塘蓄水后，河道和水库回水区的水深及过水断面积增大，水面坡度减小，导致库水流速减缓,输沙能力降低，其挟带的泥沙部分或全部在库底沉积，泥沙大量淤积,造成回水区扩大，淤积严重，汛期水位上涨，浸没田地，并可能导致周围土地盐渍化或加剧盐碱化，损害水生态环境。为确保水库综合效益的发挥，对水库山塘进行适当的清淤清障工程是必要的。</w:t>
      </w:r>
    </w:p>
    <w:p>
      <w:pPr>
        <w:widowControl w:val="0"/>
        <w:adjustRightInd w:val="0"/>
        <w:snapToGrid w:val="0"/>
        <w:spacing w:line="360" w:lineRule="auto"/>
        <w:ind w:firstLine="643"/>
        <w:jc w:val="both"/>
        <w:outlineLvl w:val="1"/>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（三）项目</w:t>
      </w:r>
      <w:bookmarkEnd w:id="20"/>
      <w:bookmarkEnd w:id="21"/>
      <w:bookmarkEnd w:id="22"/>
      <w:bookmarkEnd w:id="23"/>
      <w:r>
        <w:rPr>
          <w:rFonts w:hint="eastAsia" w:ascii="仿宋_GB2312" w:hAnsi="仿宋_GB2312" w:eastAsia="仿宋_GB2312" w:cs="仿宋_GB2312"/>
          <w:b/>
          <w:bCs/>
          <w:color w:val="000000"/>
          <w:sz w:val="32"/>
          <w:szCs w:val="32"/>
        </w:rPr>
        <w:t>情况</w:t>
      </w:r>
      <w:bookmarkEnd w:id="24"/>
      <w:bookmarkEnd w:id="25"/>
      <w:bookmarkEnd w:id="26"/>
      <w:bookmarkEnd w:id="27"/>
    </w:p>
    <w:p>
      <w:pPr>
        <w:pStyle w:val="5"/>
        <w:spacing w:before="0" w:after="0" w:line="360" w:lineRule="auto"/>
        <w:ind w:firstLine="640"/>
        <w:jc w:val="both"/>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本工程为佛冈县水系水生态综合整治项目，建设内容包括对石瓮、止贝冚、香粉厂、黄花河等多宗水库以及潖江、潖二水、烟岭河干流及支流和50平方公里以下的河流实施清淤清障工作，完善石角、汤塘、迳头、龙山、高岗镇污水管网及配套设施建设。</w:t>
      </w:r>
    </w:p>
    <w:p>
      <w:pPr>
        <w:pStyle w:val="5"/>
        <w:spacing w:before="0" w:after="0" w:line="360" w:lineRule="auto"/>
        <w:ind w:firstLine="640"/>
        <w:jc w:val="both"/>
        <w:rPr>
          <w:rFonts w:hint="eastAsia" w:ascii="仿宋_GB2312" w:hAnsi="仿宋" w:eastAsia="仿宋_GB2312" w:cs="仿宋"/>
          <w:color w:val="auto"/>
          <w:sz w:val="32"/>
          <w:szCs w:val="32"/>
          <w:highlight w:val="yellow"/>
          <w:lang w:val="en-US"/>
        </w:rPr>
      </w:pPr>
      <w:r>
        <w:rPr>
          <w:rFonts w:hint="eastAsia" w:ascii="仿宋_GB2312" w:hAnsi="仿宋_GB2312" w:eastAsia="仿宋_GB2312" w:cs="仿宋_GB2312"/>
          <w:color w:val="auto"/>
          <w:kern w:val="0"/>
          <w:sz w:val="32"/>
          <w:szCs w:val="32"/>
          <w:lang w:val="en-US" w:eastAsia="zh-CN"/>
        </w:rPr>
        <w:t>具体情况包括水库清淤清障工程、河道清淤清障工程、圩镇污水管网及配套设施建设工程。通过对石瓮、止贝冚、香粉厂、黄花河等多宗水库以及潖江、潖二水、烟岭河干流及支流和50平方公里以下的河流实施清淤清障工作，完善石角、汤塘、迳头、龙山、高岗镇污水管网及配套设施建设，可以有效地改善当地的生态环境，提高水库库容，提高河道排洪能力以及沿河地区抵御洪涝灾害的能力，为当地社会经济快速可持续发展提供了较好的外部条件。主要建设内容包括对汤塘镇的石瓮水库、黄花河水库、止贝冚水库、香粉厂水库、虾冚水库、谢公水库、平坦水库，水头镇的鲤鱼冲水库、掘头冚水库、高脑山山塘，石角镇大窝水库、上里水库、牛栏塘水库、黄泥塘水库、铺岭水库，迳头镇莲花塘水库，高岗镇路下水库、高岗水库，共18个水库山塘进行清淤，总清淤量为225.78万立方米；对迳头镇、龙山镇、水头镇、汤塘镇、石角镇、高岗镇共52段河道进行清淤清障，部分河道根据需要设置护坡。涉及的河道总长约132.41km，平均清淤深度约0.5~2.5m，总清淤量约139.18万m³，清淤料主要为砂砾料约占70%，粉质粘土及淤泥料约占30%。另外，对工程范围内河道需要进行护坡修筑和修缮的地方设置护坡，护坡设置长度为12.17km；管网建设的整治范围为高岗镇、迳头镇、龙山镇、石角镇和汤塘镇，主要任务是对项目区范围内的镇区进行污水管网建设，管径为DN300~DN800，总长约22公里，Φ1000~1200检查井共490座，一座一体化泵站，规模为1500t/d。</w:t>
      </w:r>
    </w:p>
    <w:p>
      <w:pPr>
        <w:widowControl w:val="0"/>
        <w:adjustRightInd w:val="0"/>
        <w:snapToGrid w:val="0"/>
        <w:spacing w:line="360" w:lineRule="auto"/>
        <w:ind w:firstLine="561" w:firstLineChars="0"/>
        <w:jc w:val="both"/>
        <w:outlineLvl w:val="1"/>
        <w:rPr>
          <w:rFonts w:hint="eastAsia" w:ascii="仿宋_GB2312" w:hAnsi="仿宋" w:eastAsia="仿宋_GB2312" w:cs="仿宋"/>
          <w:b/>
          <w:bCs/>
          <w:color w:val="auto"/>
          <w:sz w:val="32"/>
          <w:szCs w:val="32"/>
          <w:highlight w:val="none"/>
        </w:rPr>
      </w:pPr>
      <w:bookmarkStart w:id="28" w:name="_Toc101973058"/>
      <w:bookmarkStart w:id="29" w:name="_Toc99031013"/>
      <w:bookmarkStart w:id="30" w:name="_Toc99030934"/>
      <w:bookmarkStart w:id="31" w:name="_Toc26791"/>
      <w:bookmarkStart w:id="32" w:name="_Toc2548"/>
      <w:bookmarkStart w:id="33" w:name="_Toc18655"/>
      <w:bookmarkStart w:id="34" w:name="_Toc8096"/>
      <w:bookmarkStart w:id="35" w:name="_Toc7674"/>
      <w:bookmarkStart w:id="36" w:name="_Toc11700"/>
      <w:r>
        <w:rPr>
          <w:rFonts w:hint="eastAsia" w:ascii="仿宋_GB2312" w:hAnsi="仿宋" w:eastAsia="仿宋_GB2312" w:cs="仿宋"/>
          <w:color w:val="auto"/>
          <w:sz w:val="32"/>
          <w:szCs w:val="32"/>
          <w:highlight w:val="none"/>
        </w:rPr>
        <w:t>本项目属于有一定收益的公益性项目。</w:t>
      </w:r>
      <w:bookmarkEnd w:id="28"/>
      <w:bookmarkEnd w:id="29"/>
      <w:bookmarkEnd w:id="30"/>
    </w:p>
    <w:p>
      <w:pPr>
        <w:widowControl w:val="0"/>
        <w:adjustRightInd w:val="0"/>
        <w:snapToGrid w:val="0"/>
        <w:spacing w:line="360" w:lineRule="auto"/>
        <w:ind w:firstLine="561" w:firstLineChars="0"/>
        <w:jc w:val="both"/>
        <w:outlineLvl w:val="1"/>
        <w:rPr>
          <w:rFonts w:hint="eastAsia" w:ascii="仿宋_GB2312" w:hAnsi="仿宋_GB2312" w:eastAsia="仿宋_GB2312" w:cs="仿宋_GB2312"/>
          <w:b/>
          <w:bCs/>
          <w:color w:val="000000"/>
          <w:sz w:val="32"/>
          <w:szCs w:val="32"/>
        </w:rPr>
      </w:pPr>
      <w:bookmarkStart w:id="37" w:name="_Toc99030935"/>
      <w:bookmarkStart w:id="38" w:name="_Toc101973059"/>
      <w:r>
        <w:rPr>
          <w:rFonts w:hint="eastAsia" w:ascii="仿宋_GB2312" w:hAnsi="仿宋_GB2312" w:eastAsia="仿宋_GB2312" w:cs="仿宋_GB2312"/>
          <w:b/>
          <w:bCs/>
          <w:color w:val="000000"/>
          <w:sz w:val="32"/>
          <w:szCs w:val="32"/>
        </w:rPr>
        <w:t>（四）项目立项情况或实施依据</w:t>
      </w:r>
      <w:bookmarkEnd w:id="31"/>
      <w:bookmarkEnd w:id="32"/>
      <w:bookmarkEnd w:id="33"/>
      <w:bookmarkEnd w:id="34"/>
      <w:bookmarkEnd w:id="35"/>
      <w:bookmarkEnd w:id="36"/>
      <w:bookmarkEnd w:id="37"/>
      <w:bookmarkEnd w:id="38"/>
    </w:p>
    <w:p>
      <w:pPr>
        <w:widowControl w:val="0"/>
        <w:adjustRightInd w:val="0"/>
        <w:snapToGrid w:val="0"/>
        <w:spacing w:line="360" w:lineRule="auto"/>
        <w:ind w:firstLine="561" w:firstLineChars="0"/>
        <w:jc w:val="both"/>
        <w:outlineLvl w:val="1"/>
        <w:rPr>
          <w:rFonts w:hint="eastAsia" w:ascii="仿宋_GB2312" w:hAnsi="仿宋" w:eastAsia="仿宋_GB2312" w:cs="仿宋"/>
          <w:color w:val="auto"/>
          <w:sz w:val="32"/>
          <w:szCs w:val="32"/>
          <w:highlight w:val="none"/>
        </w:rPr>
      </w:pPr>
      <w:r>
        <w:rPr>
          <w:rFonts w:hint="eastAsia" w:ascii="仿宋_GB2312" w:hAnsi="仿宋" w:eastAsia="仿宋_GB2312" w:cs="仿宋"/>
          <w:color w:val="auto"/>
          <w:sz w:val="32"/>
          <w:szCs w:val="32"/>
          <w:highlight w:val="none"/>
          <w:lang w:val="en-US" w:eastAsia="zh-CN"/>
        </w:rPr>
        <w:t>2022年10月9日，本项目已取得佛冈县发展和改革局《关于佛冈县水系水生态综合整治项目可行性研究报告的批复》（佛发改〔</w:t>
      </w:r>
      <w:r>
        <w:rPr>
          <w:rFonts w:hint="default" w:ascii="仿宋_GB2312" w:hAnsi="仿宋" w:eastAsia="仿宋_GB2312" w:cs="仿宋"/>
          <w:color w:val="auto"/>
          <w:sz w:val="32"/>
          <w:szCs w:val="32"/>
          <w:highlight w:val="none"/>
          <w:lang w:val="en-US" w:eastAsia="zh-CN"/>
        </w:rPr>
        <w:t>2022</w:t>
      </w:r>
      <w:r>
        <w:rPr>
          <w:rFonts w:hint="eastAsia" w:ascii="仿宋_GB2312" w:hAnsi="仿宋" w:eastAsia="仿宋_GB2312" w:cs="仿宋"/>
          <w:color w:val="auto"/>
          <w:sz w:val="32"/>
          <w:szCs w:val="32"/>
          <w:highlight w:val="none"/>
          <w:lang w:val="en-US" w:eastAsia="zh-CN"/>
        </w:rPr>
        <w:t>〕</w:t>
      </w:r>
      <w:r>
        <w:rPr>
          <w:rFonts w:hint="default" w:ascii="仿宋_GB2312" w:hAnsi="仿宋" w:eastAsia="仿宋_GB2312" w:cs="仿宋"/>
          <w:color w:val="auto"/>
          <w:sz w:val="32"/>
          <w:szCs w:val="32"/>
          <w:highlight w:val="none"/>
          <w:lang w:val="en-US" w:eastAsia="zh-CN"/>
        </w:rPr>
        <w:t>326</w:t>
      </w:r>
      <w:r>
        <w:rPr>
          <w:rFonts w:hint="eastAsia" w:ascii="仿宋_GB2312" w:hAnsi="仿宋" w:eastAsia="仿宋_GB2312" w:cs="仿宋"/>
          <w:color w:val="auto"/>
          <w:sz w:val="32"/>
          <w:szCs w:val="32"/>
          <w:highlight w:val="none"/>
          <w:lang w:val="en-US" w:eastAsia="zh-CN"/>
        </w:rPr>
        <w:t>号）</w:t>
      </w:r>
      <w:r>
        <w:rPr>
          <w:rFonts w:hint="eastAsia" w:ascii="仿宋_GB2312" w:hAnsi="仿宋" w:eastAsia="仿宋_GB2312" w:cs="仿宋"/>
          <w:color w:val="auto"/>
          <w:sz w:val="32"/>
          <w:szCs w:val="32"/>
          <w:highlight w:val="none"/>
        </w:rPr>
        <w:t>。</w:t>
      </w:r>
    </w:p>
    <w:p>
      <w:pPr>
        <w:widowControl w:val="0"/>
        <w:adjustRightInd w:val="0"/>
        <w:snapToGrid w:val="0"/>
        <w:spacing w:line="360" w:lineRule="auto"/>
        <w:ind w:firstLine="561" w:firstLineChars="0"/>
        <w:jc w:val="both"/>
        <w:outlineLvl w:val="1"/>
        <w:rPr>
          <w:rFonts w:hint="eastAsia" w:ascii="仿宋_GB2312" w:hAnsi="仿宋" w:eastAsia="仿宋_GB2312" w:cs="仿宋_GB2312"/>
          <w:b/>
          <w:bCs/>
          <w:color w:val="000000"/>
          <w:sz w:val="32"/>
          <w:szCs w:val="32"/>
        </w:rPr>
      </w:pPr>
      <w:bookmarkStart w:id="39" w:name="_Toc101973060"/>
      <w:bookmarkStart w:id="40" w:name="_Toc14727"/>
      <w:bookmarkStart w:id="41" w:name="_Toc22609"/>
      <w:bookmarkStart w:id="42" w:name="_Toc99030936"/>
      <w:bookmarkStart w:id="43" w:name="_Toc29630"/>
      <w:bookmarkStart w:id="44" w:name="_Toc4489"/>
      <w:bookmarkStart w:id="45" w:name="_Toc8867"/>
      <w:bookmarkStart w:id="46" w:name="_Toc16947"/>
      <w:r>
        <w:rPr>
          <w:rFonts w:hint="eastAsia" w:ascii="仿宋_GB2312" w:hAnsi="仿宋" w:eastAsia="仿宋_GB2312" w:cs="仿宋_GB2312"/>
          <w:b/>
          <w:bCs/>
          <w:color w:val="000000"/>
          <w:sz w:val="32"/>
          <w:szCs w:val="32"/>
        </w:rPr>
        <w:t>（五）责任主体</w:t>
      </w:r>
      <w:bookmarkEnd w:id="39"/>
      <w:bookmarkEnd w:id="40"/>
      <w:bookmarkEnd w:id="41"/>
      <w:bookmarkEnd w:id="42"/>
      <w:bookmarkEnd w:id="43"/>
      <w:bookmarkEnd w:id="44"/>
      <w:bookmarkEnd w:id="45"/>
      <w:bookmarkEnd w:id="46"/>
    </w:p>
    <w:p>
      <w:pPr>
        <w:adjustRightInd w:val="0"/>
        <w:snapToGrid w:val="0"/>
        <w:spacing w:line="360" w:lineRule="auto"/>
        <w:ind w:firstLine="560" w:firstLineChars="0"/>
        <w:rPr>
          <w:rFonts w:hint="eastAsia" w:ascii="仿宋_GB2312" w:hAnsi="仿宋" w:eastAsia="仿宋_GB2312" w:cs="仿宋"/>
          <w:color w:val="FF0000"/>
          <w:sz w:val="32"/>
          <w:szCs w:val="32"/>
        </w:rPr>
      </w:pPr>
      <w:bookmarkStart w:id="47" w:name="_Hlk90990997"/>
      <w:r>
        <w:rPr>
          <w:rFonts w:hint="eastAsia" w:ascii="仿宋_GB2312" w:hAnsi="仿宋" w:eastAsia="仿宋_GB2312" w:cs="仿宋"/>
          <w:color w:val="auto"/>
          <w:sz w:val="32"/>
          <w:szCs w:val="32"/>
        </w:rPr>
        <w:t>1.本项目实施单位为佛冈县水务工程建设管理中心，机构详</w:t>
      </w:r>
      <w:r>
        <w:rPr>
          <w:rFonts w:hint="eastAsia" w:ascii="仿宋_GB2312" w:hAnsi="仿宋" w:eastAsia="仿宋_GB2312" w:cs="仿宋"/>
          <w:sz w:val="32"/>
          <w:szCs w:val="32"/>
        </w:rPr>
        <w:t>细信息如下表：</w:t>
      </w:r>
    </w:p>
    <w:tbl>
      <w:tblPr>
        <w:tblStyle w:val="9"/>
        <w:tblW w:w="501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6"/>
        <w:gridCol w:w="5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rPr>
            </w:pPr>
            <w:r>
              <w:rPr>
                <w:rFonts w:hAnsi="仿宋" w:cs="仿宋"/>
              </w:rPr>
              <w:t>名称</w:t>
            </w:r>
          </w:p>
        </w:tc>
        <w:tc>
          <w:tcPr>
            <w:tcW w:w="3147" w:type="pct"/>
            <w:noWrap w:val="0"/>
            <w:vAlign w:val="center"/>
          </w:tcPr>
          <w:p>
            <w:pPr>
              <w:pStyle w:val="2"/>
              <w:ind w:firstLine="480" w:firstLineChars="200"/>
              <w:jc w:val="both"/>
              <w:rPr>
                <w:rFonts w:hAnsi="仿宋" w:cs="仿宋"/>
              </w:rPr>
            </w:pPr>
            <w:r>
              <w:rPr>
                <w:rFonts w:hint="eastAsia" w:hAnsi="仿宋" w:cs="仿宋"/>
              </w:rPr>
              <w:t>佛冈县水务工程建设管理中心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rPr>
            </w:pPr>
            <w:r>
              <w:rPr>
                <w:rFonts w:hAnsi="仿宋" w:cs="仿宋"/>
              </w:rPr>
              <w:t>统一社会信用代码</w:t>
            </w:r>
          </w:p>
        </w:tc>
        <w:tc>
          <w:tcPr>
            <w:tcW w:w="3147" w:type="pct"/>
            <w:noWrap w:val="0"/>
            <w:vAlign w:val="center"/>
          </w:tcPr>
          <w:p>
            <w:pPr>
              <w:pStyle w:val="2"/>
              <w:ind w:firstLine="480" w:firstLineChars="200"/>
              <w:jc w:val="both"/>
              <w:rPr>
                <w:rFonts w:hAnsi="仿宋" w:cs="仿宋"/>
              </w:rPr>
            </w:pPr>
            <w:r>
              <w:rPr>
                <w:rFonts w:hint="eastAsia" w:hAnsi="仿宋" w:cs="仿宋"/>
              </w:rPr>
              <w:t>12441821767317660Q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rPr>
            </w:pPr>
            <w:r>
              <w:rPr>
                <w:rFonts w:hAnsi="仿宋" w:cs="仿宋"/>
              </w:rPr>
              <w:t>机构地址</w:t>
            </w:r>
          </w:p>
        </w:tc>
        <w:tc>
          <w:tcPr>
            <w:tcW w:w="3147" w:type="pct"/>
            <w:noWrap w:val="0"/>
            <w:vAlign w:val="center"/>
          </w:tcPr>
          <w:p>
            <w:pPr>
              <w:pStyle w:val="2"/>
              <w:ind w:firstLine="480" w:firstLineChars="200"/>
              <w:jc w:val="both"/>
              <w:rPr>
                <w:rFonts w:hAnsi="仿宋" w:cs="仿宋"/>
              </w:rPr>
            </w:pPr>
            <w:r>
              <w:rPr>
                <w:rFonts w:hint="eastAsia" w:hAnsi="仿宋" w:cs="仿宋"/>
              </w:rPr>
              <w:t>广东省清远市佛冈县振兴北路县人民中心西楼2层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2"/>
              <w:ind w:firstLine="480" w:firstLineChars="200"/>
              <w:jc w:val="both"/>
              <w:rPr>
                <w:rFonts w:hAnsi="仿宋" w:cs="仿宋"/>
              </w:rPr>
            </w:pPr>
            <w:r>
              <w:rPr>
                <w:rFonts w:hAnsi="仿宋" w:cs="仿宋"/>
              </w:rPr>
              <w:t>负责人</w:t>
            </w:r>
          </w:p>
        </w:tc>
        <w:tc>
          <w:tcPr>
            <w:tcW w:w="3147" w:type="pct"/>
            <w:noWrap w:val="0"/>
            <w:vAlign w:val="center"/>
          </w:tcPr>
          <w:p>
            <w:pPr>
              <w:pStyle w:val="2"/>
              <w:ind w:firstLine="480" w:firstLineChars="200"/>
              <w:jc w:val="both"/>
              <w:rPr>
                <w:rFonts w:hAnsi="仿宋" w:cs="仿宋"/>
              </w:rPr>
            </w:pPr>
            <w:r>
              <w:rPr>
                <w:rFonts w:hint="eastAsia" w:hAnsi="仿宋" w:cs="仿宋"/>
              </w:rPr>
              <w:t>吕常省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852" w:type="pct"/>
            <w:shd w:val="clear" w:color="auto" w:fill="D7D7D7"/>
            <w:noWrap w:val="0"/>
            <w:vAlign w:val="center"/>
          </w:tcPr>
          <w:p>
            <w:pPr>
              <w:pStyle w:val="2"/>
              <w:ind w:firstLine="480" w:firstLineChars="200"/>
              <w:jc w:val="both"/>
              <w:rPr>
                <w:rFonts w:hAnsi="仿宋" w:cs="仿宋"/>
              </w:rPr>
            </w:pPr>
            <w:r>
              <w:rPr>
                <w:rFonts w:hAnsi="仿宋" w:cs="仿宋"/>
              </w:rPr>
              <w:t>机构性质</w:t>
            </w:r>
          </w:p>
        </w:tc>
        <w:tc>
          <w:tcPr>
            <w:tcW w:w="3147" w:type="pct"/>
            <w:noWrap w:val="0"/>
            <w:vAlign w:val="center"/>
          </w:tcPr>
          <w:p>
            <w:pPr>
              <w:pStyle w:val="2"/>
              <w:ind w:firstLine="480" w:firstLineChars="200"/>
              <w:jc w:val="both"/>
              <w:rPr>
                <w:rFonts w:hAnsi="仿宋" w:cs="仿宋"/>
              </w:rPr>
            </w:pPr>
            <w:r>
              <w:rPr>
                <w:rFonts w:hint="eastAsia" w:hAnsi="仿宋" w:cs="仿宋"/>
              </w:rPr>
              <w:t>事业单位</w:t>
            </w:r>
          </w:p>
        </w:tc>
      </w:tr>
    </w:tbl>
    <w:p>
      <w:pPr>
        <w:adjustRightInd w:val="0"/>
        <w:snapToGrid w:val="0"/>
        <w:spacing w:line="360" w:lineRule="auto"/>
        <w:ind w:left="560" w:firstLine="0" w:firstLineChars="0"/>
        <w:rPr>
          <w:rFonts w:ascii="仿宋_GB2312" w:hAnsi="仿宋" w:eastAsia="仿宋_GB2312" w:cs="仿宋"/>
          <w:color w:val="auto"/>
          <w:sz w:val="32"/>
          <w:szCs w:val="32"/>
        </w:rPr>
      </w:pPr>
      <w:r>
        <w:rPr>
          <w:rFonts w:ascii="仿宋_GB2312" w:hAnsi="仿宋" w:eastAsia="仿宋_GB2312" w:cs="仿宋"/>
          <w:color w:val="auto"/>
          <w:sz w:val="32"/>
          <w:szCs w:val="32"/>
        </w:rPr>
        <w:t>2.</w:t>
      </w:r>
      <w:r>
        <w:rPr>
          <w:rFonts w:hint="eastAsia" w:ascii="仿宋_GB2312" w:hAnsi="仿宋" w:eastAsia="仿宋_GB2312" w:cs="仿宋"/>
          <w:color w:val="auto"/>
          <w:sz w:val="32"/>
          <w:szCs w:val="32"/>
        </w:rPr>
        <w:t>本项目主管部门为：</w:t>
      </w:r>
      <w:bookmarkEnd w:id="47"/>
      <w:r>
        <w:rPr>
          <w:rFonts w:hint="eastAsia" w:ascii="仿宋_GB2312" w:hAnsi="仿宋" w:eastAsia="仿宋_GB2312" w:cs="仿宋"/>
          <w:color w:val="auto"/>
          <w:sz w:val="32"/>
          <w:szCs w:val="32"/>
        </w:rPr>
        <w:t>佛冈县水利局</w:t>
      </w:r>
    </w:p>
    <w:p>
      <w:pPr>
        <w:adjustRightInd w:val="0"/>
        <w:snapToGrid w:val="0"/>
        <w:spacing w:line="360" w:lineRule="auto"/>
        <w:ind w:left="560" w:firstLine="0" w:firstLineChars="0"/>
        <w:rPr>
          <w:rFonts w:ascii="仿宋_GB2312" w:hAnsi="仿宋" w:eastAsia="仿宋_GB2312" w:cs="仿宋"/>
          <w:color w:val="auto"/>
          <w:sz w:val="32"/>
          <w:szCs w:val="32"/>
        </w:rPr>
      </w:pPr>
      <w:bookmarkStart w:id="48" w:name="_Hlk102046401"/>
      <w:r>
        <w:rPr>
          <w:rFonts w:hint="eastAsia" w:ascii="仿宋_GB2312" w:hAnsi="仿宋" w:eastAsia="仿宋_GB2312" w:cs="仿宋"/>
          <w:color w:val="auto"/>
          <w:sz w:val="32"/>
          <w:szCs w:val="32"/>
        </w:rPr>
        <w:t>3.本项目资产管理部门为：佛冈县水务工程建设管理中心</w:t>
      </w:r>
    </w:p>
    <w:p>
      <w:p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 w:eastAsia="仿宋_GB2312" w:cs="仿宋"/>
          <w:color w:val="auto"/>
          <w:sz w:val="32"/>
          <w:szCs w:val="32"/>
        </w:rPr>
        <w:t>佛冈县水系水生态综合整治项目建设完成形成资产后，佛冈县水务工程建设管理中心为资产的责任部门，严格按照国家、省和单位内控制度进行管理。</w:t>
      </w:r>
      <w:bookmarkEnd w:id="48"/>
    </w:p>
    <w:p>
      <w:pPr>
        <w:snapToGrid w:val="0"/>
        <w:spacing w:line="360" w:lineRule="auto"/>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fldChar w:fldCharType="begin"/>
      </w:r>
      <w:r>
        <w:rPr>
          <w:rFonts w:hint="eastAsia" w:ascii="楷体_GB2312" w:hAnsi="楷体_GB2312" w:eastAsia="楷体_GB2312" w:cs="楷体_GB2312"/>
          <w:b/>
          <w:sz w:val="32"/>
          <w:szCs w:val="32"/>
          <w:lang w:val="en-US" w:eastAsia="zh-CN"/>
        </w:rPr>
        <w:instrText xml:space="preserve"> HYPERLINK \l _Toc29791 </w:instrText>
      </w:r>
      <w:r>
        <w:rPr>
          <w:rFonts w:hint="eastAsia" w:ascii="楷体_GB2312" w:hAnsi="楷体_GB2312" w:eastAsia="楷体_GB2312" w:cs="楷体_GB2312"/>
          <w:b/>
          <w:sz w:val="32"/>
          <w:szCs w:val="32"/>
          <w:lang w:val="en-US" w:eastAsia="zh-CN"/>
        </w:rPr>
        <w:fldChar w:fldCharType="separate"/>
      </w:r>
      <w:r>
        <w:rPr>
          <w:rFonts w:hint="eastAsia" w:ascii="楷体_GB2312" w:hAnsi="楷体_GB2312" w:eastAsia="楷体_GB2312" w:cs="楷体_GB2312"/>
          <w:b/>
          <w:bCs w:val="0"/>
          <w:kern w:val="2"/>
          <w:sz w:val="32"/>
          <w:szCs w:val="32"/>
          <w:lang w:val="en-US" w:eastAsia="zh-CN" w:bidi="ar-SA"/>
        </w:rPr>
        <w:t>（二）绩效目标</w:t>
      </w:r>
      <w:r>
        <w:rPr>
          <w:rFonts w:hint="eastAsia" w:ascii="楷体_GB2312" w:hAnsi="楷体_GB2312" w:eastAsia="楷体_GB2312" w:cs="楷体_GB2312"/>
          <w:b/>
          <w:sz w:val="32"/>
          <w:szCs w:val="32"/>
          <w:lang w:val="en-US" w:eastAsia="zh-CN"/>
        </w:rPr>
        <w:fldChar w:fldCharType="end"/>
      </w:r>
      <w:r>
        <w:rPr>
          <w:rFonts w:hint="eastAsia" w:ascii="楷体_GB2312" w:hAnsi="楷体_GB2312" w:eastAsia="楷体_GB2312" w:cs="楷体_GB2312"/>
          <w:b/>
          <w:sz w:val="32"/>
          <w:szCs w:val="32"/>
          <w:lang w:val="en-US" w:eastAsia="zh-CN"/>
        </w:rPr>
        <w:t>。</w:t>
      </w:r>
    </w:p>
    <w:p>
      <w:pPr>
        <w:snapToGrid w:val="0"/>
        <w:spacing w:line="360" w:lineRule="auto"/>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通过工程的建设可以使沿岸地区的防洪抗冲能力提高，可以使 沿河坡岸平顺美观，为沿岸村镇的生态文明村建设、园林绿化建设创造有利条件。工程的建设，美化了周边景观措施，成为周边居民休闲娱乐的聚集地，有益于居民的身心健康，带动周边零售业的发展</w:t>
      </w:r>
    </w:p>
    <w:p>
      <w:pPr>
        <w:numPr>
          <w:ilvl w:val="0"/>
          <w:numId w:val="1"/>
        </w:numPr>
        <w:snapToGrid w:val="0"/>
        <w:spacing w:line="360" w:lineRule="auto"/>
        <w:ind w:left="0" w:leftChars="0"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资金安排及使用情况。</w:t>
      </w:r>
    </w:p>
    <w:p>
      <w:pPr>
        <w:keepNext w:val="0"/>
        <w:keepLines w:val="0"/>
        <w:pageBreakBefore w:val="0"/>
        <w:widowControl w:val="0"/>
        <w:kinsoku/>
        <w:wordWrap/>
        <w:overflowPunct/>
        <w:topLinePunct w:val="0"/>
        <w:bidi w:val="0"/>
        <w:spacing w:line="570" w:lineRule="exact"/>
        <w:ind w:firstLine="640"/>
        <w:textAlignment w:val="auto"/>
        <w:rPr>
          <w:rFonts w:hint="default"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（1）资金到位情况</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 w:hAnsi="仿宋" w:cs="仿宋"/>
          <w:color w:val="000000"/>
          <w:sz w:val="32"/>
          <w:szCs w:val="32"/>
          <w:highlight w:val="none"/>
          <w:lang w:eastAsia="zh-CN"/>
        </w:rPr>
      </w:pPr>
      <w:r>
        <w:rPr>
          <w:rFonts w:hint="eastAsia" w:ascii="仿宋_GB2312" w:hAnsi="仿宋_GB2312" w:eastAsia="仿宋_GB2312" w:cs="仿宋_GB2312"/>
          <w:color w:val="000000"/>
          <w:kern w:val="2"/>
          <w:sz w:val="32"/>
          <w:szCs w:val="32"/>
          <w:highlight w:val="none"/>
          <w:lang w:val="en-US" w:eastAsia="zh-CN" w:bidi="ar-SA"/>
        </w:rPr>
        <w:t>2024年已安排专项债券资金共计1,600</w:t>
      </w:r>
      <w:r>
        <w:rPr>
          <w:rFonts w:hint="eastAsia" w:ascii="仿宋_GB2312" w:hAnsi="仿宋" w:eastAsia="仿宋_GB2312" w:cs="仿宋"/>
          <w:color w:val="000000"/>
          <w:sz w:val="32"/>
          <w:szCs w:val="32"/>
          <w:highlight w:val="none"/>
        </w:rPr>
        <w:t>.0</w:t>
      </w:r>
      <w:r>
        <w:rPr>
          <w:rFonts w:hint="eastAsia" w:ascii="仿宋_GB2312" w:hAnsi="仿宋_GB2312" w:eastAsia="仿宋_GB2312" w:cs="仿宋_GB2312"/>
          <w:color w:val="000000"/>
          <w:kern w:val="2"/>
          <w:sz w:val="32"/>
          <w:szCs w:val="32"/>
          <w:highlight w:val="none"/>
          <w:lang w:val="en-US" w:eastAsia="zh-CN" w:bidi="ar-SA"/>
        </w:rPr>
        <w:t>0万元。</w:t>
      </w:r>
    </w:p>
    <w:p>
      <w:pPr>
        <w:keepNext w:val="0"/>
        <w:keepLines w:val="0"/>
        <w:pageBreakBefore w:val="0"/>
        <w:widowControl w:val="0"/>
        <w:kinsoku/>
        <w:wordWrap/>
        <w:overflowPunct/>
        <w:topLinePunct w:val="0"/>
        <w:bidi w:val="0"/>
        <w:spacing w:line="570" w:lineRule="exact"/>
        <w:ind w:firstLine="640"/>
        <w:textAlignment w:val="auto"/>
        <w:outlineLvl w:val="2"/>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（2）资金执行情况</w:t>
      </w:r>
    </w:p>
    <w:p>
      <w:pPr>
        <w:keepNext w:val="0"/>
        <w:keepLines w:val="0"/>
        <w:pageBreakBefore w:val="0"/>
        <w:widowControl w:val="0"/>
        <w:kinsoku/>
        <w:wordWrap/>
        <w:overflowPunct/>
        <w:topLinePunct w:val="0"/>
        <w:bidi w:val="0"/>
        <w:snapToGrid w:val="0"/>
        <w:spacing w:line="570" w:lineRule="exact"/>
        <w:ind w:firstLine="640" w:firstLineChars="200"/>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 w:eastAsia="仿宋_GB2312" w:cs="仿宋"/>
          <w:sz w:val="32"/>
          <w:szCs w:val="32"/>
          <w:lang w:eastAsia="zh-CN"/>
        </w:rPr>
        <w:t>佛冈县水系水生态综合整治项目</w:t>
      </w:r>
      <w:r>
        <w:rPr>
          <w:rFonts w:hint="eastAsia" w:ascii="仿宋_GB2312" w:hAnsi="仿宋_GB2312" w:eastAsia="仿宋_GB2312" w:cs="仿宋_GB2312"/>
          <w:color w:val="000000"/>
          <w:sz w:val="32"/>
          <w:szCs w:val="32"/>
          <w:u w:val="none"/>
          <w:lang w:val="en-US" w:eastAsia="zh-CN"/>
        </w:rPr>
        <w:t>，2024年度下达专项债券资金1600万元，</w:t>
      </w:r>
      <w:r>
        <w:rPr>
          <w:rFonts w:hint="eastAsia" w:ascii="仿宋_GB2312" w:hAnsi="仿宋_GB2312" w:eastAsia="仿宋_GB2312" w:cs="仿宋_GB2312"/>
          <w:color w:val="000000"/>
          <w:kern w:val="2"/>
          <w:sz w:val="32"/>
          <w:szCs w:val="32"/>
          <w:highlight w:val="none"/>
          <w:lang w:val="en-US" w:eastAsia="zh-CN" w:bidi="ar-SA"/>
        </w:rPr>
        <w:t>截至2024年12月底，共完成投资1600万元（专项债券资金1600万元），投资完成率100%。</w:t>
      </w:r>
    </w:p>
    <w:p>
      <w:pPr>
        <w:pStyle w:val="2"/>
        <w:ind w:firstLine="640" w:firstLineChars="200"/>
        <w:rPr>
          <w:rFonts w:hint="default" w:cs="仿宋_GB2312"/>
          <w:color w:val="auto"/>
          <w:sz w:val="32"/>
          <w:szCs w:val="32"/>
          <w:highlight w:val="none"/>
          <w:lang w:val="en-US" w:eastAsia="zh-CN"/>
        </w:rPr>
      </w:pPr>
      <w:r>
        <w:rPr>
          <w:rFonts w:hint="eastAsia" w:cs="仿宋_GB2312"/>
          <w:color w:val="auto"/>
          <w:sz w:val="32"/>
          <w:szCs w:val="32"/>
          <w:highlight w:val="none"/>
          <w:lang w:val="en-US" w:eastAsia="zh-CN"/>
        </w:rPr>
        <w:t>（3）资金用途</w:t>
      </w:r>
    </w:p>
    <w:p>
      <w:pPr>
        <w:pStyle w:val="2"/>
        <w:ind w:firstLine="640" w:firstLineChars="200"/>
        <w:rPr>
          <w:rFonts w:cs="仿宋_GB2312"/>
          <w:color w:val="auto"/>
          <w:sz w:val="32"/>
          <w:szCs w:val="32"/>
          <w:highlight w:val="none"/>
        </w:rPr>
      </w:pPr>
      <w:r>
        <w:rPr>
          <w:rFonts w:hint="eastAsia" w:cs="仿宋_GB2312"/>
          <w:color w:val="auto"/>
          <w:sz w:val="32"/>
          <w:szCs w:val="32"/>
          <w:highlight w:val="none"/>
          <w:lang w:eastAsia="zh-CN"/>
        </w:rPr>
        <w:t>本次</w:t>
      </w:r>
      <w:r>
        <w:rPr>
          <w:rFonts w:cs="仿宋_GB2312"/>
          <w:color w:val="auto"/>
          <w:sz w:val="32"/>
          <w:szCs w:val="32"/>
          <w:highlight w:val="none"/>
        </w:rPr>
        <w:t>专项债券主要用于支付</w:t>
      </w:r>
      <w:r>
        <w:rPr>
          <w:rFonts w:hint="eastAsia" w:cs="仿宋_GB2312"/>
          <w:color w:val="auto"/>
          <w:sz w:val="32"/>
          <w:szCs w:val="32"/>
          <w:highlight w:val="none"/>
          <w:lang w:eastAsia="zh-CN"/>
        </w:rPr>
        <w:t>项目工程费、监理费、设计费等</w:t>
      </w:r>
      <w:r>
        <w:rPr>
          <w:rFonts w:cs="仿宋_GB2312"/>
          <w:color w:val="auto"/>
          <w:sz w:val="32"/>
          <w:szCs w:val="32"/>
          <w:highlight w:val="none"/>
        </w:rPr>
        <w:t>。</w:t>
      </w:r>
    </w:p>
    <w:p>
      <w:pPr>
        <w:pStyle w:val="2"/>
        <w:ind w:firstLine="640" w:firstLineChars="200"/>
        <w:jc w:val="center"/>
        <w:rPr>
          <w:rFonts w:cs="仿宋_GB2312"/>
          <w:color w:val="auto"/>
          <w:sz w:val="32"/>
          <w:szCs w:val="32"/>
          <w:highlight w:val="none"/>
        </w:rPr>
      </w:pPr>
      <w:r>
        <w:rPr>
          <w:rFonts w:cs="仿宋_GB2312"/>
          <w:color w:val="auto"/>
          <w:sz w:val="32"/>
          <w:szCs w:val="32"/>
          <w:highlight w:val="none"/>
        </w:rPr>
        <w:t>专项债券资金用途</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2"/>
        <w:gridCol w:w="4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2"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用途</w:t>
            </w:r>
          </w:p>
        </w:tc>
        <w:tc>
          <w:tcPr>
            <w:tcW w:w="4196"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专项债券金额（万元）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22"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lang w:eastAsia="zh-CN"/>
              </w:rPr>
              <w:t>工程费、监理费、设计费等</w:t>
            </w:r>
          </w:p>
        </w:tc>
        <w:tc>
          <w:tcPr>
            <w:tcW w:w="4196" w:type="dxa"/>
            <w:noWrap w:val="0"/>
            <w:vAlign w:val="top"/>
          </w:tcPr>
          <w:p>
            <w:pPr>
              <w:ind w:firstLine="0" w:firstLineChars="0"/>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1,600</w:t>
            </w:r>
            <w:r>
              <w:rPr>
                <w:rFonts w:hint="eastAsia" w:ascii="仿宋_GB2312" w:hAnsi="仿宋_GB2312" w:eastAsia="仿宋_GB2312" w:cs="仿宋_GB2312"/>
                <w:color w:val="auto"/>
                <w:sz w:val="22"/>
                <w:highlight w:val="none"/>
                <w:lang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2" w:type="dxa"/>
            <w:noWrap w:val="0"/>
            <w:vAlign w:val="top"/>
          </w:tcPr>
          <w:p>
            <w:pPr>
              <w:ind w:firstLine="0" w:firstLineChars="0"/>
              <w:jc w:val="center"/>
              <w:rPr>
                <w:rFonts w:hint="eastAsia" w:ascii="仿宋_GB2312" w:hAnsi="仿宋_GB2312" w:eastAsia="仿宋_GB2312" w:cs="仿宋_GB2312"/>
                <w:color w:val="auto"/>
                <w:sz w:val="22"/>
                <w:highlight w:val="none"/>
              </w:rPr>
            </w:pPr>
            <w:r>
              <w:rPr>
                <w:rFonts w:hint="eastAsia" w:ascii="仿宋_GB2312" w:hAnsi="仿宋_GB2312" w:eastAsia="仿宋_GB2312" w:cs="仿宋_GB2312"/>
                <w:color w:val="auto"/>
                <w:sz w:val="22"/>
                <w:highlight w:val="none"/>
              </w:rPr>
              <w:t>合计</w:t>
            </w:r>
          </w:p>
        </w:tc>
        <w:tc>
          <w:tcPr>
            <w:tcW w:w="4196" w:type="dxa"/>
            <w:noWrap w:val="0"/>
            <w:vAlign w:val="top"/>
          </w:tcPr>
          <w:p>
            <w:pPr>
              <w:ind w:firstLine="0" w:firstLineChars="0"/>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1,600</w:t>
            </w:r>
            <w:r>
              <w:rPr>
                <w:rFonts w:hint="eastAsia" w:ascii="仿宋_GB2312" w:hAnsi="仿宋_GB2312" w:eastAsia="仿宋_GB2312" w:cs="仿宋_GB2312"/>
                <w:color w:val="auto"/>
                <w:sz w:val="22"/>
                <w:highlight w:val="none"/>
                <w:lang w:eastAsia="zh-CN"/>
              </w:rPr>
              <w:t>.00</w:t>
            </w:r>
          </w:p>
        </w:tc>
      </w:tr>
    </w:tbl>
    <w:p>
      <w:pPr>
        <w:numPr>
          <w:ilvl w:val="0"/>
          <w:numId w:val="0"/>
        </w:numPr>
        <w:snapToGrid w:val="0"/>
        <w:spacing w:line="360" w:lineRule="auto"/>
        <w:ind w:firstLine="640" w:firstLineChars="200"/>
        <w:rPr>
          <w:rFonts w:hint="eastAsia" w:ascii="黑体" w:hAnsi="黑体" w:eastAsia="黑体" w:cs="黑体"/>
          <w:sz w:val="32"/>
          <w:szCs w:val="32"/>
          <w:lang w:val="en-US" w:eastAsia="zh-CN"/>
        </w:rPr>
      </w:pPr>
    </w:p>
    <w:p>
      <w:pPr>
        <w:numPr>
          <w:ilvl w:val="0"/>
          <w:numId w:val="0"/>
        </w:numPr>
        <w:snapToGrid w:val="0"/>
        <w:spacing w:line="360" w:lineRule="auto"/>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二、绩效指标分析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Cs/>
          <w:color w:val="000000"/>
          <w:sz w:val="32"/>
          <w:szCs w:val="32"/>
          <w:lang w:val="en-US" w:eastAsia="zh-CN"/>
        </w:rPr>
      </w:pPr>
      <w:r>
        <w:rPr>
          <w:rFonts w:hint="eastAsia" w:ascii="仿宋_GB2312" w:hAnsi="仿宋_GB2312" w:eastAsia="仿宋_GB2312" w:cs="仿宋_GB2312"/>
          <w:color w:val="000000"/>
          <w:sz w:val="32"/>
          <w:szCs w:val="32"/>
          <w:u w:val="none"/>
          <w:lang w:val="en-US" w:eastAsia="zh-CN"/>
        </w:rPr>
        <w:t>各子</w:t>
      </w:r>
      <w:r>
        <w:rPr>
          <w:rFonts w:hint="eastAsia" w:ascii="仿宋_GB2312" w:hAnsi="仿宋_GB2312" w:eastAsia="仿宋_GB2312" w:cs="仿宋_GB2312"/>
          <w:color w:val="000000"/>
          <w:sz w:val="32"/>
          <w:szCs w:val="32"/>
          <w:u w:val="none"/>
          <w:lang w:eastAsia="zh-CN"/>
        </w:rPr>
        <w:t>工程</w:t>
      </w:r>
      <w:r>
        <w:rPr>
          <w:rFonts w:hint="eastAsia" w:ascii="仿宋_GB2312" w:hAnsi="仿宋_GB2312" w:eastAsia="仿宋_GB2312" w:cs="仿宋_GB2312"/>
          <w:color w:val="000000"/>
          <w:sz w:val="32"/>
          <w:szCs w:val="32"/>
          <w:u w:val="none"/>
          <w:lang w:val="en-US" w:eastAsia="zh-CN"/>
        </w:rPr>
        <w:t>正在施工阶段</w:t>
      </w:r>
      <w:r>
        <w:rPr>
          <w:rFonts w:hint="eastAsia" w:ascii="仿宋_GB2312" w:hAnsi="仿宋_GB2312" w:eastAsia="仿宋_GB2312" w:cs="仿宋_GB2312"/>
          <w:color w:val="000000"/>
          <w:sz w:val="32"/>
          <w:szCs w:val="32"/>
          <w:u w:val="none"/>
          <w:lang w:eastAsia="zh-CN"/>
        </w:rPr>
        <w:t>，预计</w:t>
      </w:r>
      <w:r>
        <w:rPr>
          <w:rFonts w:hint="eastAsia" w:ascii="仿宋_GB2312" w:hAnsi="仿宋_GB2312" w:eastAsia="仿宋_GB2312" w:cs="仿宋_GB2312"/>
          <w:color w:val="000000"/>
          <w:sz w:val="32"/>
          <w:szCs w:val="32"/>
          <w:u w:val="none"/>
          <w:lang w:val="en-US" w:eastAsia="zh-CN"/>
        </w:rPr>
        <w:t>2025年5月30日完工，</w:t>
      </w:r>
      <w:r>
        <w:rPr>
          <w:rFonts w:hint="eastAsia" w:ascii="仿宋_GB2312" w:hAnsi="仿宋_GB2312" w:eastAsia="仿宋_GB2312" w:cs="仿宋_GB2312"/>
          <w:color w:val="000000"/>
          <w:sz w:val="32"/>
          <w:szCs w:val="32"/>
          <w:u w:val="none"/>
          <w:lang w:eastAsia="zh-CN"/>
        </w:rPr>
        <w:t>绩效目标与年初预期一致</w:t>
      </w:r>
      <w:r>
        <w:rPr>
          <w:rFonts w:hint="eastAsia" w:ascii="仿宋_GB2312" w:hAnsi="仿宋_GB2312" w:eastAsia="仿宋_GB2312" w:cs="仿宋_GB2312"/>
          <w:bCs/>
          <w:color w:val="000000"/>
          <w:sz w:val="32"/>
          <w:szCs w:val="32"/>
          <w:lang w:val="en-US" w:eastAsia="zh-CN"/>
        </w:rPr>
        <w:t>。</w:t>
      </w:r>
    </w:p>
    <w:p>
      <w:pPr>
        <w:pStyle w:val="7"/>
        <w:keepNext w:val="0"/>
        <w:keepLines w:val="0"/>
        <w:pageBreakBefore w:val="0"/>
        <w:widowControl w:val="0"/>
        <w:numPr>
          <w:ilvl w:val="0"/>
          <w:numId w:val="2"/>
        </w:numPr>
        <w:tabs>
          <w:tab w:val="right" w:leader="dot" w:pos="8958"/>
        </w:tabs>
        <w:kinsoku/>
        <w:wordWrap/>
        <w:overflowPunct/>
        <w:topLinePunct w:val="0"/>
        <w:autoSpaceDE/>
        <w:autoSpaceDN/>
        <w:bidi w:val="0"/>
        <w:adjustRightInd/>
        <w:snapToGrid w:val="0"/>
        <w:spacing w:line="570" w:lineRule="exact"/>
        <w:ind w:left="197" w:leftChars="0" w:firstLine="643" w:firstLineChars="0"/>
        <w:textAlignment w:val="auto"/>
        <w:rPr>
          <w:rFonts w:hint="eastAsia" w:ascii="仿宋_GB2312" w:hAnsi="仿宋_GB2312" w:eastAsia="仿宋_GB2312" w:cs="仿宋_GB2312"/>
          <w:b/>
          <w:bCs/>
          <w:color w:val="000000"/>
          <w:sz w:val="32"/>
          <w:szCs w:val="32"/>
          <w:u w:val="none"/>
          <w:lang w:eastAsia="zh-CN"/>
        </w:rPr>
      </w:pPr>
      <w:r>
        <w:rPr>
          <w:rFonts w:hint="eastAsia" w:ascii="仿宋_GB2312" w:hAnsi="仿宋_GB2312" w:eastAsia="仿宋_GB2312" w:cs="仿宋_GB2312"/>
          <w:b/>
          <w:bCs/>
          <w:color w:val="000000"/>
          <w:sz w:val="32"/>
          <w:szCs w:val="32"/>
          <w:u w:val="none"/>
          <w:lang w:eastAsia="zh-CN"/>
        </w:rPr>
        <w:t>产出指标完成情况分析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eastAsia="zh-CN"/>
        </w:rPr>
        <w:t>产出指标分值</w:t>
      </w:r>
      <w:r>
        <w:rPr>
          <w:rFonts w:hint="eastAsia" w:ascii="仿宋_GB2312" w:hAnsi="仿宋_GB2312" w:eastAsia="仿宋_GB2312" w:cs="仿宋_GB2312"/>
          <w:color w:val="000000"/>
          <w:sz w:val="32"/>
          <w:szCs w:val="32"/>
          <w:u w:val="none"/>
          <w:lang w:val="en-US" w:eastAsia="zh-CN"/>
        </w:rPr>
        <w:t>40分，指标得分40分。</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kern w:val="2"/>
          <w:sz w:val="32"/>
          <w:szCs w:val="32"/>
          <w:lang w:val="en-US" w:eastAsia="zh-CN" w:bidi="ar-SA"/>
        </w:rPr>
        <w:t>佛冈县水系水生态综合整治项目</w:t>
      </w:r>
      <w:r>
        <w:rPr>
          <w:rFonts w:hint="eastAsia" w:ascii="仿宋_GB2312" w:hAnsi="仿宋_GB2312" w:eastAsia="仿宋_GB2312" w:cs="仿宋_GB2312"/>
          <w:bCs/>
          <w:sz w:val="32"/>
          <w:szCs w:val="32"/>
          <w:lang w:val="en-US" w:eastAsia="zh-CN"/>
        </w:rPr>
        <w:t>正在按</w:t>
      </w:r>
      <w:r>
        <w:rPr>
          <w:rFonts w:hint="eastAsia" w:ascii="仿宋_GB2312" w:hAnsi="仿宋_GB2312" w:eastAsia="仿宋_GB2312" w:cs="仿宋_GB2312"/>
          <w:color w:val="000000"/>
          <w:sz w:val="32"/>
          <w:szCs w:val="32"/>
          <w:u w:val="none"/>
          <w:lang w:val="en-US" w:eastAsia="zh-CN"/>
        </w:rPr>
        <w:t>计划施工。</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u w:val="none"/>
          <w:lang w:eastAsia="zh-CN"/>
        </w:rPr>
      </w:pP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b/>
          <w:bCs/>
          <w:color w:val="000000"/>
          <w:sz w:val="32"/>
          <w:szCs w:val="32"/>
          <w:u w:val="none"/>
          <w:lang w:eastAsia="zh-CN"/>
        </w:rPr>
        <w:t>项目数量指标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u w:val="none"/>
          <w:lang w:val="en-US" w:eastAsia="zh-CN"/>
        </w:rPr>
        <w:t>整治河道5km,完成绩效目标，达到年初预设的指标值。</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u w:val="none"/>
          <w:lang w:eastAsia="zh-CN"/>
        </w:rPr>
      </w:pP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b/>
          <w:bCs/>
          <w:color w:val="000000"/>
          <w:sz w:val="32"/>
          <w:szCs w:val="32"/>
          <w:u w:val="none"/>
          <w:lang w:eastAsia="zh-CN"/>
        </w:rPr>
        <w:t>项目质量指标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佛冈县水系水生态综合整治项目工程验收</w:t>
      </w:r>
      <w:r>
        <w:rPr>
          <w:rFonts w:hint="eastAsia" w:ascii="仿宋_GB2312" w:hAnsi="仿宋_GB2312" w:eastAsia="仿宋_GB2312" w:cs="仿宋_GB2312"/>
          <w:color w:val="000000"/>
          <w:sz w:val="32"/>
          <w:szCs w:val="32"/>
          <w:u w:val="none"/>
          <w:lang w:eastAsia="zh-CN"/>
        </w:rPr>
        <w:t>合格率</w:t>
      </w:r>
      <w:r>
        <w:rPr>
          <w:rFonts w:hint="eastAsia" w:ascii="仿宋_GB2312" w:hAnsi="仿宋_GB2312" w:eastAsia="仿宋_GB2312" w:cs="仿宋_GB2312"/>
          <w:color w:val="000000"/>
          <w:sz w:val="32"/>
          <w:szCs w:val="32"/>
          <w:u w:val="none"/>
          <w:lang w:val="en-US" w:eastAsia="zh-CN"/>
        </w:rPr>
        <w:t>100%。</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eastAsia="zh-CN"/>
        </w:rPr>
      </w:pP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b/>
          <w:bCs/>
          <w:color w:val="000000"/>
          <w:sz w:val="32"/>
          <w:szCs w:val="32"/>
          <w:u w:val="none"/>
          <w:lang w:eastAsia="zh-CN"/>
        </w:rPr>
        <w:t>项目时效指标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佛冈县水系水生态综合整治项</w:t>
      </w:r>
      <w:r>
        <w:rPr>
          <w:rFonts w:hint="eastAsia" w:ascii="仿宋_GB2312" w:hAnsi="仿宋_GB2312" w:eastAsia="仿宋_GB2312" w:cs="仿宋_GB2312"/>
          <w:color w:val="000000"/>
          <w:sz w:val="32"/>
          <w:szCs w:val="32"/>
          <w:u w:val="none"/>
          <w:lang w:val="en-US" w:eastAsia="zh-CN"/>
        </w:rPr>
        <w:t>目按计划开工率100%。</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（4）</w:t>
      </w:r>
      <w:r>
        <w:rPr>
          <w:rFonts w:hint="eastAsia" w:ascii="仿宋_GB2312" w:hAnsi="仿宋_GB2312" w:eastAsia="仿宋_GB2312" w:cs="仿宋_GB2312"/>
          <w:b/>
          <w:bCs/>
          <w:color w:val="000000"/>
          <w:sz w:val="32"/>
          <w:szCs w:val="32"/>
          <w:u w:val="none"/>
          <w:lang w:val="en-US" w:eastAsia="zh-CN"/>
        </w:rPr>
        <w:t>项目成本指标</w:t>
      </w:r>
    </w:p>
    <w:p>
      <w:pPr>
        <w:ind w:firstLine="640" w:firstLineChars="200"/>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u w:val="none"/>
          <w:lang w:val="en-US" w:eastAsia="zh-CN"/>
        </w:rPr>
        <w:t>，2024年度下达专项债券资金1600万元，预算投资1600万元。</w:t>
      </w:r>
    </w:p>
    <w:p>
      <w:pPr>
        <w:pStyle w:val="7"/>
        <w:keepNext w:val="0"/>
        <w:keepLines w:val="0"/>
        <w:pageBreakBefore w:val="0"/>
        <w:widowControl w:val="0"/>
        <w:numPr>
          <w:ilvl w:val="0"/>
          <w:numId w:val="2"/>
        </w:numPr>
        <w:tabs>
          <w:tab w:val="right" w:leader="dot" w:pos="8958"/>
        </w:tabs>
        <w:kinsoku/>
        <w:wordWrap/>
        <w:overflowPunct/>
        <w:topLinePunct w:val="0"/>
        <w:autoSpaceDE/>
        <w:autoSpaceDN/>
        <w:bidi w:val="0"/>
        <w:adjustRightInd/>
        <w:snapToGrid w:val="0"/>
        <w:spacing w:line="570" w:lineRule="exact"/>
        <w:ind w:left="197" w:leftChars="0" w:firstLine="643" w:firstLineChars="0"/>
        <w:textAlignment w:val="auto"/>
        <w:rPr>
          <w:rFonts w:hint="eastAsia" w:ascii="仿宋_GB2312" w:hAnsi="仿宋_GB2312" w:eastAsia="仿宋_GB2312" w:cs="仿宋_GB2312"/>
          <w:b/>
          <w:bCs/>
          <w:color w:val="000000"/>
          <w:sz w:val="32"/>
          <w:szCs w:val="32"/>
          <w:u w:val="none"/>
          <w:lang w:eastAsia="zh-CN"/>
        </w:rPr>
      </w:pPr>
      <w:r>
        <w:rPr>
          <w:rFonts w:hint="eastAsia" w:ascii="仿宋_GB2312" w:hAnsi="仿宋_GB2312" w:eastAsia="仿宋_GB2312" w:cs="仿宋_GB2312"/>
          <w:b/>
          <w:bCs/>
          <w:color w:val="000000"/>
          <w:sz w:val="32"/>
          <w:szCs w:val="32"/>
          <w:u w:val="none"/>
          <w:lang w:eastAsia="zh-CN"/>
        </w:rPr>
        <w:t>效益指标完成情况分析</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eastAsia="zh-CN"/>
        </w:rPr>
        <w:t>效益指标分值</w:t>
      </w:r>
      <w:r>
        <w:rPr>
          <w:rFonts w:hint="eastAsia" w:ascii="仿宋_GB2312" w:hAnsi="仿宋_GB2312" w:eastAsia="仿宋_GB2312" w:cs="仿宋_GB2312"/>
          <w:color w:val="000000"/>
          <w:sz w:val="32"/>
          <w:szCs w:val="32"/>
          <w:u w:val="none"/>
          <w:lang w:val="en-US" w:eastAsia="zh-CN"/>
        </w:rPr>
        <w:t>30分，指标得分30分。</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（1）</w:t>
      </w:r>
      <w:r>
        <w:rPr>
          <w:rFonts w:hint="eastAsia" w:ascii="仿宋_GB2312" w:hAnsi="仿宋_GB2312" w:eastAsia="仿宋_GB2312" w:cs="仿宋_GB2312"/>
          <w:b/>
          <w:bCs/>
          <w:color w:val="000000"/>
          <w:sz w:val="32"/>
          <w:szCs w:val="32"/>
          <w:u w:val="none"/>
          <w:lang w:val="en-US" w:eastAsia="zh-CN"/>
        </w:rPr>
        <w:t>经济效益指标</w:t>
      </w:r>
    </w:p>
    <w:p>
      <w:pPr>
        <w:pStyle w:val="7"/>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u w:val="none"/>
          <w:lang w:val="en-US" w:eastAsia="zh-CN"/>
        </w:rPr>
        <w:t>实施后，可提高潖江、潖二水、烟岭河干流及支流和 50 平方公里以下的河流流域的防汛能力，为国民经济持续健康发展提供安全保障。</w:t>
      </w:r>
    </w:p>
    <w:p>
      <w:pPr>
        <w:pStyle w:val="5"/>
        <w:keepNext w:val="0"/>
        <w:keepLines w:val="0"/>
        <w:pageBreakBefore w:val="0"/>
        <w:widowControl w:val="0"/>
        <w:numPr>
          <w:ilvl w:val="0"/>
          <w:numId w:val="0"/>
        </w:numPr>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b/>
          <w:bCs/>
          <w:color w:val="000000"/>
          <w:sz w:val="32"/>
          <w:szCs w:val="32"/>
          <w:lang w:val="en-US" w:eastAsia="zh-CN"/>
        </w:rPr>
        <w:t>社会效益指标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lang w:val="en-US" w:eastAsia="zh-CN"/>
        </w:rPr>
        <w:t>实施后，通过工程建设提高沿岸地区河道排洪排涝能力、防洪抗冲能力，保障居民社会生活平稳。</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b/>
          <w:bCs/>
          <w:color w:val="000000"/>
          <w:sz w:val="32"/>
          <w:szCs w:val="32"/>
          <w:lang w:val="en-US" w:eastAsia="zh-CN"/>
        </w:rPr>
        <w:t>生态效益指标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工程的建设，有效保护水资源，防止水土流失。</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b/>
          <w:bCs/>
          <w:color w:val="000000"/>
          <w:sz w:val="32"/>
          <w:szCs w:val="32"/>
          <w:lang w:val="en-US" w:eastAsia="zh-CN"/>
        </w:rPr>
        <w:t>可持续影响指标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工程建设是佛冈县营造安定、和谐社会的第一要务，是社会发展的必然要求。完善河道功能，保障社会健康、协调和可持续发展的需要。对改善沿岸地区的生态环境、促进水土流失综合治理、提高人民群众的生活质量都具有积极的意义。</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40" w:firstLineChars="200"/>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b/>
          <w:bCs/>
          <w:color w:val="000000"/>
          <w:sz w:val="32"/>
          <w:szCs w:val="32"/>
          <w:lang w:val="en-US" w:eastAsia="zh-CN"/>
        </w:rPr>
        <w:t>项目满意度情况</w:t>
      </w:r>
    </w:p>
    <w:p>
      <w:pPr>
        <w:pStyle w:val="2"/>
        <w:ind w:firstLine="640" w:firstLineChars="200"/>
        <w:rPr>
          <w:rFonts w:hint="eastAsia"/>
          <w:lang w:val="en-US" w:eastAsia="zh-CN"/>
        </w:rPr>
      </w:pPr>
      <w:r>
        <w:rPr>
          <w:rFonts w:hint="eastAsia" w:ascii="仿宋_GB2312" w:hAnsi="仿宋_GB2312" w:eastAsia="仿宋_GB2312" w:cs="仿宋_GB2312"/>
          <w:color w:val="000000"/>
          <w:sz w:val="32"/>
          <w:szCs w:val="32"/>
          <w:lang w:val="en-US" w:eastAsia="zh-CN"/>
        </w:rPr>
        <w:t>对</w:t>
      </w:r>
      <w:r>
        <w:rPr>
          <w:rFonts w:hint="eastAsia" w:cs="仿宋_GB2312"/>
          <w:bCs/>
          <w:sz w:val="32"/>
          <w:szCs w:val="32"/>
          <w:lang w:val="en-US" w:eastAsia="zh-CN"/>
        </w:rPr>
        <w:t>佛冈县水系水生态综合整治项目</w:t>
      </w:r>
      <w:r>
        <w:rPr>
          <w:rFonts w:hint="eastAsia" w:ascii="仿宋_GB2312" w:hAnsi="仿宋_GB2312" w:eastAsia="仿宋_GB2312" w:cs="仿宋_GB2312"/>
          <w:color w:val="000000"/>
          <w:sz w:val="32"/>
          <w:szCs w:val="32"/>
          <w:lang w:val="en-US" w:eastAsia="zh-CN"/>
        </w:rPr>
        <w:t>进行问卷调查所获得的的数据进行整理分析，群众对</w:t>
      </w:r>
      <w:r>
        <w:rPr>
          <w:rFonts w:hint="eastAsia" w:cs="仿宋_GB2312"/>
          <w:color w:val="000000"/>
          <w:sz w:val="32"/>
          <w:szCs w:val="32"/>
          <w:lang w:val="en-US" w:eastAsia="zh-CN"/>
        </w:rPr>
        <w:t>综合整治项目</w:t>
      </w:r>
      <w:r>
        <w:rPr>
          <w:rFonts w:hint="eastAsia" w:ascii="仿宋_GB2312" w:hAnsi="仿宋_GB2312" w:eastAsia="仿宋_GB2312" w:cs="仿宋_GB2312"/>
          <w:color w:val="000000"/>
          <w:sz w:val="32"/>
          <w:szCs w:val="32"/>
          <w:lang w:val="en-US" w:eastAsia="zh-CN"/>
        </w:rPr>
        <w:t>建设工作的满意度为</w:t>
      </w:r>
      <w:r>
        <w:rPr>
          <w:rFonts w:hint="eastAsia" w:cs="仿宋_GB2312"/>
          <w:color w:val="000000"/>
          <w:sz w:val="32"/>
          <w:szCs w:val="32"/>
          <w:lang w:val="en-US" w:eastAsia="zh-CN"/>
        </w:rPr>
        <w:t>100</w:t>
      </w:r>
      <w:r>
        <w:rPr>
          <w:rFonts w:hint="eastAsia" w:ascii="仿宋_GB2312" w:hAnsi="仿宋_GB2312" w:eastAsia="仿宋_GB2312" w:cs="仿宋_GB2312"/>
          <w:color w:val="000000"/>
          <w:sz w:val="32"/>
          <w:szCs w:val="32"/>
          <w:lang w:val="en-US" w:eastAsia="zh-CN"/>
        </w:rPr>
        <w:t>%。</w:t>
      </w:r>
    </w:p>
    <w:p>
      <w:pPr>
        <w:snapToGrid w:val="0"/>
        <w:spacing w:line="288" w:lineRule="auto"/>
        <w:jc w:val="both"/>
        <w:rPr>
          <w:rFonts w:hint="eastAsia" w:ascii="方正小标宋简体" w:hAnsi="方正小标宋简体" w:eastAsia="方正小标宋简体" w:cs="方正小标宋简体"/>
          <w:sz w:val="32"/>
          <w:szCs w:val="32"/>
          <w:lang w:val="en-US" w:eastAsia="zh-CN"/>
        </w:rPr>
      </w:pPr>
    </w:p>
    <w:p>
      <w:pPr>
        <w:snapToGrid w:val="0"/>
        <w:spacing w:line="288" w:lineRule="auto"/>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第三部分：附件</w:t>
      </w:r>
    </w:p>
    <w:p>
      <w:pPr>
        <w:snapToGrid w:val="0"/>
        <w:spacing w:line="288" w:lineRule="auto"/>
        <w:rPr>
          <w:rFonts w:hint="eastAsia" w:ascii="仿宋_GB2312" w:hAnsi="仿宋_GB2312" w:eastAsia="仿宋_GB2312" w:cs="仿宋_GB2312"/>
          <w:sz w:val="32"/>
          <w:szCs w:val="32"/>
          <w:lang w:val="en-US" w:eastAsia="zh-CN"/>
        </w:rPr>
      </w:pPr>
    </w:p>
    <w:p>
      <w:pPr>
        <w:snapToGrid w:val="0"/>
        <w:spacing w:line="360" w:lineRule="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主要包括：</w:t>
      </w:r>
    </w:p>
    <w:p>
      <w:p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一是绩效评价指标体系、评分标准及得分情况表：以表格方式呈现绩效评价得分、扣分情况。</w:t>
      </w:r>
    </w:p>
    <w:p>
      <w:pPr>
        <w:snapToGrid w:val="0"/>
        <w:spacing w:line="360" w:lineRule="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二是绩效评价说明：用于说明绩效评价的目的、依据、参考资料、方法、指标体系、工作流程、重点事项、局限性、参与人员等事项。 </w:t>
      </w:r>
    </w:p>
    <w:p>
      <w:pPr>
        <w:snapToGrid w:val="0"/>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三是满意度调查结果。以数据、图形等方式呈现满意度调查的数据分布，呈现从原始数据至调查结果的路径。 </w:t>
      </w:r>
    </w:p>
    <w:p>
      <w:pPr>
        <w:snapToGrid w:val="0"/>
        <w:spacing w:line="360" w:lineRule="auto"/>
        <w:ind w:firstLine="640" w:firstLineChars="200"/>
        <w:rPr>
          <w:rFonts w:hint="default"/>
          <w:sz w:val="32"/>
          <w:szCs w:val="32"/>
          <w:lang w:val="en-US" w:eastAsia="zh-CN"/>
        </w:rPr>
      </w:pPr>
      <w:r>
        <w:rPr>
          <w:rFonts w:hint="eastAsia" w:ascii="仿宋_GB2312" w:hAnsi="仿宋_GB2312" w:eastAsia="仿宋_GB2312" w:cs="仿宋_GB2312"/>
          <w:sz w:val="32"/>
          <w:szCs w:val="32"/>
          <w:lang w:val="en-US" w:eastAsia="zh-CN"/>
        </w:rPr>
        <w:t>四是各类数据分析表格。用于解释报告各类事项，主要包括但不限于：存在问题情况明细表、基础数据分析表、绩效目标完成情况明细表等。</w:t>
      </w:r>
    </w:p>
    <w:p/>
    <w:p>
      <w:pPr>
        <w:pStyle w:val="2"/>
      </w:pPr>
    </w:p>
    <w:p>
      <w:pPr>
        <w:pStyle w:val="2"/>
        <w:ind w:firstLine="5120" w:firstLineChars="1600"/>
        <w:rPr>
          <w:rFonts w:hint="eastAsia"/>
          <w:sz w:val="32"/>
          <w:szCs w:val="32"/>
          <w:lang w:eastAsia="zh-CN"/>
        </w:rPr>
      </w:pPr>
      <w:r>
        <w:rPr>
          <w:rFonts w:hint="eastAsia"/>
          <w:sz w:val="32"/>
          <w:szCs w:val="32"/>
          <w:lang w:eastAsia="zh-CN"/>
        </w:rPr>
        <w:t>佛冈县水利局</w:t>
      </w:r>
    </w:p>
    <w:p>
      <w:pPr>
        <w:pStyle w:val="2"/>
        <w:ind w:firstLine="5120" w:firstLineChars="1600"/>
        <w:rPr>
          <w:rFonts w:hint="default"/>
          <w:sz w:val="32"/>
          <w:szCs w:val="32"/>
          <w:lang w:val="en-US" w:eastAsia="zh-CN"/>
        </w:rPr>
      </w:pPr>
      <w:r>
        <w:rPr>
          <w:rFonts w:hint="eastAsia"/>
          <w:sz w:val="32"/>
          <w:szCs w:val="32"/>
          <w:lang w:val="en-US" w:eastAsia="zh-CN"/>
        </w:rPr>
        <w:t>2025年4月29日</w:t>
      </w:r>
    </w:p>
    <w:sectPr>
      <w:pgSz w:w="11906" w:h="16838"/>
      <w:pgMar w:top="2041" w:right="1417"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7FE9B5"/>
    <w:multiLevelType w:val="singleLevel"/>
    <w:tmpl w:val="977FE9B5"/>
    <w:lvl w:ilvl="0" w:tentative="0">
      <w:start w:val="3"/>
      <w:numFmt w:val="chineseCounting"/>
      <w:suff w:val="nothing"/>
      <w:lvlText w:val="（%1）"/>
      <w:lvlJc w:val="left"/>
      <w:rPr>
        <w:rFonts w:hint="eastAsia"/>
      </w:rPr>
    </w:lvl>
  </w:abstractNum>
  <w:abstractNum w:abstractNumId="1">
    <w:nsid w:val="B7CAE333"/>
    <w:multiLevelType w:val="singleLevel"/>
    <w:tmpl w:val="B7CAE333"/>
    <w:lvl w:ilvl="0" w:tentative="0">
      <w:start w:val="1"/>
      <w:numFmt w:val="decimal"/>
      <w:suff w:val="nothing"/>
      <w:lvlText w:val="%1．"/>
      <w:lvlJc w:val="left"/>
      <w:pPr>
        <w:ind w:left="197" w:firstLine="400"/>
      </w:pPr>
      <w:rPr>
        <w:rFonts w:hint="default"/>
      </w:rPr>
    </w:lvl>
  </w:abstractNum>
  <w:abstractNum w:abstractNumId="2">
    <w:nsid w:val="BCEFAF51"/>
    <w:multiLevelType w:val="singleLevel"/>
    <w:tmpl w:val="BCEFAF51"/>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1E546F"/>
    <w:rsid w:val="3FA94D58"/>
    <w:rsid w:val="41462C20"/>
    <w:rsid w:val="76FF1C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2"/>
    <w:basedOn w:val="4"/>
    <w:next w:val="5"/>
    <w:qFormat/>
    <w:uiPriority w:val="9"/>
    <w:pPr>
      <w:keepNext/>
      <w:keepLines/>
      <w:spacing w:line="360" w:lineRule="auto"/>
      <w:outlineLvl w:val="1"/>
    </w:pPr>
    <w:rPr>
      <w:rFonts w:ascii="Calibri Light" w:hAnsi="Calibri Light" w:cs="Times New Roman"/>
      <w:szCs w:val="32"/>
    </w:rPr>
  </w:style>
  <w:style w:type="paragraph" w:styleId="4">
    <w:name w:val="heading 3"/>
    <w:basedOn w:val="5"/>
    <w:next w:val="5"/>
    <w:qFormat/>
    <w:uiPriority w:val="0"/>
    <w:pPr>
      <w:keepNext/>
      <w:keepLines/>
      <w:adjustRightInd w:val="0"/>
      <w:snapToGrid w:val="0"/>
      <w:outlineLvl w:val="2"/>
    </w:pPr>
    <w:rPr>
      <w:rFonts w:ascii="宋体" w:hAnsi="宋体"/>
      <w:b/>
      <w:bCs/>
      <w:color w:val="000000"/>
    </w:rPr>
  </w:style>
  <w:style w:type="character" w:default="1" w:styleId="10">
    <w:name w:val="Default Paragraph Font"/>
    <w:semiHidden/>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5">
    <w:name w:val="Body Text"/>
    <w:basedOn w:val="1"/>
    <w:qFormat/>
    <w:uiPriority w:val="1"/>
    <w:pPr>
      <w:widowControl w:val="0"/>
      <w:jc w:val="both"/>
    </w:pPr>
    <w:rPr>
      <w:rFonts w:ascii="等线" w:hAnsi="等线" w:eastAsia="等线" w:cs="Times New Roman"/>
      <w:kern w:val="2"/>
      <w:sz w:val="32"/>
      <w:szCs w:val="32"/>
      <w:lang w:val="en-US" w:eastAsia="zh-CN" w:bidi="ar-SA"/>
    </w:rPr>
  </w:style>
  <w:style w:type="paragraph" w:styleId="6">
    <w:name w:val="Body Text Indent"/>
    <w:basedOn w:val="1"/>
    <w:qFormat/>
    <w:uiPriority w:val="0"/>
    <w:pPr>
      <w:ind w:firstLine="560" w:firstLineChars="200"/>
    </w:pPr>
    <w:rPr>
      <w:rFonts w:ascii="宋体" w:hAnsi="宋体"/>
    </w:rPr>
  </w:style>
  <w:style w:type="paragraph" w:styleId="7">
    <w:name w:val="toc 1"/>
    <w:basedOn w:val="1"/>
    <w:next w:val="1"/>
    <w:unhideWhenUsed/>
    <w:qFormat/>
    <w:uiPriority w:val="39"/>
  </w:style>
  <w:style w:type="paragraph" w:styleId="8">
    <w:name w:val="Body Text First Indent 2"/>
    <w:basedOn w:val="6"/>
    <w:qFormat/>
    <w:uiPriority w:val="0"/>
    <w:pPr>
      <w:snapToGrid w:val="0"/>
      <w:spacing w:line="360" w:lineRule="auto"/>
      <w:ind w:firstLine="420" w:firstLineChars="200"/>
    </w:pPr>
    <w:rPr>
      <w:rFonts w:eastAsia="仿宋_GB2312"/>
      <w:sz w:val="28"/>
    </w:rPr>
  </w:style>
  <w:style w:type="paragraph" w:customStyle="1" w:styleId="11">
    <w:name w:val="正文（缩进）"/>
    <w:basedOn w:val="1"/>
    <w:qFormat/>
    <w:uiPriority w:val="0"/>
    <w:pPr>
      <w:spacing w:before="156" w:beforeLines="50" w:after="156" w:afterLines="50" w:line="360" w:lineRule="auto"/>
      <w:ind w:firstLine="480" w:firstLineChars="200"/>
    </w:pPr>
    <w:rPr>
      <w:kern w:val="0"/>
      <w:sz w:val="24"/>
      <w:szCs w:val="20"/>
    </w:rPr>
  </w:style>
  <w:style w:type="character" w:customStyle="1" w:styleId="12">
    <w:name w:val="font31"/>
    <w:basedOn w:val="10"/>
    <w:qFormat/>
    <w:uiPriority w:val="0"/>
    <w:rPr>
      <w:rFonts w:hint="eastAsia" w:ascii="宋体" w:hAnsi="宋体" w:eastAsia="宋体" w:cs="宋体"/>
      <w:color w:val="000000"/>
      <w:sz w:val="24"/>
      <w:szCs w:val="24"/>
      <w:u w:val="none"/>
    </w:rPr>
  </w:style>
  <w:style w:type="character" w:customStyle="1" w:styleId="13">
    <w:name w:val="font21"/>
    <w:basedOn w:val="10"/>
    <w:qFormat/>
    <w:uiPriority w:val="0"/>
    <w:rPr>
      <w:rFonts w:hint="default"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2025-04-17T01:10:06Z</dcterms:created>
  <dc:creator>ght</dc:creator>
  <cp:lastModifiedBy>admin</cp:lastModifiedBy>
  <dcterms:modified xsi:type="dcterms:W3CDTF">2025-06-10T00:52:50Z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