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附件2：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佛冈县公路事务中心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车辆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定点维修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</w:t>
      </w:r>
    </w:p>
    <w:p>
      <w:pPr>
        <w:spacing w:line="500" w:lineRule="exact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采购评分标准</w:t>
      </w:r>
    </w:p>
    <w:p>
      <w:pPr>
        <w:pStyle w:val="3"/>
        <w:rPr>
          <w:rFonts w:hAnsi="宋体" w:cs="宋体"/>
        </w:rPr>
      </w:pP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一、评分选取方式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本次采购采用【自行采购的</w:t>
      </w:r>
      <w:r>
        <w:rPr>
          <w:rFonts w:hint="eastAsia" w:ascii="宋体" w:hAnsi="宋体" w:cs="宋体"/>
          <w:lang w:val="en-US" w:eastAsia="zh-CN"/>
        </w:rPr>
        <w:t>综合选取</w:t>
      </w:r>
      <w:r>
        <w:rPr>
          <w:rFonts w:hint="eastAsia" w:ascii="宋体" w:hAnsi="宋体" w:cs="宋体"/>
        </w:rPr>
        <w:t>】的方式确定中选</w:t>
      </w:r>
      <w:r>
        <w:rPr>
          <w:rFonts w:hint="eastAsia" w:ascii="宋体" w:hAnsi="宋体" w:cs="宋体"/>
          <w:lang w:val="en-US" w:eastAsia="zh-CN"/>
        </w:rPr>
        <w:t>单位</w:t>
      </w:r>
      <w:r>
        <w:rPr>
          <w:rFonts w:hint="eastAsia" w:ascii="宋体" w:hAnsi="宋体" w:cs="宋体"/>
        </w:rPr>
        <w:t>。评分小组先对报名的</w:t>
      </w:r>
      <w:r>
        <w:rPr>
          <w:rFonts w:hint="eastAsia" w:ascii="宋体" w:hAnsi="宋体" w:cs="宋体"/>
          <w:lang w:eastAsia="zh-CN"/>
        </w:rPr>
        <w:t>服务商</w:t>
      </w:r>
      <w:r>
        <w:rPr>
          <w:rFonts w:hint="eastAsia" w:ascii="宋体" w:hAnsi="宋体" w:cs="宋体"/>
        </w:rPr>
        <w:t>进行初步评审；然后对满足初步评审要求的</w:t>
      </w:r>
      <w:r>
        <w:rPr>
          <w:rFonts w:hint="eastAsia" w:ascii="宋体" w:hAnsi="宋体" w:cs="宋体"/>
          <w:lang w:eastAsia="zh-CN"/>
        </w:rPr>
        <w:t>服务商</w:t>
      </w:r>
      <w:r>
        <w:rPr>
          <w:rFonts w:hint="eastAsia" w:ascii="宋体" w:hAnsi="宋体" w:cs="宋体"/>
        </w:rPr>
        <w:t>，按照详细评审规定的评分标准进行打分。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评分小组成员对</w:t>
      </w:r>
      <w:r>
        <w:rPr>
          <w:rFonts w:hint="eastAsia" w:ascii="宋体" w:hAnsi="宋体" w:cs="宋体"/>
          <w:lang w:eastAsia="zh-CN"/>
        </w:rPr>
        <w:t>服务商</w:t>
      </w:r>
      <w:r>
        <w:rPr>
          <w:rFonts w:hint="eastAsia" w:ascii="宋体" w:hAnsi="宋体" w:cs="宋体"/>
        </w:rPr>
        <w:t>的详细评审各评审因素进行评分，计算出各评审因素的算术平均值后合计总和作为该</w:t>
      </w:r>
      <w:r>
        <w:rPr>
          <w:rFonts w:hint="eastAsia" w:ascii="宋体" w:hAnsi="宋体" w:cs="宋体"/>
          <w:lang w:eastAsia="zh-CN"/>
        </w:rPr>
        <w:t>服务商</w:t>
      </w:r>
      <w:r>
        <w:rPr>
          <w:rFonts w:hint="eastAsia" w:ascii="宋体" w:hAnsi="宋体" w:cs="宋体"/>
        </w:rPr>
        <w:t>的得分，并按得分由高到低顺序推荐中选机构。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仿宋_GB2312" w:hAnsi="华文仿宋"/>
          <w:szCs w:val="32"/>
        </w:rPr>
        <w:t>如有两家或以上</w:t>
      </w:r>
      <w:r>
        <w:rPr>
          <w:rFonts w:hint="eastAsia" w:ascii="仿宋_GB2312" w:hAnsi="华文仿宋"/>
          <w:szCs w:val="32"/>
          <w:lang w:eastAsia="zh-CN"/>
        </w:rPr>
        <w:t>服务商</w:t>
      </w:r>
      <w:r>
        <w:rPr>
          <w:rFonts w:hint="eastAsia" w:ascii="仿宋_GB2312" w:hAnsi="华文仿宋"/>
          <w:szCs w:val="32"/>
        </w:rPr>
        <w:t>的综合得分相同且得分均为最高，</w:t>
      </w:r>
      <w:r>
        <w:rPr>
          <w:rFonts w:hint="eastAsia" w:ascii="宋体" w:hAnsi="宋体" w:cs="宋体"/>
        </w:rPr>
        <w:t>评分小组视</w:t>
      </w:r>
      <w:r>
        <w:rPr>
          <w:rFonts w:hint="eastAsia" w:ascii="宋体" w:hAnsi="宋体" w:cs="宋体"/>
          <w:lang w:eastAsia="zh-CN"/>
        </w:rPr>
        <w:t>服务商</w:t>
      </w:r>
      <w:r>
        <w:rPr>
          <w:rFonts w:hint="eastAsia" w:ascii="宋体" w:hAnsi="宋体" w:cs="宋体"/>
        </w:rPr>
        <w:t>的情况综合比较，投票确定其名次。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</w:rPr>
        <w:t>二、初步评审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评审因素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资质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（1）在中华人民共和国境内依法注册的具有合法经营资格的独立法人；</w:t>
            </w:r>
          </w:p>
          <w:p>
            <w:pPr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（2）具有独立承担民事责任及履行合同的能力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>
            <w:pPr>
              <w:adjustRightIn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3）具有机动车维修企业的至少二类机动车维修 (大中型货车维修)资质及以上证明（含二类）。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信用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</w:t>
            </w:r>
            <w:r>
              <w:rPr>
                <w:rFonts w:hint="eastAsia" w:ascii="宋体" w:hAnsi="宋体" w:cs="宋体"/>
                <w:lang w:eastAsia="zh-CN"/>
              </w:rPr>
              <w:t>服务商</w:t>
            </w:r>
            <w:r>
              <w:rPr>
                <w:rFonts w:hint="eastAsia" w:ascii="宋体" w:hAnsi="宋体" w:cs="宋体"/>
              </w:rPr>
              <w:t>在国家企业信用信息公示系统中未被列入严重违法失信企业名单；</w:t>
            </w:r>
          </w:p>
          <w:p>
            <w:pPr>
              <w:adjustRightInd/>
              <w:spacing w:line="360" w:lineRule="auto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（2）在“信用中国”网站或地方信用网站的信用信息报告无不良记录。</w:t>
            </w:r>
          </w:p>
          <w:p>
            <w:pPr>
              <w:adjustRightInd/>
              <w:spacing w:before="156" w:beforeLines="50" w:line="360" w:lineRule="auto"/>
              <w:jc w:val="both"/>
              <w:textAlignment w:val="auto"/>
            </w:pPr>
            <w:r>
              <w:rPr>
                <w:rFonts w:hint="eastAsia" w:ascii="宋体" w:hAnsi="宋体" w:cs="宋体"/>
              </w:rPr>
              <w:t>注：如</w:t>
            </w:r>
            <w:r>
              <w:rPr>
                <w:rFonts w:hint="eastAsia" w:ascii="宋体" w:hAnsi="宋体" w:cs="宋体"/>
                <w:lang w:eastAsia="zh-CN"/>
              </w:rPr>
              <w:t>服务商</w:t>
            </w:r>
            <w:r>
              <w:rPr>
                <w:rFonts w:hint="eastAsia" w:ascii="宋体" w:hAnsi="宋体" w:cs="宋体"/>
              </w:rPr>
              <w:t>未提交上述证明材料，则由评选小组核查；如</w:t>
            </w:r>
            <w:r>
              <w:rPr>
                <w:rFonts w:hint="eastAsia" w:ascii="宋体" w:hAnsi="宋体" w:cs="宋体"/>
                <w:lang w:eastAsia="zh-CN"/>
              </w:rPr>
              <w:t>服务商</w:t>
            </w:r>
            <w:r>
              <w:rPr>
                <w:rFonts w:hint="eastAsia" w:ascii="宋体" w:hAnsi="宋体" w:cs="宋体"/>
              </w:rPr>
              <w:t>为事业单位，无法提供国家企业信用信息公示系统截图，则视作通过。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报价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cs="宋体"/>
                <w:lang w:val="en-US" w:eastAsia="zh-CN"/>
              </w:rPr>
              <w:t>报价不超过限价且在</w:t>
            </w:r>
            <w:r>
              <w:rPr>
                <w:rFonts w:hint="eastAsia" w:cs="宋体"/>
              </w:rPr>
              <w:t>合理报价</w:t>
            </w:r>
            <w:r>
              <w:rPr>
                <w:rFonts w:cs="宋体"/>
              </w:rPr>
              <w:t>区间范围内。</w:t>
            </w:r>
          </w:p>
        </w:tc>
      </w:tr>
    </w:tbl>
    <w:p>
      <w:pPr>
        <w:pStyle w:val="3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</w:rPr>
        <w:t>三、详细评审</w:t>
      </w:r>
    </w:p>
    <w:tbl>
      <w:tblPr>
        <w:tblStyle w:val="8"/>
        <w:tblW w:w="104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76"/>
        <w:gridCol w:w="1100"/>
        <w:gridCol w:w="76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评审项目分值</w:t>
            </w:r>
          </w:p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分值</w:t>
            </w:r>
          </w:p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评审标准分值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投标报价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（权重</w:t>
            </w:r>
            <w:r>
              <w:rPr>
                <w:rFonts w:hint="default" w:ascii="宋体" w:hAnsi="宋体"/>
                <w:kern w:val="0"/>
              </w:rPr>
              <w:t>20</w:t>
            </w:r>
            <w:r>
              <w:rPr>
                <w:rFonts w:ascii="宋体" w:hAnsi="宋体"/>
                <w:kern w:val="0"/>
              </w:rPr>
              <w:t>%）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/>
                <w:kern w:val="0"/>
              </w:rPr>
              <w:t>20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default" w:ascii="宋体" w:hAnsi="宋体" w:eastAsia="宋体" w:cs="Times New Roman"/>
                <w:kern w:val="0"/>
              </w:rPr>
              <w:t>1.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服务商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折扣后的工时费总和</w:t>
            </w:r>
            <w:r>
              <w:rPr>
                <w:rFonts w:hint="eastAsia" w:ascii="宋体" w:hAnsi="宋体" w:eastAsia="宋体" w:cs="Times New Roman"/>
                <w:kern w:val="0"/>
              </w:rPr>
              <w:t>，投报最低价者得分1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</w:rPr>
              <w:t>分，其余投标者价格分数=（最低价/投标价格）×1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</w:rPr>
              <w:t>（备注：计算过程及结果数字保留两位小数）。</w:t>
            </w: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default" w:ascii="宋体" w:hAnsi="宋体" w:eastAsia="宋体" w:cs="Times New Roman"/>
                <w:kern w:val="0"/>
              </w:rPr>
              <w:t>2.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服务商</w:t>
            </w:r>
            <w:r>
              <w:rPr>
                <w:rFonts w:hint="default" w:ascii="宋体" w:hAnsi="宋体" w:eastAsia="宋体" w:cs="Times New Roman"/>
                <w:kern w:val="0"/>
              </w:rPr>
              <w:t>的投标报价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维修材料管理费率</w:t>
            </w:r>
            <w:r>
              <w:rPr>
                <w:rFonts w:hint="default" w:ascii="宋体" w:hAnsi="宋体" w:eastAsia="宋体" w:cs="Times New Roman"/>
                <w:kern w:val="0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</w:rPr>
              <w:t>投报最低者得分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</w:rPr>
              <w:t>分，其余投标者价格分数=（最低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管理费</w:t>
            </w:r>
            <w:r>
              <w:rPr>
                <w:rFonts w:hint="default" w:ascii="宋体" w:hAnsi="宋体" w:eastAsia="宋体" w:cs="Times New Roman"/>
                <w:kern w:val="0"/>
              </w:rPr>
              <w:t>率</w:t>
            </w:r>
            <w:r>
              <w:rPr>
                <w:rFonts w:hint="eastAsia" w:ascii="宋体" w:hAnsi="宋体" w:eastAsia="宋体" w:cs="Times New Roman"/>
                <w:kern w:val="0"/>
              </w:rPr>
              <w:t>/投标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管理费</w:t>
            </w:r>
            <w:r>
              <w:rPr>
                <w:rFonts w:hint="default" w:ascii="宋体" w:hAnsi="宋体" w:eastAsia="宋体" w:cs="Times New Roman"/>
                <w:kern w:val="0"/>
              </w:rPr>
              <w:t>率</w:t>
            </w:r>
            <w:r>
              <w:rPr>
                <w:rFonts w:hint="eastAsia" w:ascii="宋体" w:hAnsi="宋体" w:eastAsia="宋体" w:cs="Times New Roman"/>
                <w:kern w:val="0"/>
              </w:rPr>
              <w:t>）×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</w:rPr>
              <w:t>（备注：计算过程及结果数字保留两位小数）。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技术部分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（权重4</w:t>
            </w:r>
            <w:r>
              <w:rPr>
                <w:rFonts w:hint="default" w:ascii="宋体" w:hAnsi="宋体"/>
                <w:kern w:val="0"/>
              </w:rPr>
              <w:t>0</w:t>
            </w:r>
            <w:r>
              <w:rPr>
                <w:rFonts w:ascii="宋体" w:hAnsi="宋体"/>
                <w:kern w:val="0"/>
              </w:rPr>
              <w:t>%）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对本项目总体理解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hint="default" w:ascii="宋体" w:hAnsi="宋体"/>
                <w:kern w:val="0"/>
              </w:rPr>
              <w:t>4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</w:t>
            </w: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ascii="宋体" w:hAnsi="宋体"/>
                <w:kern w:val="0"/>
              </w:rPr>
              <w:t>对项目的认识及理解、对项目重点、难点分析把握，进行综合比较。优</w:t>
            </w:r>
            <w:r>
              <w:rPr>
                <w:rFonts w:hint="default" w:ascii="宋体" w:hAnsi="宋体"/>
                <w:kern w:val="0"/>
              </w:rPr>
              <w:t>4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hint="default" w:ascii="宋体" w:hAnsi="宋体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分，一般1分。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ascii="宋体" w:hAnsi="宋体"/>
                <w:kern w:val="0"/>
              </w:rPr>
              <w:t>相关资质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hint="default" w:ascii="宋体" w:hAnsi="宋体"/>
                <w:kern w:val="0"/>
              </w:rPr>
              <w:t>6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</w:t>
            </w: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ascii="宋体" w:hAnsi="宋体"/>
                <w:kern w:val="0"/>
              </w:rPr>
              <w:t>资质证书（一类</w:t>
            </w:r>
            <w:r>
              <w:rPr>
                <w:rFonts w:hint="default" w:ascii="宋体" w:hAnsi="宋体"/>
                <w:kern w:val="0"/>
              </w:rPr>
              <w:t>6分，二类4分</w:t>
            </w:r>
            <w:r>
              <w:rPr>
                <w:rFonts w:ascii="宋体" w:hAnsi="宋体"/>
                <w:kern w:val="0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场地规模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1. 维修厂维修车间占地面积≥4000㎡的，设施布局规范，维修设施先进全面，可提供全面车辆维修服务，得8分；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2. 维修厂维修车间设施布局合理</w:t>
            </w:r>
            <w:r>
              <w:rPr>
                <w:rFonts w:hint="default" w:ascii="宋体" w:hAnsi="宋体" w:eastAsia="宋体" w:cs="Times New Roman"/>
                <w:kern w:val="0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</w:rPr>
              <w:t>面积为</w:t>
            </w:r>
            <w:r>
              <w:rPr>
                <w:rFonts w:hint="default" w:ascii="宋体" w:hAnsi="宋体" w:eastAsia="宋体" w:cs="Times New Roman"/>
                <w:kern w:val="0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</w:rPr>
              <w:t>2000㎡－4000㎡</w:t>
            </w:r>
            <w:r>
              <w:rPr>
                <w:rFonts w:hint="default" w:ascii="宋体" w:hAnsi="宋体" w:eastAsia="宋体" w:cs="Times New Roman"/>
                <w:kern w:val="0"/>
              </w:rPr>
              <w:t>），</w:t>
            </w:r>
            <w:r>
              <w:rPr>
                <w:rFonts w:hint="eastAsia" w:ascii="宋体" w:hAnsi="宋体" w:eastAsia="宋体" w:cs="Times New Roman"/>
                <w:kern w:val="0"/>
              </w:rPr>
              <w:t>配备主要维修设施，可提供大部分车辆维修服务，得6分；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3. 维修厂有自己的维修车间，面积为</w:t>
            </w:r>
            <w:r>
              <w:rPr>
                <w:rFonts w:hint="default" w:ascii="宋体" w:hAnsi="宋体" w:eastAsia="宋体" w:cs="Times New Roman"/>
                <w:kern w:val="0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</w:rPr>
              <w:t>1000㎡－2000㎡）</w:t>
            </w:r>
            <w:r>
              <w:rPr>
                <w:rFonts w:hint="default" w:ascii="宋体" w:hAnsi="宋体" w:eastAsia="宋体" w:cs="Times New Roman"/>
                <w:kern w:val="0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</w:rPr>
              <w:t>车间设施布局规范、可提供部分车辆维修服务，得4分；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4. 维修厂面积不足1000㎡的得</w:t>
            </w:r>
            <w:r>
              <w:rPr>
                <w:rFonts w:hint="default" w:ascii="宋体" w:hAnsi="宋体" w:eastAsia="宋体" w:cs="Times New Roman"/>
                <w:kern w:val="0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</w:rPr>
              <w:t>分；</w:t>
            </w: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提供土地证或租赁合同等证明材料，不提供不得分。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</w:t>
            </w:r>
            <w:r>
              <w:rPr>
                <w:rFonts w:hint="eastAsia" w:ascii="宋体" w:hAnsi="宋体"/>
                <w:kern w:val="0"/>
              </w:rPr>
              <w:t>计划</w:t>
            </w:r>
            <w:r>
              <w:rPr>
                <w:rFonts w:ascii="宋体" w:hAnsi="宋体"/>
                <w:kern w:val="0"/>
              </w:rPr>
              <w:t>方案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hint="default" w:ascii="宋体" w:hAnsi="宋体"/>
                <w:kern w:val="0"/>
              </w:rPr>
              <w:t>2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</w:t>
            </w: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ascii="宋体" w:hAnsi="宋体"/>
                <w:kern w:val="0"/>
              </w:rPr>
              <w:t>的服务方案，包括</w:t>
            </w:r>
            <w:r>
              <w:rPr>
                <w:rFonts w:hint="eastAsia" w:ascii="宋体" w:hAnsi="宋体"/>
                <w:kern w:val="0"/>
              </w:rPr>
              <w:t>管理架构</w:t>
            </w:r>
            <w:r>
              <w:rPr>
                <w:rFonts w:ascii="宋体" w:hAnsi="宋体"/>
                <w:kern w:val="0"/>
              </w:rPr>
              <w:t>、流程节点、实施计划等是否完善周到、可行，是否符合采购文件需求等进行综合比较。优</w:t>
            </w:r>
            <w:r>
              <w:rPr>
                <w:rFonts w:hint="eastAsia" w:ascii="宋体" w:hAnsi="宋体"/>
                <w:kern w:val="0"/>
              </w:rPr>
              <w:t>15</w:t>
            </w:r>
            <w:r>
              <w:rPr>
                <w:rFonts w:ascii="宋体" w:hAnsi="宋体"/>
                <w:kern w:val="0"/>
              </w:rPr>
              <w:t>-1</w:t>
            </w:r>
            <w:r>
              <w:rPr>
                <w:rFonts w:hint="eastAsia" w:ascii="宋体" w:hAnsi="宋体"/>
                <w:kern w:val="0"/>
              </w:rPr>
              <w:t>0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hint="eastAsia" w:ascii="宋体" w:hAnsi="宋体"/>
                <w:kern w:val="0"/>
              </w:rPr>
              <w:t>9</w:t>
            </w:r>
            <w:r>
              <w:rPr>
                <w:rFonts w:ascii="宋体" w:hAnsi="宋体"/>
                <w:kern w:val="0"/>
              </w:rPr>
              <w:t>-</w:t>
            </w:r>
            <w:r>
              <w:rPr>
                <w:rFonts w:hint="eastAsia" w:ascii="宋体" w:hAnsi="宋体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hint="eastAsia" w:ascii="宋体" w:hAnsi="宋体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分以下。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车辆维修服务资质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hint="default" w:ascii="宋体" w:hAnsi="宋体"/>
                <w:kern w:val="0"/>
              </w:rPr>
              <w:t>10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default" w:ascii="宋体" w:hAnsi="宋体" w:eastAsia="宋体" w:cs="Times New Roman"/>
                <w:kern w:val="0"/>
              </w:rPr>
              <w:t>1.</w:t>
            </w:r>
            <w:r>
              <w:rPr>
                <w:rFonts w:ascii="宋体" w:hAnsi="宋体" w:eastAsia="宋体" w:cs="Times New Roman"/>
                <w:kern w:val="0"/>
              </w:rPr>
              <w:t>投入本项目工作人员证书（</w:t>
            </w:r>
            <w:r>
              <w:rPr>
                <w:rFonts w:hint="eastAsia" w:ascii="宋体" w:hAnsi="宋体" w:eastAsia="宋体" w:cs="Times New Roman"/>
                <w:kern w:val="0"/>
              </w:rPr>
              <w:t>持有一级《职业资格证书》的，每1人得</w:t>
            </w:r>
            <w:r>
              <w:rPr>
                <w:rFonts w:hint="default" w:ascii="宋体" w:hAnsi="宋体" w:eastAsia="宋体" w:cs="Times New Roman"/>
                <w:kern w:val="0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</w:rPr>
              <w:t>分；持有二级《职业资格证书》的，每1人得</w:t>
            </w:r>
            <w:r>
              <w:rPr>
                <w:rFonts w:hint="default" w:ascii="宋体" w:hAnsi="宋体" w:eastAsia="宋体" w:cs="Times New Roman"/>
                <w:kern w:val="0"/>
              </w:rPr>
              <w:t>1.5</w:t>
            </w:r>
            <w:r>
              <w:rPr>
                <w:rFonts w:hint="eastAsia" w:ascii="宋体" w:hAnsi="宋体" w:eastAsia="宋体" w:cs="Times New Roman"/>
                <w:kern w:val="0"/>
              </w:rPr>
              <w:t>分；持有三级《职业资格证书》的，每1人得</w:t>
            </w:r>
            <w:r>
              <w:rPr>
                <w:rFonts w:hint="default" w:ascii="宋体" w:hAnsi="宋体" w:eastAsia="宋体" w:cs="Times New Roman"/>
                <w:kern w:val="0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</w:rPr>
              <w:t>分；持有四级《职业资格证书》的，每1人得</w:t>
            </w:r>
            <w:r>
              <w:rPr>
                <w:rFonts w:hint="default" w:ascii="宋体" w:hAnsi="宋体" w:eastAsia="宋体" w:cs="Times New Roman"/>
                <w:kern w:val="0"/>
              </w:rPr>
              <w:t>0.5</w:t>
            </w:r>
            <w:r>
              <w:rPr>
                <w:rFonts w:hint="eastAsia" w:ascii="宋体" w:hAnsi="宋体" w:eastAsia="宋体" w:cs="Times New Roman"/>
                <w:kern w:val="0"/>
              </w:rPr>
              <w:t>分；持有汽车维修质量总检验员证，每1人得2分；技术人员持有汽车维修质量检验员证，每1人得1分</w:t>
            </w:r>
            <w:r>
              <w:rPr>
                <w:rFonts w:hint="default" w:ascii="宋体" w:hAnsi="宋体" w:eastAsia="宋体" w:cs="Times New Roman"/>
                <w:kern w:val="0"/>
              </w:rPr>
              <w:t>。）本项</w:t>
            </w:r>
            <w:r>
              <w:rPr>
                <w:rFonts w:hint="eastAsia" w:ascii="宋体" w:hAnsi="宋体" w:eastAsia="宋体" w:cs="Times New Roman"/>
                <w:kern w:val="0"/>
              </w:rPr>
              <w:t>最高得</w:t>
            </w:r>
            <w:r>
              <w:rPr>
                <w:rFonts w:hint="default" w:ascii="宋体" w:hAnsi="宋体" w:eastAsia="宋体" w:cs="Times New Roman"/>
                <w:kern w:val="0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</w:rPr>
              <w:t>分</w:t>
            </w:r>
            <w:r>
              <w:rPr>
                <w:rFonts w:ascii="宋体" w:hAnsi="宋体" w:eastAsia="宋体" w:cs="Times New Roman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kern w:val="0"/>
              </w:rPr>
            </w:pPr>
            <w:r>
              <w:rPr>
                <w:rFonts w:hint="default" w:ascii="宋体" w:hAnsi="宋体"/>
                <w:kern w:val="0"/>
              </w:rPr>
              <w:t>2.</w:t>
            </w:r>
            <w:r>
              <w:rPr>
                <w:rFonts w:hint="eastAsia" w:ascii="宋体" w:hAnsi="宋体"/>
                <w:kern w:val="0"/>
              </w:rPr>
              <w:t>近两年入选政府公务用车定点维修厂，提供中标通知书得</w:t>
            </w:r>
            <w:r>
              <w:rPr>
                <w:rFonts w:hint="default" w:ascii="宋体" w:hAnsi="宋体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分，不提供不得分</w:t>
            </w:r>
            <w:r>
              <w:rPr>
                <w:rFonts w:hint="default" w:ascii="宋体" w:hAnsi="宋体"/>
                <w:kern w:val="0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6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商务部分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（权重4</w:t>
            </w:r>
            <w:r>
              <w:rPr>
                <w:rFonts w:hint="default" w:ascii="宋体" w:hAnsi="宋体"/>
                <w:kern w:val="0"/>
              </w:rPr>
              <w:t>0</w:t>
            </w:r>
            <w:r>
              <w:rPr>
                <w:rFonts w:ascii="宋体" w:hAnsi="宋体"/>
                <w:kern w:val="0"/>
              </w:rPr>
              <w:t>%）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hint="eastAsia" w:ascii="宋体" w:hAnsi="宋体"/>
                <w:kern w:val="0"/>
              </w:rPr>
              <w:t>综合实力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7632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根据</w:t>
            </w: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hint="eastAsia" w:ascii="宋体" w:hAnsi="宋体"/>
                <w:kern w:val="0"/>
              </w:rPr>
              <w:t>的公司简介，完成本项目优势，财务报表和荣誉证书等综合比较，优7分，良5分，一般3分。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同类业绩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</w:t>
            </w: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</w:t>
            </w: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ascii="宋体" w:hAnsi="宋体"/>
                <w:kern w:val="0"/>
              </w:rPr>
              <w:t>近三年内同类项目的业绩经验、合作成效进行综合比较打分。</w:t>
            </w:r>
            <w:r>
              <w:rPr>
                <w:rFonts w:hint="default" w:ascii="宋体" w:hAnsi="宋体"/>
                <w:b/>
                <w:bCs/>
                <w:kern w:val="0"/>
              </w:rPr>
              <w:t>每提供1例20</w:t>
            </w: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21</w:t>
            </w:r>
            <w:r>
              <w:rPr>
                <w:rFonts w:hint="default" w:ascii="宋体" w:hAnsi="宋体"/>
                <w:b/>
                <w:bCs/>
                <w:kern w:val="0"/>
              </w:rPr>
              <w:t>年以来大型特种车辆维修案例（验收单据）得1分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</w:rPr>
              <w:t>（本项最高的6分）。</w:t>
            </w:r>
            <w:r>
              <w:rPr>
                <w:rFonts w:hint="eastAsia" w:ascii="宋体" w:hAnsi="宋体"/>
                <w:kern w:val="0"/>
              </w:rPr>
              <w:t>优10-8分，良7-5分，一般4分以下。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须提供业绩列表及合同或中标通知书或成交通知书等复印件，不提供不得分。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规章管理制度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服务商</w:t>
            </w:r>
            <w:r>
              <w:rPr>
                <w:rFonts w:hint="eastAsia" w:ascii="宋体" w:hAnsi="宋体" w:eastAsia="宋体" w:cs="Times New Roman"/>
                <w:kern w:val="0"/>
              </w:rPr>
              <w:t>的企业管理制度和售后保障制度完善，且制度措施有力，切实可行，操作性强的。优8-6分，良5-3分，一般2分以下。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服务承诺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hint="default" w:ascii="宋体" w:hAnsi="宋体"/>
                <w:kern w:val="0"/>
              </w:rPr>
              <w:t>5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</w:t>
            </w: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ascii="宋体" w:hAnsi="宋体"/>
                <w:kern w:val="0"/>
              </w:rPr>
              <w:t>对本项目的服务承诺，</w:t>
            </w:r>
            <w:r>
              <w:rPr>
                <w:rFonts w:hint="eastAsia" w:ascii="宋体" w:hAnsi="宋体"/>
                <w:kern w:val="0"/>
              </w:rPr>
              <w:t>能否</w:t>
            </w:r>
            <w:r>
              <w:rPr>
                <w:rFonts w:ascii="宋体" w:hAnsi="宋体"/>
                <w:kern w:val="0"/>
              </w:rPr>
              <w:t>进行综合比较。优</w:t>
            </w:r>
            <w:r>
              <w:rPr>
                <w:rFonts w:hint="default" w:ascii="宋体" w:hAnsi="宋体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-</w:t>
            </w:r>
            <w:r>
              <w:rPr>
                <w:rFonts w:hint="default" w:ascii="宋体" w:hAnsi="宋体"/>
                <w:kern w:val="0"/>
              </w:rPr>
              <w:t>4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hint="eastAsia" w:ascii="宋体" w:hAnsi="宋体"/>
                <w:kern w:val="0"/>
              </w:rPr>
              <w:t>4</w:t>
            </w:r>
            <w:r>
              <w:rPr>
                <w:rFonts w:ascii="宋体" w:hAnsi="宋体"/>
                <w:kern w:val="0"/>
              </w:rPr>
              <w:t>-</w:t>
            </w:r>
            <w:r>
              <w:rPr>
                <w:rFonts w:hint="eastAsia" w:ascii="宋体" w:hAnsi="宋体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hint="eastAsia" w:ascii="宋体" w:hAnsi="宋体"/>
                <w:kern w:val="0"/>
              </w:rPr>
              <w:t>2</w:t>
            </w:r>
            <w:r>
              <w:rPr>
                <w:rFonts w:ascii="宋体" w:hAnsi="宋体"/>
                <w:kern w:val="0"/>
              </w:rPr>
              <w:t>分以下。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应急方案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hint="default" w:ascii="宋体" w:hAnsi="宋体"/>
                <w:kern w:val="0"/>
              </w:rPr>
              <w:t>5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应急处理方案完善，具体可行，提供24小时道路救援服务等保证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</w:rPr>
              <w:t>措施、设备。优</w:t>
            </w:r>
            <w:r>
              <w:rPr>
                <w:rFonts w:hint="default" w:ascii="宋体" w:hAnsi="宋体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-</w:t>
            </w:r>
            <w:r>
              <w:rPr>
                <w:rFonts w:hint="default" w:ascii="宋体" w:hAnsi="宋体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分，良4-3分，一般2分以下（提供承诺和佐证材料，没有佐证材料不得分）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维修服务响应时间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维修服务响应时间，提供承诺和佐证材料</w:t>
            </w:r>
            <w:r>
              <w:rPr>
                <w:rFonts w:ascii="宋体" w:hAnsi="宋体"/>
                <w:kern w:val="0"/>
              </w:rPr>
              <w:t>。</w:t>
            </w:r>
            <w:r>
              <w:rPr>
                <w:rFonts w:hint="eastAsia" w:ascii="宋体" w:hAnsi="宋体"/>
                <w:kern w:val="0"/>
              </w:rPr>
              <w:t>0.5小时内</w:t>
            </w:r>
            <w:r>
              <w:rPr>
                <w:rFonts w:ascii="宋体" w:hAnsi="宋体"/>
                <w:kern w:val="0"/>
              </w:rPr>
              <w:t>5分，</w:t>
            </w:r>
            <w:r>
              <w:rPr>
                <w:rFonts w:hint="eastAsia" w:ascii="宋体" w:hAnsi="宋体"/>
                <w:kern w:val="0"/>
              </w:rPr>
              <w:t>0.5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</w:rPr>
              <w:t>1小时3分，1小时以上</w:t>
            </w:r>
            <w:r>
              <w:rPr>
                <w:rFonts w:ascii="宋体" w:hAnsi="宋体"/>
                <w:kern w:val="0"/>
              </w:rPr>
              <w:t>1分。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49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合  计</w:t>
            </w:r>
          </w:p>
        </w:tc>
      </w:tr>
    </w:tbl>
    <w:p>
      <w:pPr>
        <w:pStyle w:val="3"/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  <w:docVar w:name="KGWebUrl" w:val="http://19.121.241.45/seeyon/officeservlet"/>
  </w:docVars>
  <w:rsids>
    <w:rsidRoot w:val="5FDA3E7F"/>
    <w:rsid w:val="00011AAB"/>
    <w:rsid w:val="000149F6"/>
    <w:rsid w:val="00072B4B"/>
    <w:rsid w:val="0009653E"/>
    <w:rsid w:val="000F6568"/>
    <w:rsid w:val="001203DD"/>
    <w:rsid w:val="00130987"/>
    <w:rsid w:val="0015444C"/>
    <w:rsid w:val="0016305F"/>
    <w:rsid w:val="00171D34"/>
    <w:rsid w:val="00176F8F"/>
    <w:rsid w:val="001A4FDD"/>
    <w:rsid w:val="001A6DE8"/>
    <w:rsid w:val="001D0A6F"/>
    <w:rsid w:val="001D1D4C"/>
    <w:rsid w:val="001E2477"/>
    <w:rsid w:val="001E5A27"/>
    <w:rsid w:val="001F005E"/>
    <w:rsid w:val="001F7FAF"/>
    <w:rsid w:val="00213E18"/>
    <w:rsid w:val="002440D4"/>
    <w:rsid w:val="00256672"/>
    <w:rsid w:val="00271C46"/>
    <w:rsid w:val="0027528A"/>
    <w:rsid w:val="002D5197"/>
    <w:rsid w:val="002F7CD5"/>
    <w:rsid w:val="0031139D"/>
    <w:rsid w:val="003128D6"/>
    <w:rsid w:val="0031665C"/>
    <w:rsid w:val="003305A6"/>
    <w:rsid w:val="00340936"/>
    <w:rsid w:val="00367E9D"/>
    <w:rsid w:val="00375618"/>
    <w:rsid w:val="00391228"/>
    <w:rsid w:val="00410EBE"/>
    <w:rsid w:val="004362A3"/>
    <w:rsid w:val="00436E71"/>
    <w:rsid w:val="00446955"/>
    <w:rsid w:val="004B0DF1"/>
    <w:rsid w:val="004C7A93"/>
    <w:rsid w:val="004F1366"/>
    <w:rsid w:val="004F60CF"/>
    <w:rsid w:val="00514ABA"/>
    <w:rsid w:val="005272B6"/>
    <w:rsid w:val="00532A2D"/>
    <w:rsid w:val="00581288"/>
    <w:rsid w:val="005A34CA"/>
    <w:rsid w:val="00604D0E"/>
    <w:rsid w:val="00620F92"/>
    <w:rsid w:val="00626FA1"/>
    <w:rsid w:val="0068795D"/>
    <w:rsid w:val="006A0419"/>
    <w:rsid w:val="006D6701"/>
    <w:rsid w:val="006D6B97"/>
    <w:rsid w:val="006E7315"/>
    <w:rsid w:val="006F6D61"/>
    <w:rsid w:val="0074383E"/>
    <w:rsid w:val="00746C63"/>
    <w:rsid w:val="00755341"/>
    <w:rsid w:val="007B05B0"/>
    <w:rsid w:val="007D6EE2"/>
    <w:rsid w:val="007E18D4"/>
    <w:rsid w:val="007F5017"/>
    <w:rsid w:val="008550E0"/>
    <w:rsid w:val="00882A81"/>
    <w:rsid w:val="00884D15"/>
    <w:rsid w:val="008B5178"/>
    <w:rsid w:val="008E3E6D"/>
    <w:rsid w:val="008F6626"/>
    <w:rsid w:val="0090735E"/>
    <w:rsid w:val="009658AD"/>
    <w:rsid w:val="00970F05"/>
    <w:rsid w:val="00984883"/>
    <w:rsid w:val="009D2951"/>
    <w:rsid w:val="009E0EBA"/>
    <w:rsid w:val="00A13B83"/>
    <w:rsid w:val="00A26C31"/>
    <w:rsid w:val="00A359D3"/>
    <w:rsid w:val="00A42A1E"/>
    <w:rsid w:val="00A918FB"/>
    <w:rsid w:val="00AA1788"/>
    <w:rsid w:val="00AC52C5"/>
    <w:rsid w:val="00AD79DB"/>
    <w:rsid w:val="00B17CC6"/>
    <w:rsid w:val="00B4119B"/>
    <w:rsid w:val="00B4439D"/>
    <w:rsid w:val="00B52BF1"/>
    <w:rsid w:val="00B5675C"/>
    <w:rsid w:val="00B614E0"/>
    <w:rsid w:val="00B6735B"/>
    <w:rsid w:val="00B86BA6"/>
    <w:rsid w:val="00C20E22"/>
    <w:rsid w:val="00C25867"/>
    <w:rsid w:val="00C305B4"/>
    <w:rsid w:val="00C63139"/>
    <w:rsid w:val="00C809AA"/>
    <w:rsid w:val="00CC1947"/>
    <w:rsid w:val="00CC6EBF"/>
    <w:rsid w:val="00CE3524"/>
    <w:rsid w:val="00CF0E3A"/>
    <w:rsid w:val="00D16DD7"/>
    <w:rsid w:val="00D42ABC"/>
    <w:rsid w:val="00D94F86"/>
    <w:rsid w:val="00DA567B"/>
    <w:rsid w:val="00DA7D8F"/>
    <w:rsid w:val="00DB56C0"/>
    <w:rsid w:val="00DC6FBF"/>
    <w:rsid w:val="00DD2B4D"/>
    <w:rsid w:val="00DD5414"/>
    <w:rsid w:val="00DE486F"/>
    <w:rsid w:val="00DF4637"/>
    <w:rsid w:val="00E0231C"/>
    <w:rsid w:val="00E52328"/>
    <w:rsid w:val="00E600FE"/>
    <w:rsid w:val="00E61E72"/>
    <w:rsid w:val="00EA1092"/>
    <w:rsid w:val="00EA1FC0"/>
    <w:rsid w:val="00EB2796"/>
    <w:rsid w:val="00EF0ED9"/>
    <w:rsid w:val="00EF2FF6"/>
    <w:rsid w:val="00F04171"/>
    <w:rsid w:val="00F100E0"/>
    <w:rsid w:val="00F72AD7"/>
    <w:rsid w:val="053E25DD"/>
    <w:rsid w:val="06F14A10"/>
    <w:rsid w:val="07F31225"/>
    <w:rsid w:val="084D1FF9"/>
    <w:rsid w:val="099F7B11"/>
    <w:rsid w:val="0B432F4B"/>
    <w:rsid w:val="0E823830"/>
    <w:rsid w:val="0F7C39B0"/>
    <w:rsid w:val="10E549A1"/>
    <w:rsid w:val="149918D5"/>
    <w:rsid w:val="14DC4224"/>
    <w:rsid w:val="1C4226C5"/>
    <w:rsid w:val="1DC5035B"/>
    <w:rsid w:val="1F4C5CAB"/>
    <w:rsid w:val="20056459"/>
    <w:rsid w:val="211C3D4C"/>
    <w:rsid w:val="21D143CF"/>
    <w:rsid w:val="252561EE"/>
    <w:rsid w:val="255B30EF"/>
    <w:rsid w:val="270237C3"/>
    <w:rsid w:val="281D3002"/>
    <w:rsid w:val="2B8A3E01"/>
    <w:rsid w:val="2D4A1A0E"/>
    <w:rsid w:val="2F1422BD"/>
    <w:rsid w:val="2FAC7A81"/>
    <w:rsid w:val="32D56BB5"/>
    <w:rsid w:val="37896B48"/>
    <w:rsid w:val="380A3B51"/>
    <w:rsid w:val="38647A3B"/>
    <w:rsid w:val="3884708A"/>
    <w:rsid w:val="39D07CE9"/>
    <w:rsid w:val="3BDB4E6B"/>
    <w:rsid w:val="3CFB6F84"/>
    <w:rsid w:val="3F6F2279"/>
    <w:rsid w:val="425139E4"/>
    <w:rsid w:val="5211523C"/>
    <w:rsid w:val="58D304A6"/>
    <w:rsid w:val="590B454D"/>
    <w:rsid w:val="595A40EE"/>
    <w:rsid w:val="59BA4C4C"/>
    <w:rsid w:val="5A7B1263"/>
    <w:rsid w:val="5C9D4E93"/>
    <w:rsid w:val="5FDA3E7F"/>
    <w:rsid w:val="686E0C4B"/>
    <w:rsid w:val="6E57346C"/>
    <w:rsid w:val="724E3EEE"/>
    <w:rsid w:val="73AF77EA"/>
    <w:rsid w:val="758874FB"/>
    <w:rsid w:val="76FC2CDD"/>
    <w:rsid w:val="7762625C"/>
    <w:rsid w:val="7A941B60"/>
    <w:rsid w:val="7B8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正文文本 (2) + 间距 0 pt3"/>
    <w:qFormat/>
    <w:uiPriority w:val="99"/>
    <w:rPr>
      <w:rFonts w:ascii="MingLiU" w:eastAsia="MingLiU" w:cs="MingLiU"/>
      <w:spacing w:val="0"/>
      <w:sz w:val="22"/>
      <w:szCs w:val="22"/>
      <w:u w:val="none"/>
    </w:rPr>
  </w:style>
  <w:style w:type="character" w:customStyle="1" w:styleId="13">
    <w:name w:val="批注文字 Char"/>
    <w:link w:val="2"/>
    <w:qFormat/>
    <w:uiPriority w:val="0"/>
    <w:rPr>
      <w:kern w:val="2"/>
      <w:sz w:val="21"/>
      <w:szCs w:val="21"/>
    </w:rPr>
  </w:style>
  <w:style w:type="character" w:customStyle="1" w:styleId="14">
    <w:name w:val="批注主题 Char"/>
    <w:link w:val="7"/>
    <w:qFormat/>
    <w:uiPriority w:val="0"/>
    <w:rPr>
      <w:b/>
      <w:bCs/>
      <w:kern w:val="2"/>
      <w:sz w:val="21"/>
      <w:szCs w:val="21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styleId="19">
    <w:name w:val="Placeholder Text"/>
    <w:basedOn w:val="10"/>
    <w:unhideWhenUsed/>
    <w:qFormat/>
    <w:uiPriority w:val="99"/>
    <w:rPr>
      <w:color w:val="808080"/>
    </w:rPr>
  </w:style>
  <w:style w:type="character" w:customStyle="1" w:styleId="20">
    <w:name w:val="正文文本 (2)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江门市公路局</Company>
  <Pages>3</Pages>
  <Words>1619</Words>
  <Characters>1692</Characters>
  <Lines>7</Lines>
  <Paragraphs>2</Paragraphs>
  <TotalTime>9</TotalTime>
  <ScaleCrop>false</ScaleCrop>
  <LinksUpToDate>false</LinksUpToDate>
  <CharactersWithSpaces>1699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2024-06-19T08:20:00Z</dcterms:created>
  <dc:creator>区展锴</dc:creator>
  <cp:lastModifiedBy>i</cp:lastModifiedBy>
  <cp:lastPrinted>2024-06-25T07:42:00Z</cp:lastPrinted>
  <dcterms:modified xsi:type="dcterms:W3CDTF">2025-01-07T02:13:53Z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E51F24DD40D146BD8ED6324C7F34D17C_13</vt:lpwstr>
  </property>
  <property fmtid="{D5CDD505-2E9C-101B-9397-08002B2CF9AE}" pid="4" name="KSOTemplateDocerSaveRecord">
    <vt:lpwstr>eyJoZGlkIjoiYzcyMjUyY2NlNzhkOTA2NjdhMDZhMmIwZDhkNzJhNGMiLCJ1c2VySWQiOiIyNTc5MjkyMTUifQ==</vt:lpwstr>
  </property>
</Properties>
</file>