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佛冈县统计局202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2"/>
          <w:szCs w:val="24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根据《中华人民共和国政府信息公开条例》（以下简称《条例》），现向社会公布20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度佛冈县统计局政府信息公开年度报告。本报告由总体情况、主动公开政府信息情况、收到和处理政府信息公开申请情况、政府信息公开行政复议、行政诉讼情况、存在的主要问题及改进情况、其他需要报告的事项共六个部分组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县统计局认真贯彻执行《条例》和佛冈县统计局政府信息公开工作相关制度，严格遵守规定程序和保密原则，扎实推进政府信息公开工作，做好信息公开目录的修订、信息的更新以及归档备案工作。加强协调督办，进一步完善工作机制，确保了政府信息公开工作有序稳定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一直把政务信息工作摆上重要的议事日程，将政务信息工作视为塑造统计良好形象，扩大统计影响力，提升统计知名度的重要抓手来抓，采取多项有力举措，狠抓政务信息的各环节工作，有效提升了统计政务信息工作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截至12月底，共发布政府信息84条。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（一）制度健全、队伍建设方面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强化领导，夯实基础。根据《条例》及有关规定，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制定了佛冈县统计局信息公开制度，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一步加强对政务信息公开工作的组织领导，强化信息公开保密责任意识，对拟公开的信息严格按照“三审三校”做好政务信息公开保密审查工作，按照政务公开工作的具体要求，明确局机关各股室和下属单位政务信息公开工作职能，层层落实责任，为开展政务信息公开工作建立起有力的组织保障体系，形成统一领导，分工负责，共抓落实的工作格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）主动公开方面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2024年度，县统计局主动公开信息共计84条。其中主动公开内设机构、机构职能及领导信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息3条，规章文件类信息2条，财政信息6条，工作动态信息47条、通知公告信息3条，统计信息14条，行政执法信息9条。本年度未发生政府信息公开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行政复议、行政诉讼情况。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（三）依申请公开方面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依申请公开信息，明确了公开范围、受理机构和申请处理程序。通过书面提交、互联网提交《佛冈县统计局信息公开申请表》等方式收取公民、法人或者其他组织提出的申请，根据《条例》规定，能够当场答复的，当场给予答复；对部分涉及保密、或者不宜公开的信息，则做好解释说明工作。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2024年12月31日，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未收到政府信息公开申请。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（四）政府信息管理方面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严格按照政务公开和政府信息公开要求，及时发布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佛冈县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国民经济和社会发展统计公报、2024年月度全县主要经济指标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，及时准确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为县委、县政府提供最新统计资料，满足党政领导、机关部门和社会各界对统计数据的要求。2024年，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共发布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统计信息14篇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（五）信息公开平台建设方面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明确局办公室专人负责信息公开工作，对于政务公开的具体板块内容详细学习，并学习《条例》等政策法规。始终坚持“三审三校””原则，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每次信息发布前必须填写“信息发布保密审查表”，经过分管领导、主要领导审核，确保发布的政府信息符合相关规定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（六）解读回应方面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解读情况，本机关未出台规范性文件和重要措施，未发布解读信息。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）监督保障方面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加强组织领导。成立了政务公开工作领导小组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确专人负责政务公开工作，根据人事变动及工作要求及时调整政务公开有关人员，做到领导、机构、人员“三到位”。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2.加强沟通衔接。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政务公开人员积极主动与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做好沟通衔接，加强业务方面的学习，并按照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要求，及时做好政务公开各项工作。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3.做好查漏补缺。对照政务公开政府网站和政务新媒体抽查情况问题清单，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有关人员认真总结，积极反思，逐条逐项整改，避免以后出现类似的错误。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</w:rPr>
        <w:t>、主动公开政府信息情况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25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本年废止件数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、收到和处理政府信息公开申请情况</w:t>
      </w:r>
    </w:p>
    <w:tbl>
      <w:tblPr>
        <w:tblStyle w:val="6"/>
        <w:tblpPr w:leftFromText="180" w:rightFromText="180" w:vertAnchor="text" w:horzAnchor="page" w:tblpX="1590" w:tblpY="37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40"/>
        <w:gridCol w:w="900"/>
        <w:gridCol w:w="900"/>
        <w:gridCol w:w="1008"/>
        <w:gridCol w:w="972"/>
        <w:gridCol w:w="900"/>
        <w:gridCol w:w="72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28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28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自然人</w:t>
            </w:r>
          </w:p>
        </w:tc>
        <w:tc>
          <w:tcPr>
            <w:tcW w:w="45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法人或其他组织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28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机构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申请人情况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88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自然人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法人或其他组织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机构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申请人情况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自然人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法人或其他组织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8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机构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24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、政府信息公开行政复议、行政诉讼情况</w:t>
      </w:r>
    </w:p>
    <w:tbl>
      <w:tblPr>
        <w:tblStyle w:val="6"/>
        <w:tblW w:w="0" w:type="auto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650"/>
        <w:gridCol w:w="650"/>
        <w:gridCol w:w="650"/>
        <w:gridCol w:w="416"/>
        <w:gridCol w:w="692"/>
        <w:gridCol w:w="720"/>
        <w:gridCol w:w="720"/>
        <w:gridCol w:w="700"/>
        <w:gridCol w:w="416"/>
        <w:gridCol w:w="679"/>
        <w:gridCol w:w="720"/>
        <w:gridCol w:w="725"/>
        <w:gridCol w:w="684"/>
        <w:gridCol w:w="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color="auto" w:fill="auto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年，局政务公开工作进一步提升，但仍存在着工作协调配合机制不够完善，数据公开还不够及时、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信息公开内容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不够全面，公开意识有待进一步提升。针对以上问题，我局将从以下方面着手，扎实有效推进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公开工作：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（一）进一步完善统计信息公开工作机制，加强制度落实、确保全面、及时、准确地公开统计信息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统计信息公开力度，做到认真分析，创新举措，分类施策，完善每一模块的相应公开内容。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（二） 进一步加强数据发布。及时对外发布统计月报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全县国民经济和社会发展统计公报，及时通报群众关心的经济运行情况，切实发挥统计部门“晴雨表”作用，助力经济社会健康发展。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）进一步压实工作责任。充分发挥职能作用，局机关各股室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调查中心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通力协作，落实工作责任，做到既各司其职又密切配合，确保政务公开工作及时准确高效。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　　暂无其他需要说明的事项。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　                                                         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 佛冈县统计局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843627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85925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84"/>
    <w:rsid w:val="00086800"/>
    <w:rsid w:val="00101584"/>
    <w:rsid w:val="00233367"/>
    <w:rsid w:val="005103B4"/>
    <w:rsid w:val="00594A6F"/>
    <w:rsid w:val="006D7F56"/>
    <w:rsid w:val="00874690"/>
    <w:rsid w:val="008961A3"/>
    <w:rsid w:val="009128E3"/>
    <w:rsid w:val="009C3905"/>
    <w:rsid w:val="00BB03A0"/>
    <w:rsid w:val="00CE764B"/>
    <w:rsid w:val="00DA06A8"/>
    <w:rsid w:val="00E6566B"/>
    <w:rsid w:val="00EA45AC"/>
    <w:rsid w:val="00F825DC"/>
    <w:rsid w:val="00FD7985"/>
    <w:rsid w:val="04ED19E0"/>
    <w:rsid w:val="059F0AF2"/>
    <w:rsid w:val="07C95358"/>
    <w:rsid w:val="0BFD67BA"/>
    <w:rsid w:val="0F3A58A7"/>
    <w:rsid w:val="13FF4E5A"/>
    <w:rsid w:val="159C1091"/>
    <w:rsid w:val="17C31ABF"/>
    <w:rsid w:val="19966F77"/>
    <w:rsid w:val="19FE1445"/>
    <w:rsid w:val="1BBB259B"/>
    <w:rsid w:val="1F253E11"/>
    <w:rsid w:val="1F8E6D04"/>
    <w:rsid w:val="20662402"/>
    <w:rsid w:val="26E2642C"/>
    <w:rsid w:val="29CD6FBD"/>
    <w:rsid w:val="2E184516"/>
    <w:rsid w:val="2F9E0086"/>
    <w:rsid w:val="30A6436E"/>
    <w:rsid w:val="33E748E9"/>
    <w:rsid w:val="36151E1F"/>
    <w:rsid w:val="3DA81701"/>
    <w:rsid w:val="3FDE46B0"/>
    <w:rsid w:val="42AD3D54"/>
    <w:rsid w:val="44514DED"/>
    <w:rsid w:val="463139BB"/>
    <w:rsid w:val="4B2C3F77"/>
    <w:rsid w:val="50F709B4"/>
    <w:rsid w:val="55BB2508"/>
    <w:rsid w:val="60944B9D"/>
    <w:rsid w:val="6114165D"/>
    <w:rsid w:val="624B03DF"/>
    <w:rsid w:val="644253F9"/>
    <w:rsid w:val="68CA648C"/>
    <w:rsid w:val="6A624799"/>
    <w:rsid w:val="73B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默认段落字体 Para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2021-05-24T10:18:00Z</dcterms:created>
  <dc:creator>Map</dc:creator>
  <cp:lastModifiedBy>i</cp:lastModifiedBy>
  <cp:lastPrinted>2025-01-20T03:56:00Z</cp:lastPrinted>
  <dcterms:modified xsi:type="dcterms:W3CDTF">2025-01-23T02:30:58Z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