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1</w:t>
      </w:r>
      <w:r>
        <w:rPr>
          <w:rFonts w:hint="eastAsia" w:ascii="黑体" w:hAnsi="黑体" w:eastAsia="黑体" w:cs="黑体"/>
          <w:bCs/>
          <w:spacing w:val="-6"/>
          <w:kern w:val="2"/>
          <w:sz w:val="32"/>
          <w:szCs w:val="32"/>
          <w:lang w:val="en-US" w:eastAsia="zh-CN" w:bidi="ar"/>
        </w:rPr>
        <w:t>9</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560" w:lineRule="exact"/>
        <w:ind w:left="0" w:right="0"/>
        <w:jc w:val="center"/>
        <w:textAlignment w:val="auto"/>
        <w:rPr>
          <w:rFonts w:hint="eastAsia" w:ascii="仿宋_GB2312" w:hAnsi="仿宋_GB2312" w:eastAsia="仿宋_GB2312" w:cs="仿宋_GB2312"/>
          <w:spacing w:val="-6"/>
          <w:kern w:val="2"/>
          <w:position w:val="1"/>
          <w:sz w:val="32"/>
          <w:szCs w:val="32"/>
        </w:rPr>
      </w:pPr>
      <w:r>
        <w:rPr>
          <w:rFonts w:hint="eastAsia" w:ascii="仿宋_GB2312" w:hAnsi="仿宋_GB2312" w:eastAsia="仿宋_GB2312" w:cs="仿宋_GB2312"/>
          <w:spacing w:val="-6"/>
          <w:kern w:val="2"/>
          <w:position w:val="1"/>
          <w:sz w:val="32"/>
          <w:szCs w:val="32"/>
          <w:lang w:val="en-US" w:eastAsia="zh-CN" w:bidi="ar"/>
        </w:rPr>
        <w:t xml:space="preserve"> </w:t>
      </w:r>
    </w:p>
    <w:p>
      <w:pPr>
        <w:pStyle w:val="4"/>
        <w:keepNext w:val="0"/>
        <w:keepLines w:val="0"/>
        <w:pageBreakBefore w:val="0"/>
        <w:widowControl/>
        <w:suppressLineNumbers w:val="0"/>
        <w:kinsoku/>
        <w:wordWrap/>
        <w:overflowPunct/>
        <w:topLinePunct w:val="0"/>
        <w:bidi w:val="0"/>
        <w:spacing w:line="560" w:lineRule="exact"/>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rPr>
        <w:t>佛冈县</w:t>
      </w:r>
      <w:r>
        <w:rPr>
          <w:rFonts w:hint="eastAsia" w:ascii="方正小标宋_GBK" w:hAnsi="方正小标宋_GBK" w:eastAsia="方正小标宋_GBK" w:cs="方正小标宋_GBK"/>
          <w:kern w:val="2"/>
          <w:sz w:val="44"/>
          <w:szCs w:val="44"/>
        </w:rPr>
        <w:t>电动自行车充电器产品质量</w:t>
      </w:r>
    </w:p>
    <w:p>
      <w:pPr>
        <w:pStyle w:val="4"/>
        <w:keepNext w:val="0"/>
        <w:keepLines w:val="0"/>
        <w:pageBreakBefore w:val="0"/>
        <w:widowControl/>
        <w:suppressLineNumbers w:val="0"/>
        <w:kinsoku/>
        <w:wordWrap/>
        <w:overflowPunct/>
        <w:topLinePunct w:val="0"/>
        <w:bidi w:val="0"/>
        <w:spacing w:line="560" w:lineRule="exact"/>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监督抽查实施细则</w:t>
      </w:r>
    </w:p>
    <w:p>
      <w:pPr>
        <w:pStyle w:val="5"/>
        <w:keepNext w:val="0"/>
        <w:keepLines w:val="0"/>
        <w:pageBreakBefore w:val="0"/>
        <w:widowControl/>
        <w:suppressLineNumbers w:val="0"/>
        <w:kinsoku/>
        <w:wordWrap/>
        <w:overflowPunct/>
        <w:topLinePunct w:val="0"/>
        <w:bidi w:val="0"/>
        <w:spacing w:line="560" w:lineRule="exact"/>
        <w:textAlignment w:val="auto"/>
        <w:rPr>
          <w:rFonts w:hint="eastAsia" w:ascii="楷体" w:hAnsi="楷体" w:eastAsia="楷体" w:cs="楷体"/>
          <w:kern w:val="2"/>
          <w:sz w:val="32"/>
          <w:szCs w:val="32"/>
        </w:rPr>
      </w:pPr>
      <w:r>
        <w:rPr>
          <w:rFonts w:hint="eastAsia" w:ascii="楷体" w:hAnsi="楷体" w:eastAsia="楷体" w:cs="楷体"/>
          <w:kern w:val="2"/>
          <w:sz w:val="32"/>
          <w:szCs w:val="32"/>
        </w:rPr>
        <w:t>（2024年版）</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黑体" w:hAnsi="黑体" w:eastAsia="黑体" w:cs="黑体"/>
          <w:kern w:val="2"/>
          <w:sz w:val="32"/>
          <w:szCs w:val="32"/>
        </w:rPr>
      </w:pPr>
      <w:r>
        <w:rPr>
          <w:rFonts w:hint="eastAsia" w:ascii="黑体" w:hAnsi="黑体" w:eastAsia="黑体" w:cs="黑体"/>
          <w:kern w:val="2"/>
          <w:sz w:val="32"/>
          <w:szCs w:val="32"/>
        </w:rPr>
        <w:t>1 抽样方法</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6"/>
          <w:kern w:val="2"/>
          <w:sz w:val="32"/>
          <w:szCs w:val="32"/>
          <w:lang w:val="en-US" w:eastAsia="zh-CN" w:bidi="ar"/>
        </w:rPr>
        <w:t>以随机抽样的方式在被抽样生产者、销售者的待销产品中抽</w:t>
      </w:r>
      <w:r>
        <w:rPr>
          <w:rFonts w:hint="eastAsia" w:ascii="仿宋_GB2312" w:hAnsi="仿宋_GB2312" w:eastAsia="仿宋_GB2312" w:cs="仿宋_GB2312"/>
          <w:kern w:val="2"/>
          <w:sz w:val="32"/>
          <w:szCs w:val="32"/>
          <w:lang w:val="en-US" w:eastAsia="zh-CN" w:bidi="ar"/>
        </w:rPr>
        <w:t>取。</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每批次样品抽取</w:t>
      </w: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bidi="ar"/>
        </w:rPr>
        <w:t>只，其中</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只作为检验样品，</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只作为备用样品。</w:t>
      </w: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仿宋_GB2312" w:hAnsi="仿宋_GB2312" w:eastAsia="仿宋_GB2312" w:cs="仿宋_GB2312"/>
          <w:kern w:val="2"/>
          <w:sz w:val="32"/>
          <w:szCs w:val="32"/>
          <w:lang w:val="en-US" w:eastAsia="zh-CN" w:bidi="ar"/>
        </w:rPr>
      </w:pP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黑体" w:hAnsi="黑体" w:eastAsia="黑体" w:cs="黑体"/>
          <w:kern w:val="2"/>
          <w:sz w:val="32"/>
          <w:szCs w:val="32"/>
        </w:rPr>
      </w:pPr>
      <w:r>
        <w:rPr>
          <w:rFonts w:hint="eastAsia" w:ascii="黑体" w:hAnsi="黑体" w:eastAsia="黑体" w:cs="黑体"/>
          <w:kern w:val="2"/>
          <w:sz w:val="32"/>
          <w:szCs w:val="32"/>
        </w:rPr>
        <w:t>2 检验依据</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w:t>
      </w:r>
      <w:r>
        <w:rPr>
          <w:rFonts w:hint="eastAsia" w:ascii="仿宋_GB2312" w:hAnsi="仿宋_GB2312" w:eastAsia="仿宋_GB2312" w:cs="仿宋_GB2312"/>
          <w:kern w:val="2"/>
          <w:sz w:val="32"/>
          <w:szCs w:val="32"/>
          <w:lang w:val="en-US" w:eastAsia="zh-CN" w:bidi="ar"/>
        </w:rPr>
        <w:t xml:space="preserve">1 </w:t>
      </w:r>
      <w:r>
        <w:rPr>
          <w:rFonts w:hint="eastAsia" w:ascii="仿宋_GB2312" w:hAnsi="仿宋_GB2312" w:eastAsia="仿宋_GB2312" w:cs="仿宋_GB2312"/>
          <w:kern w:val="2"/>
          <w:sz w:val="32"/>
          <w:szCs w:val="32"/>
          <w:lang w:val="en-US" w:eastAsia="zh-CN" w:bidi="ar"/>
        </w:rPr>
        <w:t>电动自行车充电器（</w:t>
      </w:r>
      <w:r>
        <w:rPr>
          <w:rFonts w:hint="eastAsia" w:ascii="仿宋_GB2312" w:hAnsi="仿宋_GB2312" w:eastAsia="仿宋_GB2312" w:cs="仿宋_GB2312"/>
          <w:kern w:val="2"/>
          <w:sz w:val="32"/>
          <w:szCs w:val="32"/>
          <w:lang w:val="en-US" w:eastAsia="zh-CN" w:bidi="ar"/>
        </w:rPr>
        <w:t>GB 4706.1—2005</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GB 4706.18—2014</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GB 4343.1-2018</w:t>
      </w:r>
      <w:r>
        <w:rPr>
          <w:rFonts w:hint="eastAsia" w:ascii="仿宋_GB2312" w:hAnsi="仿宋_GB2312" w:eastAsia="仿宋_GB2312" w:cs="仿宋_GB2312"/>
          <w:kern w:val="2"/>
          <w:sz w:val="32"/>
          <w:szCs w:val="32"/>
          <w:lang w:val="en-US" w:eastAsia="zh-CN" w:bidi="ar"/>
        </w:rPr>
        <w:t>）</w:t>
      </w:r>
    </w:p>
    <w:tbl>
      <w:tblPr>
        <w:tblStyle w:val="2"/>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8"/>
        <w:gridCol w:w="3969"/>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对触及带电部件的防护</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工作温度下的泄漏电流和电气强度</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非正常工作</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机械强度</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内部布线</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电源连接和外部软线</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2005</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4706.18</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连续骚扰电压</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w:t>
            </w:r>
          </w:p>
        </w:tc>
        <w:tc>
          <w:tcPr>
            <w:tcW w:w="22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骚扰功率、辐射骚扰</w:t>
            </w:r>
          </w:p>
        </w:tc>
        <w:tc>
          <w:tcPr>
            <w:tcW w:w="22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4343.1-2018</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w:t>
      </w:r>
      <w:r>
        <w:rPr>
          <w:rFonts w:hint="eastAsia" w:ascii="仿宋_GB2312" w:hAnsi="仿宋_GB2312" w:eastAsia="仿宋_GB2312" w:cs="仿宋_GB2312"/>
          <w:kern w:val="2"/>
          <w:sz w:val="32"/>
          <w:szCs w:val="32"/>
          <w:lang w:val="en-US" w:eastAsia="zh-CN" w:bidi="ar"/>
        </w:rPr>
        <w:t xml:space="preserve">2  </w:t>
      </w:r>
      <w:r>
        <w:rPr>
          <w:rFonts w:hint="eastAsia" w:ascii="仿宋_GB2312" w:hAnsi="仿宋_GB2312" w:eastAsia="仿宋_GB2312" w:cs="仿宋_GB2312"/>
          <w:kern w:val="2"/>
          <w:sz w:val="32"/>
          <w:szCs w:val="32"/>
          <w:lang w:val="en-US" w:eastAsia="zh-CN" w:bidi="ar"/>
        </w:rPr>
        <w:t>电动自行车充电器（</w:t>
      </w:r>
      <w:r>
        <w:rPr>
          <w:rFonts w:hint="eastAsia" w:ascii="仿宋_GB2312" w:hAnsi="仿宋_GB2312" w:eastAsia="仿宋_GB2312" w:cs="仿宋_GB2312"/>
          <w:kern w:val="2"/>
          <w:sz w:val="32"/>
          <w:szCs w:val="32"/>
          <w:lang w:val="en-US" w:eastAsia="zh-CN" w:bidi="ar"/>
        </w:rPr>
        <w:t>GB 42296—2022</w:t>
      </w:r>
      <w:r>
        <w:rPr>
          <w:rFonts w:hint="eastAsia" w:ascii="仿宋_GB2312" w:hAnsi="仿宋_GB2312" w:eastAsia="仿宋_GB2312" w:cs="仿宋_GB2312"/>
          <w:kern w:val="2"/>
          <w:sz w:val="32"/>
          <w:szCs w:val="32"/>
          <w:lang w:val="en-US" w:eastAsia="zh-CN" w:bidi="ar"/>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外壳冲击</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跌落</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工作温度下的泄漏电流</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电气强度</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防触电保护</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非正常工作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（仅测</w:t>
            </w:r>
            <w:r>
              <w:rPr>
                <w:rFonts w:hint="eastAsia" w:ascii="仿宋_GB2312" w:hAnsi="仿宋_GB2312" w:eastAsia="仿宋_GB2312" w:cs="仿宋_GB2312"/>
                <w:color w:val="000000"/>
                <w:kern w:val="2"/>
                <w:sz w:val="32"/>
                <w:szCs w:val="32"/>
                <w:lang w:val="en-US" w:eastAsia="zh-CN" w:bidi="ar"/>
              </w:rPr>
              <w:t>5.2.5.1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5.2.5.2</w:t>
            </w:r>
            <w:r>
              <w:rPr>
                <w:rFonts w:hint="eastAsia" w:ascii="仿宋_GB2312" w:hAnsi="仿宋_GB2312" w:eastAsia="仿宋_GB2312" w:cs="仿宋_GB2312"/>
                <w:color w:val="000000"/>
                <w:kern w:val="2"/>
                <w:sz w:val="32"/>
                <w:szCs w:val="32"/>
                <w:lang w:val="en-US" w:eastAsia="zh-CN" w:bidi="ar"/>
              </w:rPr>
              <w:t>）</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超温保护</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过充切断</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9</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延时切断</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10</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耐热</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11</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灼热丝</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12</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端子骚扰电压</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13</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骚扰功率、辐射骚扰</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2022</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w:t>
      </w:r>
      <w:r>
        <w:rPr>
          <w:rFonts w:hint="eastAsia" w:ascii="仿宋_GB2312" w:hAnsi="仿宋_GB2312" w:eastAsia="仿宋_GB2312" w:cs="仿宋_GB2312"/>
          <w:kern w:val="2"/>
          <w:sz w:val="32"/>
          <w:szCs w:val="32"/>
          <w:lang w:val="en-US" w:eastAsia="zh-CN" w:bidi="ar"/>
        </w:rPr>
        <w:t xml:space="preserve">3 </w:t>
      </w:r>
      <w:r>
        <w:rPr>
          <w:rFonts w:hint="eastAsia" w:ascii="仿宋_GB2312" w:hAnsi="仿宋_GB2312" w:eastAsia="仿宋_GB2312" w:cs="仿宋_GB2312"/>
          <w:kern w:val="2"/>
          <w:sz w:val="32"/>
          <w:szCs w:val="32"/>
          <w:lang w:val="en-US" w:eastAsia="zh-CN" w:bidi="ar"/>
        </w:rPr>
        <w:t>电动自行车充电器（</w:t>
      </w:r>
      <w:r>
        <w:rPr>
          <w:rFonts w:hint="eastAsia" w:ascii="仿宋_GB2312" w:hAnsi="仿宋_GB2312" w:eastAsia="仿宋_GB2312" w:cs="仿宋_GB2312"/>
          <w:kern w:val="2"/>
          <w:sz w:val="32"/>
          <w:szCs w:val="32"/>
          <w:lang w:val="en-US" w:eastAsia="zh-CN" w:bidi="ar"/>
        </w:rPr>
        <w:t>GB/T 36944—2018</w:t>
      </w:r>
      <w:r>
        <w:rPr>
          <w:rFonts w:hint="eastAsia" w:ascii="仿宋_GB2312" w:hAnsi="仿宋_GB2312" w:eastAsia="仿宋_GB2312" w:cs="仿宋_GB2312"/>
          <w:kern w:val="2"/>
          <w:sz w:val="32"/>
          <w:szCs w:val="32"/>
          <w:lang w:val="en-US" w:eastAsia="zh-CN" w:bidi="ar"/>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机械强度</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泄漏电流</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电气强度</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防触电保护</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非正常工作</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内部布线</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电源软线</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电源端子骚扰电压</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9</w:t>
            </w:r>
          </w:p>
        </w:tc>
        <w:tc>
          <w:tcPr>
            <w:tcW w:w="4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骚扰功率</w:t>
            </w:r>
          </w:p>
        </w:tc>
        <w:tc>
          <w:tcPr>
            <w:tcW w:w="4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GB/T 36944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2018</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w:t>
      </w:r>
      <w:r>
        <w:rPr>
          <w:rFonts w:hint="eastAsia" w:ascii="仿宋_GB2312" w:hAnsi="仿宋_GB2312" w:eastAsia="仿宋_GB2312" w:cs="仿宋_GB2312"/>
          <w:kern w:val="2"/>
          <w:sz w:val="32"/>
          <w:szCs w:val="32"/>
          <w:lang w:val="en-US" w:eastAsia="zh-CN" w:bidi="ar"/>
        </w:rPr>
        <w:t xml:space="preserve">4 </w:t>
      </w:r>
      <w:r>
        <w:rPr>
          <w:rFonts w:hint="eastAsia" w:ascii="仿宋_GB2312" w:hAnsi="仿宋_GB2312" w:eastAsia="仿宋_GB2312" w:cs="仿宋_GB2312"/>
          <w:kern w:val="2"/>
          <w:sz w:val="32"/>
          <w:szCs w:val="32"/>
          <w:lang w:val="en-US" w:eastAsia="zh-CN" w:bidi="ar"/>
        </w:rPr>
        <w:t>电动自行车充电器（</w:t>
      </w:r>
      <w:r>
        <w:rPr>
          <w:rFonts w:hint="eastAsia" w:ascii="仿宋_GB2312" w:hAnsi="仿宋_GB2312" w:eastAsia="仿宋_GB2312" w:cs="仿宋_GB2312"/>
          <w:kern w:val="2"/>
          <w:sz w:val="32"/>
          <w:szCs w:val="32"/>
          <w:lang w:val="en-US" w:eastAsia="zh-CN" w:bidi="ar"/>
        </w:rPr>
        <w:t>QB/T 2947.1—2008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QB/T 2947.3—2008</w:t>
      </w:r>
      <w:r>
        <w:rPr>
          <w:rFonts w:hint="eastAsia" w:ascii="仿宋_GB2312" w:hAnsi="仿宋_GB2312" w:eastAsia="仿宋_GB2312" w:cs="仿宋_GB2312"/>
          <w:kern w:val="2"/>
          <w:sz w:val="32"/>
          <w:szCs w:val="32"/>
          <w:lang w:val="en-US" w:eastAsia="zh-CN" w:bidi="ar"/>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4"/>
        <w:gridCol w:w="4132"/>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对触及带电部件的防护</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工作温度下的泄漏电流和电气强度</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过载保护</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机械强度</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布线</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4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输入、输出线及插头</w:t>
            </w:r>
          </w:p>
        </w:tc>
        <w:tc>
          <w:tcPr>
            <w:tcW w:w="3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2947.1</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QB/T 2947.3</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2008</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2023</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7</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日以后生产的产品及</w:t>
      </w:r>
      <w:r>
        <w:rPr>
          <w:rFonts w:hint="eastAsia" w:ascii="仿宋_GB2312" w:hAnsi="仿宋_GB2312" w:eastAsia="仿宋_GB2312" w:cs="仿宋_GB2312"/>
          <w:kern w:val="2"/>
          <w:sz w:val="32"/>
          <w:szCs w:val="32"/>
          <w:lang w:val="en-US" w:eastAsia="zh-CN" w:bidi="ar"/>
        </w:rPr>
        <w:t>2024</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7</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日以后销售的产品，均执行</w:t>
      </w:r>
      <w:r>
        <w:rPr>
          <w:rFonts w:hint="eastAsia" w:ascii="仿宋_GB2312" w:hAnsi="仿宋_GB2312" w:eastAsia="仿宋_GB2312" w:cs="仿宋_GB2312"/>
          <w:kern w:val="2"/>
          <w:sz w:val="32"/>
          <w:szCs w:val="32"/>
          <w:lang w:val="en-US" w:eastAsia="zh-CN" w:bidi="ar"/>
        </w:rPr>
        <w:t>GB 42296</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kern w:val="2"/>
          <w:sz w:val="32"/>
          <w:szCs w:val="32"/>
          <w:lang w:val="en-US" w:eastAsia="zh-CN" w:bidi="ar"/>
        </w:rPr>
        <w:t>2022</w:t>
      </w:r>
      <w:r>
        <w:rPr>
          <w:rFonts w:hint="eastAsia" w:ascii="仿宋_GB2312" w:hAnsi="仿宋_GB2312" w:eastAsia="仿宋_GB2312" w:cs="仿宋_GB2312"/>
          <w:kern w:val="2"/>
          <w:sz w:val="32"/>
          <w:szCs w:val="32"/>
          <w:lang w:val="en-US" w:eastAsia="zh-CN" w:bidi="ar"/>
        </w:rPr>
        <w:t>标准。</w:t>
      </w: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黑体" w:hAnsi="黑体" w:eastAsia="黑体" w:cs="黑体"/>
          <w:kern w:val="2"/>
          <w:sz w:val="32"/>
          <w:szCs w:val="32"/>
        </w:rPr>
      </w:pPr>
    </w:p>
    <w:p>
      <w:pPr>
        <w:pStyle w:val="6"/>
        <w:keepNext w:val="0"/>
        <w:keepLines w:val="0"/>
        <w:pageBreakBefore w:val="0"/>
        <w:widowControl/>
        <w:suppressLineNumbers w:val="0"/>
        <w:kinsoku/>
        <w:wordWrap/>
        <w:overflowPunct/>
        <w:topLinePunct w:val="0"/>
        <w:bidi w:val="0"/>
        <w:spacing w:line="560" w:lineRule="exact"/>
        <w:textAlignment w:val="auto"/>
        <w:rPr>
          <w:rFonts w:hint="eastAsia" w:ascii="黑体" w:hAnsi="黑体" w:eastAsia="黑体" w:cs="黑体"/>
          <w:kern w:val="2"/>
          <w:sz w:val="32"/>
          <w:szCs w:val="32"/>
        </w:rPr>
      </w:pPr>
      <w:r>
        <w:rPr>
          <w:rFonts w:hint="eastAsia" w:ascii="黑体" w:hAnsi="黑体" w:eastAsia="黑体" w:cs="黑体"/>
          <w:kern w:val="2"/>
          <w:sz w:val="32"/>
          <w:szCs w:val="32"/>
        </w:rPr>
        <w:t>3 判定规则</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w:t>
      </w:r>
      <w:r>
        <w:rPr>
          <w:rFonts w:hint="eastAsia" w:ascii="仿宋_GB2312" w:hAnsi="仿宋_GB2312" w:eastAsia="仿宋_GB2312" w:cs="仿宋_GB2312"/>
          <w:kern w:val="2"/>
          <w:sz w:val="32"/>
          <w:szCs w:val="32"/>
          <w:lang w:val="en-US" w:eastAsia="zh-CN" w:bidi="ar"/>
        </w:rPr>
        <w:t>依据标准</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4706.1—2005 </w:t>
      </w:r>
      <w:r>
        <w:rPr>
          <w:rFonts w:hint="eastAsia" w:ascii="仿宋_GB2312" w:hAnsi="仿宋_GB2312" w:eastAsia="仿宋_GB2312" w:cs="仿宋_GB2312"/>
          <w:kern w:val="2"/>
          <w:sz w:val="32"/>
          <w:szCs w:val="32"/>
          <w:lang w:val="en-US" w:eastAsia="zh-CN" w:bidi="ar"/>
        </w:rPr>
        <w:t>家用和类似用途电器的安全  第</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部分：通用要求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4706.18—2014 </w:t>
      </w:r>
      <w:r>
        <w:rPr>
          <w:rFonts w:hint="eastAsia" w:ascii="仿宋_GB2312" w:hAnsi="仿宋_GB2312" w:eastAsia="仿宋_GB2312" w:cs="仿宋_GB2312"/>
          <w:kern w:val="2"/>
          <w:sz w:val="32"/>
          <w:szCs w:val="32"/>
          <w:lang w:val="en-US" w:eastAsia="zh-CN" w:bidi="ar"/>
        </w:rPr>
        <w:t>家用和类似用途电器的安全  电池充电器的特殊要求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42296—2022 </w:t>
      </w:r>
      <w:r>
        <w:rPr>
          <w:rFonts w:hint="eastAsia" w:ascii="仿宋_GB2312" w:hAnsi="仿宋_GB2312" w:eastAsia="仿宋_GB2312" w:cs="仿宋_GB2312"/>
          <w:kern w:val="2"/>
          <w:sz w:val="32"/>
          <w:szCs w:val="32"/>
          <w:lang w:val="en-US" w:eastAsia="zh-CN" w:bidi="ar"/>
        </w:rPr>
        <w:t>电动自行车用充电器安全技术要求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GB/T 36944—2018 </w:t>
      </w:r>
      <w:r>
        <w:rPr>
          <w:rFonts w:hint="eastAsia" w:ascii="仿宋_GB2312" w:hAnsi="仿宋_GB2312" w:eastAsia="仿宋_GB2312" w:cs="仿宋_GB2312"/>
          <w:kern w:val="2"/>
          <w:sz w:val="32"/>
          <w:szCs w:val="32"/>
          <w:lang w:val="en-US" w:eastAsia="zh-CN" w:bidi="ar"/>
        </w:rPr>
        <w:t>电动自行车用充电器技术要求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4343.1-2018</w:t>
      </w:r>
      <w:r>
        <w:rPr>
          <w:rFonts w:hint="eastAsia" w:ascii="仿宋_GB2312" w:hAnsi="仿宋_GB2312" w:eastAsia="仿宋_GB2312" w:cs="仿宋_GB2312"/>
          <w:kern w:val="2"/>
          <w:sz w:val="32"/>
          <w:szCs w:val="32"/>
          <w:lang w:val="en-US" w:eastAsia="zh-CN" w:bidi="ar"/>
        </w:rPr>
        <w:t>家用电器、电动工具和类似器具的电磁兼容要求 第</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部分：发射</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QB/T 2947.1—2008 </w:t>
      </w:r>
      <w:r>
        <w:rPr>
          <w:rFonts w:hint="eastAsia" w:ascii="仿宋_GB2312" w:hAnsi="仿宋_GB2312" w:eastAsia="仿宋_GB2312" w:cs="仿宋_GB2312"/>
          <w:kern w:val="2"/>
          <w:sz w:val="32"/>
          <w:szCs w:val="32"/>
          <w:lang w:val="en-US" w:eastAsia="zh-CN" w:bidi="ar"/>
        </w:rPr>
        <w:t>电动自行车用蓄电池及充电器  第</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部分：密封铅酸蓄电池及充电器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QB/T 2947.3—2008 </w:t>
      </w:r>
      <w:r>
        <w:rPr>
          <w:rFonts w:hint="eastAsia" w:ascii="仿宋_GB2312" w:hAnsi="仿宋_GB2312" w:eastAsia="仿宋_GB2312" w:cs="仿宋_GB2312"/>
          <w:kern w:val="2"/>
          <w:sz w:val="32"/>
          <w:szCs w:val="32"/>
          <w:lang w:val="en-US" w:eastAsia="zh-CN" w:bidi="ar"/>
        </w:rPr>
        <w:t>电动自行车用蓄电池及充电器  第</w:t>
      </w: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部分：锂离子蓄电池及充电器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w:t>
      </w:r>
      <w:r>
        <w:rPr>
          <w:rFonts w:hint="eastAsia" w:ascii="仿宋_GB2312" w:hAnsi="仿宋_GB2312" w:eastAsia="仿宋_GB2312" w:cs="仿宋_GB2312"/>
          <w:kern w:val="2"/>
          <w:sz w:val="32"/>
          <w:szCs w:val="32"/>
          <w:lang w:val="en-US" w:eastAsia="zh-CN" w:bidi="ar"/>
        </w:rPr>
        <w:t>判定原则</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E7EF0"/>
    <w:rsid w:val="287E7EF0"/>
    <w:rsid w:val="3CAE107A"/>
    <w:rsid w:val="71760D24"/>
    <w:rsid w:val="753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标题（方正小标宋简体）"/>
    <w:basedOn w:val="1"/>
    <w:qFormat/>
    <w:uiPriority w:val="0"/>
    <w:pPr>
      <w:keepNext w:val="0"/>
      <w:keepLines w:val="0"/>
      <w:widowControl w:val="0"/>
      <w:suppressLineNumbers w:val="0"/>
      <w:spacing w:before="0" w:beforeAutospacing="0" w:after="0" w:afterAutospacing="0" w:line="560" w:lineRule="exact"/>
      <w:ind w:left="0" w:right="0"/>
      <w:jc w:val="center"/>
    </w:pPr>
    <w:rPr>
      <w:rFonts w:hint="default" w:ascii="Times New Roman" w:hAnsi="Times New Roman" w:eastAsia="方正小标宋简体" w:cs="Times New Roman"/>
      <w:kern w:val="2"/>
      <w:sz w:val="44"/>
      <w:szCs w:val="44"/>
      <w:lang w:val="en-US" w:eastAsia="zh-CN" w:bidi="ar"/>
    </w:rPr>
  </w:style>
  <w:style w:type="paragraph" w:customStyle="1" w:styleId="5">
    <w:name w:val="样式2 标题（楷体三号）"/>
    <w:basedOn w:val="1"/>
    <w:qFormat/>
    <w:uiPriority w:val="0"/>
    <w:pPr>
      <w:keepNext w:val="0"/>
      <w:keepLines w:val="0"/>
      <w:widowControl w:val="0"/>
      <w:suppressLineNumbers w:val="0"/>
      <w:spacing w:before="0" w:beforeAutospacing="0" w:after="0" w:afterAutospacing="0" w:line="560" w:lineRule="exact"/>
      <w:ind w:left="0" w:right="0"/>
      <w:jc w:val="center"/>
    </w:pPr>
    <w:rPr>
      <w:rFonts w:hint="default" w:ascii="楷体_GB2312" w:hAnsi="宋体" w:eastAsia="楷体_GB2312" w:cs="楷体_GB2312"/>
      <w:kern w:val="2"/>
      <w:sz w:val="32"/>
      <w:szCs w:val="32"/>
      <w:lang w:val="en-US" w:eastAsia="zh-CN" w:bidi="ar"/>
    </w:rPr>
  </w:style>
  <w:style w:type="paragraph" w:customStyle="1" w:styleId="6">
    <w:name w:val="样式1 标题一级（黑体三号）"/>
    <w:basedOn w:val="1"/>
    <w:qFormat/>
    <w:uiPriority w:val="0"/>
    <w:pPr>
      <w:keepNext w:val="0"/>
      <w:keepLines w:val="0"/>
      <w:widowControl w:val="0"/>
      <w:suppressLineNumbers w:val="0"/>
      <w:spacing w:before="0" w:beforeAutospacing="0" w:after="0" w:afterAutospacing="0" w:line="560" w:lineRule="exact"/>
      <w:ind w:left="0" w:right="0" w:firstLineChars="200"/>
      <w:jc w:val="both"/>
    </w:pPr>
    <w:rPr>
      <w:rFonts w:hint="eastAsia" w:ascii="黑体" w:hAnsi="宋体" w:eastAsia="黑体" w:cs="黑体"/>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2024-07-19T07:57:00Z</dcterms:created>
  <dc:creator>梁杏花</dc:creator>
  <cp:lastModifiedBy>梁杏花</cp:lastModifiedBy>
  <dcterms:modified xsi:type="dcterms:W3CDTF">2024-07-19T08:47:41Z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