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bidi w:val="0"/>
        <w:adjustRightInd/>
        <w:snapToGrid/>
        <w:spacing w:before="0" w:beforeAutospacing="0" w:after="0" w:afterAutospacing="0" w:line="560" w:lineRule="exact"/>
        <w:ind w:left="0" w:right="0"/>
        <w:jc w:val="both"/>
        <w:textAlignment w:val="auto"/>
        <w:rPr>
          <w:rFonts w:hint="eastAsia" w:ascii="黑体" w:hAnsi="宋体" w:eastAsia="黑体" w:cs="黑体"/>
          <w:bCs/>
          <w:spacing w:val="-6"/>
          <w:kern w:val="2"/>
          <w:sz w:val="32"/>
          <w:szCs w:val="32"/>
        </w:rPr>
      </w:pPr>
      <w:r>
        <w:rPr>
          <w:rFonts w:hint="eastAsia" w:ascii="黑体" w:hAnsi="宋体" w:eastAsia="黑体" w:cs="黑体"/>
          <w:bCs/>
          <w:spacing w:val="-6"/>
          <w:kern w:val="2"/>
          <w:sz w:val="32"/>
          <w:szCs w:val="32"/>
          <w:lang w:val="en-US" w:eastAsia="zh-CN"/>
        </w:rPr>
        <w:t>附件12</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pacing w:val="-6"/>
          <w:kern w:val="2"/>
          <w:position w:val="1"/>
          <w:sz w:val="21"/>
          <w:szCs w:val="21"/>
        </w:rPr>
      </w:pPr>
      <w:r>
        <w:rPr>
          <w:rFonts w:hint="eastAsia" w:asciiTheme="minorEastAsia" w:hAnsiTheme="minorEastAsia" w:eastAsiaTheme="minorEastAsia" w:cstheme="minorEastAsia"/>
          <w:spacing w:val="-6"/>
          <w:kern w:val="2"/>
          <w:position w:val="1"/>
          <w:sz w:val="21"/>
          <w:szCs w:val="21"/>
          <w:lang w:val="en-US" w:eastAsia="zh-CN" w:bidi="ar"/>
        </w:rPr>
        <w:t xml:space="preserve">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佛冈县校服产品质量监督抽查实施细则</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60" w:lineRule="exact"/>
        <w:ind w:left="0" w:right="0"/>
        <w:jc w:val="center"/>
        <w:textAlignment w:val="auto"/>
        <w:rPr>
          <w:rFonts w:hint="eastAsia" w:ascii="楷体" w:hAnsi="楷体" w:eastAsia="楷体" w:cs="楷体"/>
          <w:kern w:val="2"/>
          <w:sz w:val="32"/>
          <w:szCs w:val="32"/>
          <w:lang w:val="en-US" w:eastAsia="zh-CN" w:bidi="ar"/>
        </w:rPr>
      </w:pPr>
      <w:r>
        <w:rPr>
          <w:rFonts w:hint="eastAsia" w:ascii="楷体" w:hAnsi="楷体" w:eastAsia="楷体" w:cs="楷体"/>
          <w:kern w:val="2"/>
          <w:sz w:val="32"/>
          <w:szCs w:val="32"/>
          <w:lang w:val="en-US" w:eastAsia="zh-CN" w:bidi="ar"/>
        </w:rPr>
        <w:t>（2024年版）</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eastAsia" w:ascii="黑体" w:hAnsi="宋体" w:eastAsia="黑体" w:cs="黑体"/>
          <w:bCs/>
          <w:spacing w:val="-6"/>
          <w:kern w:val="2"/>
          <w:sz w:val="32"/>
          <w:szCs w:val="32"/>
          <w:lang w:val="en-US" w:eastAsia="zh-CN"/>
        </w:rPr>
      </w:pPr>
      <w:r>
        <w:rPr>
          <w:rFonts w:hint="eastAsia" w:ascii="黑体" w:hAnsi="宋体" w:eastAsia="黑体" w:cs="黑体"/>
          <w:bCs/>
          <w:spacing w:val="-6"/>
          <w:kern w:val="2"/>
          <w:sz w:val="32"/>
          <w:szCs w:val="32"/>
          <w:lang w:val="en-US" w:eastAsia="zh-CN"/>
        </w:rPr>
        <w:t>1 抽样方法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以随机抽样的方式在被抽样生产者、销售者的待销产品中抽取。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随机数一般可使用随机数表等方法产生。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每批次抽样数量2件/套/条，其中1件/套/条作为检验样品，1件/套/条作为备用样品。</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16" w:firstLineChars="200"/>
        <w:jc w:val="both"/>
        <w:textAlignment w:val="auto"/>
        <w:rPr>
          <w:rFonts w:hint="eastAsia" w:ascii="黑体" w:hAnsi="宋体" w:eastAsia="黑体" w:cs="黑体"/>
          <w:bCs/>
          <w:spacing w:val="-6"/>
          <w:kern w:val="2"/>
          <w:sz w:val="32"/>
          <w:szCs w:val="32"/>
          <w:lang w:val="en-US" w:eastAsia="zh-CN"/>
        </w:rPr>
      </w:pPr>
      <w:r>
        <w:rPr>
          <w:rFonts w:hint="eastAsia" w:ascii="黑体" w:hAnsi="宋体" w:eastAsia="黑体" w:cs="黑体"/>
          <w:bCs/>
          <w:spacing w:val="-6"/>
          <w:kern w:val="2"/>
          <w:sz w:val="32"/>
          <w:szCs w:val="32"/>
          <w:lang w:val="en-US" w:eastAsia="zh-CN"/>
        </w:rPr>
        <w:t>2 检验依据</w:t>
      </w:r>
    </w:p>
    <w:tbl>
      <w:tblPr>
        <w:tblStyle w:val="2"/>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77"/>
        <w:gridCol w:w="3350"/>
        <w:gridCol w:w="4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1"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335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4218"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3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甲醛含量</w:t>
            </w:r>
          </w:p>
        </w:tc>
        <w:tc>
          <w:tcPr>
            <w:tcW w:w="42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3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pH值</w:t>
            </w:r>
          </w:p>
        </w:tc>
        <w:tc>
          <w:tcPr>
            <w:tcW w:w="42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3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可分解致癌芳香胺染料</w:t>
            </w:r>
          </w:p>
        </w:tc>
        <w:tc>
          <w:tcPr>
            <w:tcW w:w="42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17592-2011</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3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耐水色牢度</w:t>
            </w:r>
          </w:p>
        </w:tc>
        <w:tc>
          <w:tcPr>
            <w:tcW w:w="42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3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耐酸汗渍色牢度</w:t>
            </w:r>
          </w:p>
        </w:tc>
        <w:tc>
          <w:tcPr>
            <w:tcW w:w="42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w:t>
            </w:r>
          </w:p>
        </w:tc>
        <w:tc>
          <w:tcPr>
            <w:tcW w:w="3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耐碱汗渍色牢度</w:t>
            </w:r>
          </w:p>
        </w:tc>
        <w:tc>
          <w:tcPr>
            <w:tcW w:w="42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w:t>
            </w:r>
          </w:p>
        </w:tc>
        <w:tc>
          <w:tcPr>
            <w:tcW w:w="3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耐干摩擦色牢度</w:t>
            </w:r>
          </w:p>
        </w:tc>
        <w:tc>
          <w:tcPr>
            <w:tcW w:w="42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w:t>
            </w:r>
          </w:p>
        </w:tc>
        <w:tc>
          <w:tcPr>
            <w:tcW w:w="3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耐湿摩擦色牢度</w:t>
            </w:r>
          </w:p>
        </w:tc>
        <w:tc>
          <w:tcPr>
            <w:tcW w:w="42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w:t>
            </w:r>
          </w:p>
        </w:tc>
        <w:tc>
          <w:tcPr>
            <w:tcW w:w="3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耐（皂）洗色牢度</w:t>
            </w:r>
          </w:p>
        </w:tc>
        <w:tc>
          <w:tcPr>
            <w:tcW w:w="42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3921-2008</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12490-2014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w:t>
            </w:r>
          </w:p>
        </w:tc>
        <w:tc>
          <w:tcPr>
            <w:tcW w:w="3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耐光色牢度</w:t>
            </w:r>
          </w:p>
        </w:tc>
        <w:tc>
          <w:tcPr>
            <w:tcW w:w="42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8427-2008</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8427-2019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11</w:t>
            </w:r>
          </w:p>
        </w:tc>
        <w:tc>
          <w:tcPr>
            <w:tcW w:w="3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绳带要求</w:t>
            </w:r>
          </w:p>
        </w:tc>
        <w:tc>
          <w:tcPr>
            <w:tcW w:w="42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31701-2015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12</w:t>
            </w:r>
          </w:p>
        </w:tc>
        <w:tc>
          <w:tcPr>
            <w:tcW w:w="3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附件锐利性</w:t>
            </w:r>
          </w:p>
        </w:tc>
        <w:tc>
          <w:tcPr>
            <w:tcW w:w="42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31702-2015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13</w:t>
            </w:r>
          </w:p>
        </w:tc>
        <w:tc>
          <w:tcPr>
            <w:tcW w:w="3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金属针</w:t>
            </w:r>
          </w:p>
        </w:tc>
        <w:tc>
          <w:tcPr>
            <w:tcW w:w="42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GB 31701-2015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14</w:t>
            </w:r>
          </w:p>
        </w:tc>
        <w:tc>
          <w:tcPr>
            <w:tcW w:w="3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絮用纤维原料要求</w:t>
            </w:r>
          </w:p>
        </w:tc>
        <w:tc>
          <w:tcPr>
            <w:tcW w:w="42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18383-2007 5.1、5.2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15</w:t>
            </w:r>
          </w:p>
        </w:tc>
        <w:tc>
          <w:tcPr>
            <w:tcW w:w="3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纤维含量</w:t>
            </w:r>
          </w:p>
        </w:tc>
        <w:tc>
          <w:tcPr>
            <w:tcW w:w="42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01057.1-2007、FZ/T 01057.2-2007</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01057.3-2007、FZ/T 01057.4-2007</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2910.1-2009、GB/T 2910.2-2009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2910.3-2009、GB/T 2910.4-2022</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2910.6-2009、GB/T 2910.7-2009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2910.8-2009、GB/T 2910.11-2009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2910.12-2023、GB/T 2910.18-2009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2910.20-2009、GB/T 2910.22-2009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2910.101-2009、GB/T 38015-2019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01101-2008、</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01112-2012</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01026-2017、</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01095-2002</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30003-2009、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16988-2013等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85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备注：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1.产品使用说明标注的纤维含量不一致时，应以耐久标签标注的纤维含量进行考核。如果未标注产品主要原材料的纤维成分和含量，则纤维含量项目不判定。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2.考虑到样品存在的不均匀性和检验的可靠性，样品中检测出微量其他纤维（未明示）时，如果其他纤维（未明示）的含量≤0.5%，或样品明示含微量其他纤维而未检出时，该微量其他纤维不计入总量进行判定。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3.色牢度试验采用单纤维贴衬，产品标准另有规定的，按产品标准执行。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4.针织产品耐摩擦色牢度只考核直向。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5.本色及漂白产品不考核色牢度（耐光色牢度除外）、可分解致癌芳香胺染料。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6.产品未标注产品标准，标注产品标准不正确，或者无法获得明示的有效企业标准时，检测纤维含量以及GB 18401、GB 31701相关项目。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7.pH值的测定用0.1 mol/L氯化钾溶液作为萃取介质。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8.只检测产品相应标准中有考核要求的项目。</w:t>
            </w:r>
          </w:p>
        </w:tc>
      </w:tr>
    </w:tbl>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执行企业标准、团体标准、地方标准的产品，检验项目参照上述内容执行。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凡是注日期的文件，其随后所有的修改单（不包括勘误的内容）或修订版不适用于本细则。凡是不注日期的文件，其最新版本适用于本细则。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lang w:val="en-US" w:eastAsia="zh-CN" w:bidi="ar"/>
        </w:rPr>
        <w:t>3 判定规</w:t>
      </w:r>
      <w:bookmarkStart w:id="0" w:name="_GoBack"/>
      <w:bookmarkEnd w:id="0"/>
      <w:r>
        <w:rPr>
          <w:rFonts w:hint="eastAsia" w:ascii="黑体" w:hAnsi="黑体" w:eastAsia="黑体" w:cs="黑体"/>
          <w:kern w:val="2"/>
          <w:sz w:val="32"/>
          <w:szCs w:val="32"/>
          <w:lang w:val="en-US" w:eastAsia="zh-CN" w:bidi="ar"/>
        </w:rPr>
        <w:t>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3.1依据标准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18401-2010   国家纺织产品基本安全技术规范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31701-2015   婴幼儿及儿童纺织产品安全技术规范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31888-2015 中小学生校服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22854-2009 针织学生服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23328-2009 机织学生服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2662-2017  棉服装</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29862-2013 纺织品纤维含量的标识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31900-2015 机织儿童服装</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73020-2019 针织休闲服装</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73005-2021 低含毛混纺及仿毛针织品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73010-2016 针织工艺衫</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73018-2021 毛针织品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73045-2013 针织儿童服装</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81007-2012 单、夹服装</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81007-2022 单、夹服装</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81004-2012 连衣裙、裙套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FZ/T 81004-2022 连衣裙、裙套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现行有效的企业标准、团体标准、地方标准及产品明示质量要求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3.2判定原则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经检验，检验项目全部合格，判定为被抽查产品所检项目未发现不合格；检验项目中任一项或一项以上不合格，判定为被抽查产品不合格。</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若被检产品明示的质量要求高于本细则中检验项目依据的标准要求时，应按被检产品明示的质量要求判定。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若被检产品明示的质量要求低于本细则中检验项目依据的强制性标准要求时，应按照强制性标准要求判定。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若被检产品明示的质量要求低于或包含本细则中检验项目依据的推荐性标准要求时，应以被检产品明示的质量要求判定。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若被检产品明示的质量要求缺少本细则中检验项目依据的强制性标准要求时，应按照强制性标准要求判定。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36" w:firstLineChars="199"/>
        <w:jc w:val="both"/>
        <w:textAlignment w:val="auto"/>
      </w:pPr>
      <w:r>
        <w:rPr>
          <w:rFonts w:hint="eastAsia" w:ascii="仿宋_GB2312" w:hAnsi="仿宋_GB2312" w:eastAsia="仿宋_GB2312" w:cs="仿宋_GB2312"/>
          <w:kern w:val="2"/>
          <w:sz w:val="32"/>
          <w:szCs w:val="32"/>
          <w:lang w:val="en-US" w:eastAsia="zh-CN" w:bidi="ar"/>
        </w:rPr>
        <w:t>若被检产品明示的质量要求缺少本细则中检验项目依据的推荐性标准要求时，该项目不参与判定。</w:t>
      </w: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D5ADC"/>
    <w:rsid w:val="255C767F"/>
    <w:rsid w:val="2ADC5E2F"/>
    <w:rsid w:val="504D5ADC"/>
    <w:rsid w:val="71760D24"/>
    <w:rsid w:val="753A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2024-07-19T07:50:00Z</dcterms:created>
  <dc:creator>梁杏花</dc:creator>
  <cp:lastModifiedBy>梁杏花</cp:lastModifiedBy>
  <dcterms:modified xsi:type="dcterms:W3CDTF">2024-07-19T08:28:24Z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