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both"/>
        <w:textAlignment w:val="auto"/>
        <w:rPr>
          <w:rFonts w:hint="eastAsia" w:ascii="黑体" w:hAnsi="宋体" w:eastAsia="黑体" w:cs="黑体"/>
          <w:bCs/>
          <w:spacing w:val="-6"/>
          <w:kern w:val="2"/>
          <w:sz w:val="32"/>
          <w:szCs w:val="32"/>
        </w:rPr>
      </w:pPr>
      <w:r>
        <w:rPr>
          <w:rFonts w:hint="eastAsia" w:ascii="黑体" w:hAnsi="宋体" w:eastAsia="黑体" w:cs="黑体"/>
          <w:bCs/>
          <w:spacing w:val="-6"/>
          <w:kern w:val="2"/>
          <w:sz w:val="32"/>
          <w:szCs w:val="32"/>
          <w:lang w:val="en-US" w:eastAsia="zh-CN" w:bidi="ar"/>
        </w:rPr>
        <w:t>附件11</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both"/>
        <w:textAlignment w:val="auto"/>
        <w:rPr>
          <w:rFonts w:hint="eastAsia" w:ascii="黑体" w:hAnsi="宋体" w:eastAsia="黑体" w:cs="黑体"/>
          <w:bCs/>
          <w:spacing w:val="-6"/>
          <w:kern w:val="2"/>
          <w:sz w:val="32"/>
          <w:szCs w:val="32"/>
        </w:rPr>
      </w:pPr>
      <w:r>
        <w:rPr>
          <w:rFonts w:hint="eastAsia" w:ascii="黑体" w:hAnsi="宋体" w:eastAsia="黑体" w:cs="黑体"/>
          <w:bCs/>
          <w:spacing w:val="-6"/>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佛冈县儿童及婴幼儿服装产品质量监督</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bookmarkStart w:id="0" w:name="_GoBack"/>
      <w:bookmarkEnd w:id="0"/>
      <w:r>
        <w:rPr>
          <w:rFonts w:hint="eastAsia" w:ascii="方正小标宋_GBK" w:hAnsi="方正小标宋_GBK" w:eastAsia="方正小标宋_GBK" w:cs="方正小标宋_GBK"/>
          <w:kern w:val="2"/>
          <w:sz w:val="44"/>
          <w:szCs w:val="44"/>
          <w:lang w:val="en-US" w:eastAsia="zh-CN" w:bidi="ar"/>
        </w:rPr>
        <w:t>抽查实施细则</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center"/>
        <w:textAlignment w:val="auto"/>
        <w:rPr>
          <w:rFonts w:hint="eastAsia" w:ascii="楷体" w:hAnsi="楷体" w:eastAsia="楷体" w:cs="楷体"/>
          <w:kern w:val="2"/>
          <w:sz w:val="32"/>
          <w:szCs w:val="32"/>
        </w:rPr>
      </w:pPr>
      <w:r>
        <w:rPr>
          <w:rFonts w:hint="eastAsia" w:ascii="楷体" w:hAnsi="楷体" w:eastAsia="楷体" w:cs="楷体"/>
          <w:kern w:val="2"/>
          <w:sz w:val="32"/>
          <w:szCs w:val="32"/>
          <w:lang w:val="en-US" w:eastAsia="zh-CN" w:bidi="ar"/>
        </w:rPr>
        <w:t>（2024年版）</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1 抽样方法</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16"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spacing w:val="-6"/>
          <w:kern w:val="2"/>
          <w:sz w:val="32"/>
          <w:szCs w:val="32"/>
          <w:lang w:val="en-US" w:eastAsia="zh-CN" w:bidi="ar"/>
        </w:rPr>
        <w:t>以随机抽样的方式在被抽样生产者、销售者的待销产品中抽</w:t>
      </w:r>
      <w:r>
        <w:rPr>
          <w:rFonts w:hint="eastAsia" w:ascii="仿宋_GB2312" w:hAnsi="仿宋_GB2312" w:eastAsia="仿宋_GB2312" w:cs="仿宋_GB2312"/>
          <w:color w:val="000000"/>
          <w:kern w:val="2"/>
          <w:sz w:val="32"/>
          <w:szCs w:val="32"/>
          <w:lang w:val="en-US" w:eastAsia="zh-CN" w:bidi="ar"/>
        </w:rPr>
        <w:t>取。</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随机数一般可使用随机数表等方法产生。</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每批次抽样数量见表1。</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表1 抽取样品数量</w:t>
      </w:r>
    </w:p>
    <w:tbl>
      <w:tblPr>
        <w:tblStyle w:val="2"/>
        <w:tblW w:w="8652" w:type="dxa"/>
        <w:tblInd w:w="0" w:type="dxa"/>
        <w:tblBorders>
          <w:top w:val="single" w:color="000000" w:sz="6" w:space="0"/>
          <w:left w:val="single" w:color="000000" w:sz="6" w:space="0"/>
          <w:bottom w:val="none" w:color="auto" w:sz="6" w:space="0"/>
          <w:right w:val="single" w:color="000000" w:sz="6"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723"/>
        <w:gridCol w:w="1535"/>
        <w:gridCol w:w="2125"/>
        <w:gridCol w:w="2127"/>
        <w:gridCol w:w="2142"/>
      </w:tblGrid>
      <w:tr>
        <w:tblPrEx>
          <w:tblBorders>
            <w:top w:val="single" w:color="000000" w:sz="6" w:space="0"/>
            <w:left w:val="single" w:color="000000" w:sz="6" w:space="0"/>
            <w:bottom w:val="none" w:color="auto" w:sz="6" w:space="0"/>
            <w:right w:val="single" w:color="000000" w:sz="6" w:space="0"/>
            <w:insideH w:val="single" w:color="000000" w:sz="2" w:space="0"/>
            <w:insideV w:val="single" w:color="000000" w:sz="2" w:space="0"/>
          </w:tblBorders>
          <w:shd w:val="clear" w:color="auto" w:fill="auto"/>
          <w:tblCellMar>
            <w:top w:w="0" w:type="dxa"/>
            <w:left w:w="0" w:type="dxa"/>
            <w:bottom w:w="0" w:type="dxa"/>
            <w:right w:w="0" w:type="dxa"/>
          </w:tblCellMar>
        </w:tblPrEx>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15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产品种类</w:t>
            </w:r>
          </w:p>
        </w:tc>
        <w:tc>
          <w:tcPr>
            <w:tcW w:w="21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抽样数量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（件/条/套）</w:t>
            </w:r>
          </w:p>
        </w:tc>
        <w:tc>
          <w:tcPr>
            <w:tcW w:w="21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检验样品数量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（件/条/套）</w:t>
            </w:r>
          </w:p>
        </w:tc>
        <w:tc>
          <w:tcPr>
            <w:tcW w:w="21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备用样品数量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（件/条/套）</w:t>
            </w:r>
          </w:p>
        </w:tc>
      </w:tr>
      <w:tr>
        <w:tblPrEx>
          <w:tblBorders>
            <w:top w:val="single" w:color="000000" w:sz="6" w:space="0"/>
            <w:left w:val="single" w:color="000000" w:sz="6" w:space="0"/>
            <w:bottom w:val="none" w:color="auto" w:sz="6" w:space="0"/>
            <w:right w:val="single" w:color="000000" w:sz="6"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723" w:type="dxa"/>
            <w:tcBorders>
              <w:top w:val="single" w:color="auto" w:sz="4" w:space="0"/>
              <w:left w:val="single" w:color="auto" w:sz="4" w:space="0"/>
              <w:bottom w:val="single" w:color="000000" w:sz="2"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15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婴幼儿服装</w:t>
            </w:r>
          </w:p>
        </w:tc>
        <w:tc>
          <w:tcPr>
            <w:tcW w:w="21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21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21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r>
      <w:tr>
        <w:tblPrEx>
          <w:tblBorders>
            <w:top w:val="single" w:color="000000" w:sz="6" w:space="0"/>
            <w:left w:val="single" w:color="000000" w:sz="6" w:space="0"/>
            <w:bottom w:val="none" w:color="auto" w:sz="6" w:space="0"/>
            <w:right w:val="single" w:color="000000" w:sz="6"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43" w:hRule="atLeast"/>
        </w:trPr>
        <w:tc>
          <w:tcPr>
            <w:tcW w:w="723" w:type="dxa"/>
            <w:tcBorders>
              <w:top w:val="single" w:color="000000" w:sz="2" w:space="0"/>
              <w:left w:val="single" w:color="auto" w:sz="4" w:space="0"/>
              <w:bottom w:val="single" w:color="000000" w:sz="2"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15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儿童服装</w:t>
            </w:r>
          </w:p>
        </w:tc>
        <w:tc>
          <w:tcPr>
            <w:tcW w:w="21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21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21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r>
      <w:tr>
        <w:tblPrEx>
          <w:tblBorders>
            <w:top w:val="single" w:color="000000" w:sz="6" w:space="0"/>
            <w:left w:val="single" w:color="000000" w:sz="6" w:space="0"/>
            <w:bottom w:val="none" w:color="auto" w:sz="6" w:space="0"/>
            <w:right w:val="single" w:color="000000" w:sz="6"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43" w:hRule="atLeast"/>
        </w:trPr>
        <w:tc>
          <w:tcPr>
            <w:tcW w:w="8652" w:type="dxa"/>
            <w:gridSpan w:val="5"/>
            <w:tcBorders>
              <w:top w:val="single" w:color="000000" w:sz="2"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注：如样品面积过小，可适当增加抽样数量，不得超过检验、复检的合理需要。</w:t>
            </w:r>
          </w:p>
        </w:tc>
      </w:tr>
    </w:tbl>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kern w:val="2"/>
          <w:sz w:val="32"/>
          <w:szCs w:val="32"/>
          <w:lang w:val="en-US" w:eastAsia="zh-CN" w:bidi="ar"/>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2 检验依据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表2 儿童及婴幼儿服装</w:t>
      </w:r>
    </w:p>
    <w:tbl>
      <w:tblPr>
        <w:tblStyle w:val="2"/>
        <w:tblW w:w="864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5"/>
        <w:gridCol w:w="3112"/>
        <w:gridCol w:w="4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3112"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4809"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31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甲醛含量</w:t>
            </w:r>
          </w:p>
        </w:tc>
        <w:tc>
          <w:tcPr>
            <w:tcW w:w="48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31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pH值</w:t>
            </w:r>
          </w:p>
        </w:tc>
        <w:tc>
          <w:tcPr>
            <w:tcW w:w="48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31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可分解致癌芳香胺染料</w:t>
            </w:r>
          </w:p>
        </w:tc>
        <w:tc>
          <w:tcPr>
            <w:tcW w:w="48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17592-2011</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31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耐水色牢度</w:t>
            </w:r>
          </w:p>
        </w:tc>
        <w:tc>
          <w:tcPr>
            <w:tcW w:w="48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31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耐酸汗渍色牢度</w:t>
            </w:r>
          </w:p>
        </w:tc>
        <w:tc>
          <w:tcPr>
            <w:tcW w:w="48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31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耐碱汗渍色牢度</w:t>
            </w:r>
          </w:p>
        </w:tc>
        <w:tc>
          <w:tcPr>
            <w:tcW w:w="48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w:t>
            </w:r>
          </w:p>
        </w:tc>
        <w:tc>
          <w:tcPr>
            <w:tcW w:w="31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耐干摩擦色牢度</w:t>
            </w:r>
          </w:p>
        </w:tc>
        <w:tc>
          <w:tcPr>
            <w:tcW w:w="48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w:t>
            </w:r>
          </w:p>
        </w:tc>
        <w:tc>
          <w:tcPr>
            <w:tcW w:w="31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耐湿摩擦色牢度</w:t>
            </w:r>
          </w:p>
        </w:tc>
        <w:tc>
          <w:tcPr>
            <w:tcW w:w="48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w:t>
            </w:r>
          </w:p>
        </w:tc>
        <w:tc>
          <w:tcPr>
            <w:tcW w:w="31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耐唾液色牢度</w:t>
            </w:r>
          </w:p>
        </w:tc>
        <w:tc>
          <w:tcPr>
            <w:tcW w:w="48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18886-2019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w:t>
            </w:r>
          </w:p>
        </w:tc>
        <w:tc>
          <w:tcPr>
            <w:tcW w:w="31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邻苯二甲酸酯</w:t>
            </w:r>
          </w:p>
        </w:tc>
        <w:tc>
          <w:tcPr>
            <w:tcW w:w="48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GB/T20388-2016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11</w:t>
            </w:r>
          </w:p>
        </w:tc>
        <w:tc>
          <w:tcPr>
            <w:tcW w:w="31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附件抗拉强力</w:t>
            </w:r>
          </w:p>
        </w:tc>
        <w:tc>
          <w:tcPr>
            <w:tcW w:w="48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31701-2015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12</w:t>
            </w:r>
          </w:p>
        </w:tc>
        <w:tc>
          <w:tcPr>
            <w:tcW w:w="31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绳带要求</w:t>
            </w:r>
          </w:p>
        </w:tc>
        <w:tc>
          <w:tcPr>
            <w:tcW w:w="48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31701-2015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13</w:t>
            </w:r>
          </w:p>
        </w:tc>
        <w:tc>
          <w:tcPr>
            <w:tcW w:w="31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附件尖端和边缘的锐利性</w:t>
            </w:r>
          </w:p>
        </w:tc>
        <w:tc>
          <w:tcPr>
            <w:tcW w:w="48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GB/T31702- 2015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14</w:t>
            </w:r>
          </w:p>
        </w:tc>
        <w:tc>
          <w:tcPr>
            <w:tcW w:w="31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可萃取的重金属</w:t>
            </w:r>
          </w:p>
        </w:tc>
        <w:tc>
          <w:tcPr>
            <w:tcW w:w="48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17593.1 -2006</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17593.2-2007</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17593.3-2006</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17593.4-2006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15</w:t>
            </w:r>
          </w:p>
        </w:tc>
        <w:tc>
          <w:tcPr>
            <w:tcW w:w="31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重金属</w:t>
            </w:r>
          </w:p>
        </w:tc>
        <w:tc>
          <w:tcPr>
            <w:tcW w:w="48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GB/T30157-2013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16</w:t>
            </w:r>
          </w:p>
        </w:tc>
        <w:tc>
          <w:tcPr>
            <w:tcW w:w="31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衣带（缝纫）强力</w:t>
            </w:r>
          </w:p>
        </w:tc>
        <w:tc>
          <w:tcPr>
            <w:tcW w:w="48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3923.1-2013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17</w:t>
            </w:r>
          </w:p>
        </w:tc>
        <w:tc>
          <w:tcPr>
            <w:tcW w:w="31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含绒量</w:t>
            </w:r>
          </w:p>
        </w:tc>
        <w:tc>
          <w:tcPr>
            <w:tcW w:w="48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GB/T10288-2016</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14272-2011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18</w:t>
            </w:r>
          </w:p>
        </w:tc>
        <w:tc>
          <w:tcPr>
            <w:tcW w:w="31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绒子含量</w:t>
            </w:r>
          </w:p>
        </w:tc>
        <w:tc>
          <w:tcPr>
            <w:tcW w:w="48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GB/T10288-2016</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14272-2011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19</w:t>
            </w:r>
          </w:p>
        </w:tc>
        <w:tc>
          <w:tcPr>
            <w:tcW w:w="31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鹅毛绒含量/鸭毛绒含量</w:t>
            </w:r>
          </w:p>
        </w:tc>
        <w:tc>
          <w:tcPr>
            <w:tcW w:w="48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GB/T10288-2016</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14272-2011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20</w:t>
            </w:r>
          </w:p>
        </w:tc>
        <w:tc>
          <w:tcPr>
            <w:tcW w:w="31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耗氧量</w:t>
            </w:r>
          </w:p>
        </w:tc>
        <w:tc>
          <w:tcPr>
            <w:tcW w:w="48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GB/T10288-2016</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14272-2011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21</w:t>
            </w:r>
          </w:p>
        </w:tc>
        <w:tc>
          <w:tcPr>
            <w:tcW w:w="31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纤维含量</w:t>
            </w:r>
          </w:p>
        </w:tc>
        <w:tc>
          <w:tcPr>
            <w:tcW w:w="48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01057.1-2007、FZ/T 01057.2-2007</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01057.3-2007、FZ/T 01057.4-2007、FZ/T 01057.6-2007</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2910.1-2009、GB/T 2910.2-2009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2910.3-2009、GB/T 2910.4-2022</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2910.5-2009、GB/T 2910.6-2009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2910.7-2009、GB/T 2910.8-2009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2910.9-2009、GB/T 2910.10-2009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GB/T2910.11-2009、GB /T 2910.12-2023</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2910.13-2009、GB/T 2910.14-2009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2910.15-2009、GB/T 2910.16-2009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2910.17-2009、GB/T2910.18-2009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2910.19-2009、GB/T2910.20-2009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2910.21-2009、GB/T2910.22-2009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2910.23-2009、GB/T 2910.24-2009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2910.101-2009、FZ/T 01101-2008</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01112-2012、FZ/T 01026-2017</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38015-2019、FZ/T 30003-2009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16988-2013</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01095-2002等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22</w:t>
            </w:r>
          </w:p>
        </w:tc>
        <w:tc>
          <w:tcPr>
            <w:tcW w:w="31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异味</w:t>
            </w:r>
          </w:p>
        </w:tc>
        <w:tc>
          <w:tcPr>
            <w:tcW w:w="48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18401—2010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23</w:t>
            </w:r>
          </w:p>
        </w:tc>
        <w:tc>
          <w:tcPr>
            <w:tcW w:w="31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金属针</w:t>
            </w:r>
          </w:p>
        </w:tc>
        <w:tc>
          <w:tcPr>
            <w:tcW w:w="48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GB 31701—2015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24</w:t>
            </w:r>
          </w:p>
        </w:tc>
        <w:tc>
          <w:tcPr>
            <w:tcW w:w="31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耐久性标签缝制位置</w:t>
            </w:r>
          </w:p>
        </w:tc>
        <w:tc>
          <w:tcPr>
            <w:tcW w:w="48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31701—2015</w:t>
            </w:r>
          </w:p>
        </w:tc>
      </w:tr>
    </w:tbl>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备注：</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1.产品使用说明标注的纤维含量不一致时，应以耐久标签标注的纤维含量进行考核。如果未标注产品主要原材料的纤维成分和含量，则纤维含量项目不判定。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2.考虑到样品存在的不均匀性和检验的可靠性，样品中检测出微量其他纤维（未明示）时，如果其他纤维（未明示）的含量≤0.5%，或样品明示含微量其他纤维而未检出时，该微量其他纤维不计入总量进行判定。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3.色牢度试验采用单纤维贴衬，针织产品耐摩擦色牢度只考核直向。耐洗色牢度仅考核明示可水洗产品。</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4.本色及漂白产品不考核色牢度、可分解致癌芳香胺染料。</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5.pH值的测定用0.1 mol/L 氯化钾溶液作为萃取介质。</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6.可萃取重金属项目采用FZ/T 73025、GB/T 33271、GB/T 39508标准考核时，六价铬采用GB/T 17593.3标准，As、Hg采用GB/T 17593.4标准，其余重金属离子采用GB/T 17593.2标准，产品标准有要求的除外。</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7.邻苯二甲酸酯、重金属仅考核含有涂层和涂料印染的婴幼儿纺织产品。</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8.羽绒项目17-20仅考核儿童及婴幼儿羽绒服装。</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9.鹅毛绒含量/鸭毛绒含量仅考核明示填充物为鹅绒的羽绒服装。</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10.产品未标注产品标准，标注产品标准不正确，或者无法获得明示的有效企业标准时，检测纤维含量以及GB 31701相关项目。</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执行企业标准、团体标准、地方标准的产品，检验项目参照上述内容执行。</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凡是注日期的文件，其随后所有的修改单（不包括勘误的内容）或修订版不适用于本细则。凡是不注日期的文件，其最新版本适用于本细则。</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kern w:val="2"/>
          <w:sz w:val="32"/>
          <w:szCs w:val="32"/>
          <w:lang w:val="en-US" w:eastAsia="zh-CN" w:bidi="ar"/>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3 判定规则</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3.1依据标准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31701-2015   婴幼儿及儿童纺织产品安全技术规范》</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29862-2013 纺织品 纤维含量的标识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2660-2017  衬衫</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2662-2017  棉服装</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8878-2023  针织内衣</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8878-2014  棉针织内衣</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22700-2016 水洗整理服装</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22849-2014 针织T恤衫</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22853-2019 针织运动服</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26384-2011 针织棉服装</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26385-2011 针织拼接服装</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31900-2015 机织儿童服装</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33271-2016 机织婴幼儿服装</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39508-2020 针织婴幼儿及儿童服装</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14272-2011 羽绒服装</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14272-2021 羽绒服装</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24019-2012 印花羊绒针织品</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73005-2012 低含毛混纺及仿毛针织品</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73005-2021 低含毛混纺及仿毛针织品</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73009-2009 羊绒针织品</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73009-2021 羊绒针织品</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73018-2012 毛针织品</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73018-2021 毛针织品</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73020-2019 针织休闲服装</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73024-2014 化纤针织内衣</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73025-2019 婴幼儿针织服饰</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73026-2014 针织裙、裙套</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73032-2017 针织牛仔服装</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73034-2009 半精纺毛针织品</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73034-2021 半精纺毛针织品</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73043-2020 针织衬衫</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73045-2013 针织儿童服装</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73052-2015 水洗整理针织服装</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81001-2016 睡衣套</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81004-2012 连衣裙、裙套</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81004-2022 连衣裙、裙套</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81006-2017 牛仔服装</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81007-2012 单、夹服装</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81007-2022 单、夹服装</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现行有效的企业标准、团体标准、地方标准及产品明示质量要求</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3.2判定原则</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经检验，检验项目全部合格，判定为被抽查产品所检项目未发现不合格；检验项目中任一项或一项以上不合格，判定为被抽查产品不合格。</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若被检产品明示的质量要求高于本细则中检验项目依据的标准要求时，应按被检产品明示的质量要求判定。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若被检产品明示的质量要求低于本细则中检验项目依据的强制性标准要求时，应按照强制性标准要求判定。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若被检产品明示的质量要求低于或包含本细则中检验项目依据的推荐性标准要求时，应以被检产品明示的质量要求判定。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若被检产品明示的质量要求缺少本细则中检验项目依据的强制性标准要求时，应按照强制性标准要求判定。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若被检产品明示的质量要求缺少本细则中检验项目依据的推荐性标准要求时，该项目不参与判定。</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047A85"/>
    <w:rsid w:val="56534B26"/>
    <w:rsid w:val="71760D24"/>
    <w:rsid w:val="732251C0"/>
    <w:rsid w:val="753A4B1D"/>
    <w:rsid w:val="7C9D1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2023-09-15T02:24:00Z</dcterms:created>
  <dc:creator>fgsjj</dc:creator>
  <cp:lastModifiedBy>梁杏花</cp:lastModifiedBy>
  <dcterms:modified xsi:type="dcterms:W3CDTF">2024-07-19T09:16:28Z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