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N/>
        <w:bidi w:val="0"/>
        <w:snapToGrid w:val="0"/>
        <w:spacing w:before="0" w:beforeAutospacing="0" w:after="0" w:afterAutospacing="0" w:line="560" w:lineRule="exact"/>
        <w:ind w:left="0" w:right="0"/>
        <w:jc w:val="both"/>
        <w:textAlignment w:val="auto"/>
        <w:rPr>
          <w:rFonts w:hint="eastAsia" w:ascii="黑体" w:hAnsi="宋体" w:eastAsia="黑体" w:cs="黑体"/>
          <w:bCs/>
          <w:spacing w:val="-6"/>
          <w:kern w:val="2"/>
          <w:sz w:val="32"/>
          <w:szCs w:val="32"/>
        </w:rPr>
      </w:pPr>
      <w:r>
        <w:rPr>
          <w:rFonts w:hint="eastAsia" w:ascii="黑体" w:hAnsi="宋体" w:eastAsia="黑体" w:cs="黑体"/>
          <w:bCs/>
          <w:spacing w:val="-6"/>
          <w:kern w:val="2"/>
          <w:sz w:val="32"/>
          <w:szCs w:val="32"/>
          <w:lang w:val="en-US" w:eastAsia="zh-CN" w:bidi="ar"/>
        </w:rPr>
        <w:t>附件9</w:t>
      </w:r>
    </w:p>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jc w:val="both"/>
        <w:textAlignment w:val="auto"/>
        <w:rPr>
          <w:rFonts w:hint="eastAsia" w:ascii="黑体" w:hAnsi="宋体" w:eastAsia="黑体" w:cs="黑体"/>
          <w:bCs/>
          <w:spacing w:val="-6"/>
          <w:kern w:val="2"/>
          <w:sz w:val="32"/>
          <w:szCs w:val="32"/>
        </w:rPr>
      </w:pPr>
      <w:r>
        <w:rPr>
          <w:rFonts w:hint="eastAsia" w:ascii="黑体" w:hAnsi="宋体" w:eastAsia="黑体" w:cs="黑体"/>
          <w:bCs/>
          <w:spacing w:val="-6"/>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kern w:val="2"/>
          <w:sz w:val="44"/>
          <w:szCs w:val="44"/>
          <w:lang w:val="en-US" w:eastAsia="zh-CN" w:bidi="ar"/>
        </w:rPr>
      </w:pPr>
      <w:r>
        <w:rPr>
          <w:rFonts w:hint="eastAsia" w:ascii="方正小标宋_GBK" w:hAnsi="方正小标宋_GBK" w:eastAsia="方正小标宋_GBK" w:cs="方正小标宋_GBK"/>
          <w:kern w:val="2"/>
          <w:sz w:val="44"/>
          <w:szCs w:val="44"/>
          <w:lang w:val="en-US" w:eastAsia="zh-CN" w:bidi="ar"/>
        </w:rPr>
        <w:t>佛冈县玩具产品质量监督抽查实施细则</w:t>
      </w:r>
    </w:p>
    <w:p>
      <w:pPr>
        <w:pStyle w:val="2"/>
        <w:keepNext w:val="0"/>
        <w:keepLines w:val="0"/>
        <w:pageBreakBefore w:val="0"/>
        <w:widowControl/>
        <w:suppressLineNumbers w:val="0"/>
        <w:kinsoku/>
        <w:wordWrap/>
        <w:overflowPunct/>
        <w:topLinePunct w:val="0"/>
        <w:autoSpaceDN/>
        <w:bidi w:val="0"/>
        <w:spacing w:before="0" w:beforeAutospacing="0" w:after="0" w:afterAutospacing="0" w:line="560" w:lineRule="exact"/>
        <w:ind w:left="0" w:right="0"/>
        <w:jc w:val="center"/>
        <w:textAlignment w:val="auto"/>
        <w:rPr>
          <w:rFonts w:hint="default" w:ascii="楷体" w:hAnsi="楷体" w:eastAsia="楷体" w:cs="楷体"/>
          <w:kern w:val="2"/>
          <w:sz w:val="32"/>
          <w:szCs w:val="32"/>
          <w:lang w:val="en-US" w:eastAsia="zh-CN" w:bidi="ar"/>
        </w:rPr>
      </w:pPr>
      <w:r>
        <w:rPr>
          <w:rFonts w:hint="default" w:ascii="楷体" w:hAnsi="楷体" w:eastAsia="楷体" w:cs="楷体"/>
          <w:kern w:val="2"/>
          <w:sz w:val="32"/>
          <w:szCs w:val="32"/>
          <w:lang w:val="en-US" w:eastAsia="zh-CN" w:bidi="ar"/>
        </w:rPr>
        <w:t>（2024年</w:t>
      </w:r>
      <w:r>
        <w:rPr>
          <w:rFonts w:hint="eastAsia" w:ascii="楷体" w:hAnsi="楷体" w:eastAsia="楷体" w:cs="楷体"/>
          <w:kern w:val="2"/>
          <w:sz w:val="32"/>
          <w:szCs w:val="32"/>
          <w:lang w:val="en-US" w:eastAsia="zh-CN" w:bidi="ar"/>
        </w:rPr>
        <w:t>版</w:t>
      </w:r>
      <w:r>
        <w:rPr>
          <w:rFonts w:hint="default" w:ascii="楷体" w:hAnsi="楷体" w:eastAsia="楷体" w:cs="楷体"/>
          <w:kern w:val="2"/>
          <w:sz w:val="32"/>
          <w:szCs w:val="32"/>
          <w:lang w:val="en-US" w:eastAsia="zh-CN" w:bidi="ar"/>
        </w:rPr>
        <w:t>）</w:t>
      </w:r>
    </w:p>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jc w:val="left"/>
        <w:textAlignment w:val="auto"/>
        <w:rPr>
          <w:rFonts w:hint="default" w:ascii="Calibri" w:hAnsi="Calibri" w:eastAsia="方正小标宋简体" w:cs="Times New Roman"/>
          <w:kern w:val="2"/>
          <w:sz w:val="32"/>
          <w:szCs w:val="32"/>
        </w:rPr>
      </w:pPr>
      <w:r>
        <w:rPr>
          <w:rFonts w:hint="default" w:ascii="Calibri" w:hAnsi="Calibri" w:eastAsia="方正小标宋简体" w:cs="Times New Roman"/>
          <w:kern w:val="2"/>
          <w:sz w:val="32"/>
          <w:szCs w:val="32"/>
          <w:lang w:val="en-US" w:eastAsia="zh-CN" w:bidi="ar"/>
        </w:rPr>
        <w:t xml:space="preserve"> </w:t>
      </w:r>
      <w:bookmarkStart w:id="1" w:name="_GoBack"/>
      <w:bookmarkEnd w:id="1"/>
    </w:p>
    <w:p>
      <w:pPr>
        <w:pStyle w:val="2"/>
        <w:keepNext w:val="0"/>
        <w:keepLines w:val="0"/>
        <w:pageBreakBefore w:val="0"/>
        <w:widowControl/>
        <w:suppressLineNumbers w:val="0"/>
        <w:kinsoku/>
        <w:wordWrap/>
        <w:overflowPunct/>
        <w:topLinePunct w:val="0"/>
        <w:autoSpaceDN/>
        <w:bidi w:val="0"/>
        <w:snapToGrid w:val="0"/>
        <w:spacing w:before="0" w:beforeAutospacing="0" w:after="0" w:afterAutospacing="0" w:line="560" w:lineRule="exact"/>
        <w:ind w:left="0" w:right="0" w:firstLineChars="200"/>
        <w:jc w:val="both"/>
        <w:textAlignment w:val="auto"/>
        <w:rPr>
          <w:rFonts w:hint="default" w:ascii="黑体" w:hAnsi="黑体" w:eastAsia="黑体" w:cs="黑体"/>
          <w:kern w:val="2"/>
          <w:sz w:val="32"/>
          <w:szCs w:val="32"/>
          <w:lang w:val="en-US" w:eastAsia="zh-CN" w:bidi="ar"/>
        </w:rPr>
      </w:pPr>
      <w:r>
        <w:rPr>
          <w:rFonts w:hint="default" w:ascii="黑体" w:hAnsi="黑体" w:eastAsia="黑体" w:cs="黑体"/>
          <w:kern w:val="2"/>
          <w:sz w:val="32"/>
          <w:szCs w:val="32"/>
          <w:lang w:val="en-US" w:eastAsia="zh-CN" w:bidi="ar"/>
        </w:rPr>
        <w:t xml:space="preserve">1 </w:t>
      </w:r>
      <w:r>
        <w:rPr>
          <w:rFonts w:hint="eastAsia" w:ascii="黑体" w:hAnsi="黑体" w:eastAsia="黑体" w:cs="黑体"/>
          <w:kern w:val="2"/>
          <w:sz w:val="32"/>
          <w:szCs w:val="32"/>
          <w:lang w:val="en-US" w:eastAsia="zh-CN" w:bidi="ar"/>
        </w:rPr>
        <w:t>抽样方法</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以随机抽样的方式在被抽样生产者、销售者的待销产品中抽取。</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随机数一般可使用随机数表等方法产生。</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每批次产品抽取样品</w:t>
      </w:r>
      <w:r>
        <w:rPr>
          <w:rFonts w:hint="default" w:ascii="仿宋_GB2312" w:hAnsi="仿宋_GB2312" w:eastAsia="仿宋_GB2312" w:cs="仿宋_GB2312"/>
          <w:color w:val="000000"/>
          <w:kern w:val="2"/>
          <w:sz w:val="32"/>
          <w:szCs w:val="32"/>
          <w:lang w:val="en-US" w:eastAsia="zh-CN" w:bidi="ar"/>
        </w:rPr>
        <w:t>3</w:t>
      </w:r>
      <w:r>
        <w:rPr>
          <w:rFonts w:hint="eastAsia" w:ascii="仿宋_GB2312" w:hAnsi="仿宋_GB2312" w:eastAsia="仿宋_GB2312" w:cs="仿宋_GB2312"/>
          <w:color w:val="000000"/>
          <w:kern w:val="2"/>
          <w:sz w:val="32"/>
          <w:szCs w:val="32"/>
          <w:lang w:val="en-US" w:eastAsia="zh-CN" w:bidi="ar"/>
        </w:rPr>
        <w:t>个，其中</w:t>
      </w:r>
      <w:r>
        <w:rPr>
          <w:rFonts w:hint="default" w:ascii="仿宋_GB2312" w:hAnsi="仿宋_GB2312" w:eastAsia="仿宋_GB2312" w:cs="仿宋_GB2312"/>
          <w:color w:val="000000"/>
          <w:kern w:val="2"/>
          <w:sz w:val="32"/>
          <w:szCs w:val="32"/>
          <w:lang w:val="en-US" w:eastAsia="zh-CN" w:bidi="ar"/>
        </w:rPr>
        <w:t>2</w:t>
      </w:r>
      <w:r>
        <w:rPr>
          <w:rFonts w:hint="eastAsia" w:ascii="仿宋_GB2312" w:hAnsi="仿宋_GB2312" w:eastAsia="仿宋_GB2312" w:cs="仿宋_GB2312"/>
          <w:color w:val="000000"/>
          <w:kern w:val="2"/>
          <w:sz w:val="32"/>
          <w:szCs w:val="32"/>
          <w:lang w:val="en-US" w:eastAsia="zh-CN" w:bidi="ar"/>
        </w:rPr>
        <w:t>个作为检验样品，</w:t>
      </w:r>
      <w:r>
        <w:rPr>
          <w:rFonts w:hint="default" w:ascii="仿宋_GB2312" w:hAnsi="仿宋_GB2312" w:eastAsia="仿宋_GB2312" w:cs="仿宋_GB2312"/>
          <w:color w:val="000000"/>
          <w:kern w:val="2"/>
          <w:sz w:val="32"/>
          <w:szCs w:val="32"/>
          <w:lang w:val="en-US" w:eastAsia="zh-CN" w:bidi="ar"/>
        </w:rPr>
        <w:t>1</w:t>
      </w:r>
      <w:r>
        <w:rPr>
          <w:rFonts w:hint="eastAsia" w:ascii="仿宋_GB2312" w:hAnsi="仿宋_GB2312" w:eastAsia="仿宋_GB2312" w:cs="仿宋_GB2312"/>
          <w:color w:val="000000"/>
          <w:kern w:val="2"/>
          <w:sz w:val="32"/>
          <w:szCs w:val="32"/>
          <w:lang w:val="en-US" w:eastAsia="zh-CN" w:bidi="ar"/>
        </w:rPr>
        <w:t>个作为备用样品。</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000000"/>
          <w:kern w:val="2"/>
          <w:sz w:val="32"/>
          <w:szCs w:val="32"/>
          <w:lang w:val="en-US" w:eastAsia="zh-CN" w:bidi="ar"/>
        </w:rPr>
      </w:pPr>
    </w:p>
    <w:p>
      <w:pPr>
        <w:pStyle w:val="2"/>
        <w:keepNext w:val="0"/>
        <w:keepLines w:val="0"/>
        <w:pageBreakBefore w:val="0"/>
        <w:widowControl/>
        <w:suppressLineNumbers w:val="0"/>
        <w:kinsoku/>
        <w:wordWrap/>
        <w:overflowPunct/>
        <w:topLinePunct w:val="0"/>
        <w:autoSpaceDN/>
        <w:bidi w:val="0"/>
        <w:snapToGrid w:val="0"/>
        <w:spacing w:before="0" w:beforeAutospacing="0" w:after="0" w:afterAutospacing="0" w:line="560" w:lineRule="exact"/>
        <w:ind w:left="0" w:right="0" w:firstLineChars="200"/>
        <w:jc w:val="both"/>
        <w:textAlignment w:val="auto"/>
        <w:rPr>
          <w:rFonts w:hint="default" w:ascii="黑体" w:hAnsi="黑体" w:eastAsia="黑体" w:cs="黑体"/>
          <w:kern w:val="2"/>
          <w:sz w:val="32"/>
          <w:szCs w:val="32"/>
          <w:lang w:val="en-US" w:eastAsia="zh-CN" w:bidi="ar"/>
        </w:rPr>
      </w:pPr>
      <w:r>
        <w:rPr>
          <w:rFonts w:hint="default" w:ascii="黑体" w:hAnsi="黑体" w:eastAsia="黑体" w:cs="黑体"/>
          <w:kern w:val="2"/>
          <w:sz w:val="32"/>
          <w:szCs w:val="32"/>
          <w:lang w:val="en-US" w:eastAsia="zh-CN" w:bidi="ar"/>
        </w:rPr>
        <w:t xml:space="preserve">2 </w:t>
      </w:r>
      <w:r>
        <w:rPr>
          <w:rFonts w:hint="eastAsia" w:ascii="黑体" w:hAnsi="黑体" w:eastAsia="黑体" w:cs="黑体"/>
          <w:kern w:val="2"/>
          <w:sz w:val="32"/>
          <w:szCs w:val="32"/>
          <w:lang w:val="en-US" w:eastAsia="zh-CN" w:bidi="ar"/>
        </w:rPr>
        <w:t>检验依据</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表1玩具检测项目及检验方法</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80"/>
        <w:gridCol w:w="3820"/>
        <w:gridCol w:w="3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序号</w:t>
            </w:r>
          </w:p>
        </w:tc>
        <w:tc>
          <w:tcPr>
            <w:tcW w:w="22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检验项目</w:t>
            </w:r>
          </w:p>
        </w:tc>
        <w:tc>
          <w:tcPr>
            <w:tcW w:w="21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500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一、机械与物理性能（正常使用和可预见的合理滥用）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1</w:t>
            </w:r>
          </w:p>
        </w:tc>
        <w:tc>
          <w:tcPr>
            <w:tcW w:w="22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材料</w:t>
            </w:r>
          </w:p>
        </w:tc>
        <w:tc>
          <w:tcPr>
            <w:tcW w:w="21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2</w:t>
            </w:r>
          </w:p>
        </w:tc>
        <w:tc>
          <w:tcPr>
            <w:tcW w:w="22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小零件</w:t>
            </w:r>
          </w:p>
        </w:tc>
        <w:tc>
          <w:tcPr>
            <w:tcW w:w="21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3</w:t>
            </w:r>
          </w:p>
        </w:tc>
        <w:tc>
          <w:tcPr>
            <w:tcW w:w="22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挤压玩具、摇铃及类似玩具</w:t>
            </w:r>
          </w:p>
        </w:tc>
        <w:tc>
          <w:tcPr>
            <w:tcW w:w="21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4</w:t>
            </w:r>
          </w:p>
        </w:tc>
        <w:tc>
          <w:tcPr>
            <w:tcW w:w="22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小球</w:t>
            </w:r>
          </w:p>
        </w:tc>
        <w:tc>
          <w:tcPr>
            <w:tcW w:w="21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5</w:t>
            </w:r>
          </w:p>
        </w:tc>
        <w:tc>
          <w:tcPr>
            <w:tcW w:w="22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毛球</w:t>
            </w:r>
          </w:p>
        </w:tc>
        <w:tc>
          <w:tcPr>
            <w:tcW w:w="21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6</w:t>
            </w:r>
          </w:p>
        </w:tc>
        <w:tc>
          <w:tcPr>
            <w:tcW w:w="22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学前玩偶</w:t>
            </w:r>
          </w:p>
        </w:tc>
        <w:tc>
          <w:tcPr>
            <w:tcW w:w="21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trHeight w:val="340" w:hRule="atLeast"/>
          <w:jc w:val="center"/>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7</w:t>
            </w:r>
          </w:p>
        </w:tc>
        <w:tc>
          <w:tcPr>
            <w:tcW w:w="22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玩具奶嘴</w:t>
            </w:r>
          </w:p>
        </w:tc>
        <w:tc>
          <w:tcPr>
            <w:tcW w:w="21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8</w:t>
            </w:r>
          </w:p>
        </w:tc>
        <w:tc>
          <w:tcPr>
            <w:tcW w:w="22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气球</w:t>
            </w:r>
          </w:p>
        </w:tc>
        <w:tc>
          <w:tcPr>
            <w:tcW w:w="21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9</w:t>
            </w:r>
          </w:p>
        </w:tc>
        <w:tc>
          <w:tcPr>
            <w:tcW w:w="22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弹珠</w:t>
            </w:r>
          </w:p>
        </w:tc>
        <w:tc>
          <w:tcPr>
            <w:tcW w:w="21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10</w:t>
            </w:r>
          </w:p>
        </w:tc>
        <w:tc>
          <w:tcPr>
            <w:tcW w:w="22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半球形玩具</w:t>
            </w:r>
          </w:p>
        </w:tc>
        <w:tc>
          <w:tcPr>
            <w:tcW w:w="21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11</w:t>
            </w:r>
          </w:p>
        </w:tc>
        <w:tc>
          <w:tcPr>
            <w:tcW w:w="22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可触及的金属或玻璃边缘</w:t>
            </w:r>
          </w:p>
        </w:tc>
        <w:tc>
          <w:tcPr>
            <w:tcW w:w="21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12</w:t>
            </w:r>
          </w:p>
        </w:tc>
        <w:tc>
          <w:tcPr>
            <w:tcW w:w="22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功能性锐利边缘</w:t>
            </w:r>
          </w:p>
        </w:tc>
        <w:tc>
          <w:tcPr>
            <w:tcW w:w="21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bookmarkStart w:id="0" w:name="_Hlk28281258"/>
            <w:r>
              <w:rPr>
                <w:rFonts w:hint="eastAsia" w:ascii="仿宋_GB2312" w:hAnsi="仿宋_GB2312" w:eastAsia="仿宋_GB2312" w:cs="仿宋_GB2312"/>
                <w:color w:val="000000"/>
                <w:kern w:val="2"/>
                <w:sz w:val="32"/>
                <w:szCs w:val="32"/>
                <w:lang w:val="en-US" w:eastAsia="zh-CN" w:bidi="ar"/>
              </w:rPr>
              <w:t>13</w:t>
            </w:r>
            <w:bookmarkEnd w:id="0"/>
          </w:p>
        </w:tc>
        <w:tc>
          <w:tcPr>
            <w:tcW w:w="22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金属玩具边缘</w:t>
            </w:r>
          </w:p>
        </w:tc>
        <w:tc>
          <w:tcPr>
            <w:tcW w:w="21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14</w:t>
            </w:r>
          </w:p>
        </w:tc>
        <w:tc>
          <w:tcPr>
            <w:tcW w:w="22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模塑玩具边缘</w:t>
            </w:r>
          </w:p>
        </w:tc>
        <w:tc>
          <w:tcPr>
            <w:tcW w:w="21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15</w:t>
            </w:r>
          </w:p>
        </w:tc>
        <w:tc>
          <w:tcPr>
            <w:tcW w:w="22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外露螺栓或螺纹杆的边缘</w:t>
            </w:r>
          </w:p>
        </w:tc>
        <w:tc>
          <w:tcPr>
            <w:tcW w:w="21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16</w:t>
            </w:r>
          </w:p>
        </w:tc>
        <w:tc>
          <w:tcPr>
            <w:tcW w:w="22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可触及的锐利尖端</w:t>
            </w:r>
          </w:p>
        </w:tc>
        <w:tc>
          <w:tcPr>
            <w:tcW w:w="21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7" w:hRule="atLeast"/>
          <w:jc w:val="center"/>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17</w:t>
            </w:r>
          </w:p>
        </w:tc>
        <w:tc>
          <w:tcPr>
            <w:tcW w:w="22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功能性锐利尖端</w:t>
            </w:r>
          </w:p>
        </w:tc>
        <w:tc>
          <w:tcPr>
            <w:tcW w:w="21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18</w:t>
            </w:r>
          </w:p>
        </w:tc>
        <w:tc>
          <w:tcPr>
            <w:tcW w:w="22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木制玩具</w:t>
            </w:r>
          </w:p>
        </w:tc>
        <w:tc>
          <w:tcPr>
            <w:tcW w:w="21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19</w:t>
            </w:r>
          </w:p>
        </w:tc>
        <w:tc>
          <w:tcPr>
            <w:tcW w:w="22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突出物</w:t>
            </w:r>
          </w:p>
        </w:tc>
        <w:tc>
          <w:tcPr>
            <w:tcW w:w="21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20</w:t>
            </w:r>
          </w:p>
        </w:tc>
        <w:tc>
          <w:tcPr>
            <w:tcW w:w="22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把手和其他类似的管子</w:t>
            </w:r>
          </w:p>
        </w:tc>
        <w:tc>
          <w:tcPr>
            <w:tcW w:w="21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21</w:t>
            </w:r>
          </w:p>
        </w:tc>
        <w:tc>
          <w:tcPr>
            <w:tcW w:w="22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金属丝和杆件</w:t>
            </w:r>
          </w:p>
        </w:tc>
        <w:tc>
          <w:tcPr>
            <w:tcW w:w="21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22</w:t>
            </w:r>
          </w:p>
        </w:tc>
        <w:tc>
          <w:tcPr>
            <w:tcW w:w="22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用于包装或玩具中的塑料袋或塑料薄膜</w:t>
            </w:r>
          </w:p>
        </w:tc>
        <w:tc>
          <w:tcPr>
            <w:tcW w:w="21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23</w:t>
            </w:r>
          </w:p>
        </w:tc>
        <w:tc>
          <w:tcPr>
            <w:tcW w:w="22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18个月以下儿童使用的玩具上的绳索和弹性绳</w:t>
            </w:r>
          </w:p>
        </w:tc>
        <w:tc>
          <w:tcPr>
            <w:tcW w:w="21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24</w:t>
            </w:r>
          </w:p>
        </w:tc>
        <w:tc>
          <w:tcPr>
            <w:tcW w:w="22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18个月以下儿童使用的玩具上的自回缩绳</w:t>
            </w:r>
          </w:p>
        </w:tc>
        <w:tc>
          <w:tcPr>
            <w:tcW w:w="21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25</w:t>
            </w:r>
          </w:p>
        </w:tc>
        <w:tc>
          <w:tcPr>
            <w:tcW w:w="22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36个月以下儿童使用的拖拉玩具上的绳索或弹性绳</w:t>
            </w:r>
          </w:p>
        </w:tc>
        <w:tc>
          <w:tcPr>
            <w:tcW w:w="21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26</w:t>
            </w:r>
          </w:p>
        </w:tc>
        <w:tc>
          <w:tcPr>
            <w:tcW w:w="22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玩具袋上的绳索</w:t>
            </w:r>
          </w:p>
        </w:tc>
        <w:tc>
          <w:tcPr>
            <w:tcW w:w="21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27</w:t>
            </w:r>
          </w:p>
        </w:tc>
        <w:tc>
          <w:tcPr>
            <w:tcW w:w="22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童床或游戏围栏上的悬挂玩具</w:t>
            </w:r>
          </w:p>
        </w:tc>
        <w:tc>
          <w:tcPr>
            <w:tcW w:w="21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28</w:t>
            </w:r>
          </w:p>
        </w:tc>
        <w:tc>
          <w:tcPr>
            <w:tcW w:w="22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童床上的健身玩具及类似玩具</w:t>
            </w:r>
          </w:p>
        </w:tc>
        <w:tc>
          <w:tcPr>
            <w:tcW w:w="21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29</w:t>
            </w:r>
          </w:p>
        </w:tc>
        <w:tc>
          <w:tcPr>
            <w:tcW w:w="22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飞行玩具的绳索、细绳或线</w:t>
            </w:r>
          </w:p>
        </w:tc>
        <w:tc>
          <w:tcPr>
            <w:tcW w:w="21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30</w:t>
            </w:r>
          </w:p>
        </w:tc>
        <w:tc>
          <w:tcPr>
            <w:tcW w:w="22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玩具推车、玩具婴儿车及类似玩具</w:t>
            </w:r>
          </w:p>
        </w:tc>
        <w:tc>
          <w:tcPr>
            <w:tcW w:w="21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31</w:t>
            </w:r>
          </w:p>
        </w:tc>
        <w:tc>
          <w:tcPr>
            <w:tcW w:w="22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带有折叠机构的其他玩具</w:t>
            </w:r>
          </w:p>
        </w:tc>
        <w:tc>
          <w:tcPr>
            <w:tcW w:w="21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32</w:t>
            </w:r>
          </w:p>
        </w:tc>
        <w:tc>
          <w:tcPr>
            <w:tcW w:w="22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铰链间隙</w:t>
            </w:r>
          </w:p>
        </w:tc>
        <w:tc>
          <w:tcPr>
            <w:tcW w:w="21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33</w:t>
            </w:r>
          </w:p>
        </w:tc>
        <w:tc>
          <w:tcPr>
            <w:tcW w:w="22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刚性材料上的圆孔</w:t>
            </w:r>
          </w:p>
        </w:tc>
        <w:tc>
          <w:tcPr>
            <w:tcW w:w="21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34</w:t>
            </w:r>
          </w:p>
        </w:tc>
        <w:tc>
          <w:tcPr>
            <w:tcW w:w="22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活动部件间的间隙</w:t>
            </w:r>
          </w:p>
        </w:tc>
        <w:tc>
          <w:tcPr>
            <w:tcW w:w="21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35</w:t>
            </w:r>
          </w:p>
        </w:tc>
        <w:tc>
          <w:tcPr>
            <w:tcW w:w="22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其他驱动机构</w:t>
            </w:r>
          </w:p>
        </w:tc>
        <w:tc>
          <w:tcPr>
            <w:tcW w:w="21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36</w:t>
            </w:r>
          </w:p>
        </w:tc>
        <w:tc>
          <w:tcPr>
            <w:tcW w:w="22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发条钥匙</w:t>
            </w:r>
          </w:p>
        </w:tc>
        <w:tc>
          <w:tcPr>
            <w:tcW w:w="21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37</w:t>
            </w:r>
          </w:p>
        </w:tc>
        <w:tc>
          <w:tcPr>
            <w:tcW w:w="22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弹簧</w:t>
            </w:r>
          </w:p>
        </w:tc>
        <w:tc>
          <w:tcPr>
            <w:tcW w:w="21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38</w:t>
            </w:r>
          </w:p>
        </w:tc>
        <w:tc>
          <w:tcPr>
            <w:tcW w:w="22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封闭式玩具的通风装置</w:t>
            </w:r>
          </w:p>
        </w:tc>
        <w:tc>
          <w:tcPr>
            <w:tcW w:w="21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39</w:t>
            </w:r>
          </w:p>
        </w:tc>
        <w:tc>
          <w:tcPr>
            <w:tcW w:w="22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封闭式玩具的关闭件</w:t>
            </w:r>
          </w:p>
        </w:tc>
        <w:tc>
          <w:tcPr>
            <w:tcW w:w="21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40</w:t>
            </w:r>
          </w:p>
        </w:tc>
        <w:tc>
          <w:tcPr>
            <w:tcW w:w="22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封闭头部的玩具</w:t>
            </w:r>
          </w:p>
        </w:tc>
        <w:tc>
          <w:tcPr>
            <w:tcW w:w="21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41</w:t>
            </w:r>
          </w:p>
        </w:tc>
        <w:tc>
          <w:tcPr>
            <w:tcW w:w="22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仿制防护玩具（头盔、帽子、护目镜）</w:t>
            </w:r>
          </w:p>
        </w:tc>
        <w:tc>
          <w:tcPr>
            <w:tcW w:w="21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42</w:t>
            </w:r>
          </w:p>
        </w:tc>
        <w:tc>
          <w:tcPr>
            <w:tcW w:w="22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弹射玩具的一般要求</w:t>
            </w:r>
          </w:p>
        </w:tc>
        <w:tc>
          <w:tcPr>
            <w:tcW w:w="21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43</w:t>
            </w:r>
          </w:p>
        </w:tc>
        <w:tc>
          <w:tcPr>
            <w:tcW w:w="22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蓄能弹射玩具</w:t>
            </w:r>
          </w:p>
        </w:tc>
        <w:tc>
          <w:tcPr>
            <w:tcW w:w="21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44</w:t>
            </w:r>
          </w:p>
        </w:tc>
        <w:tc>
          <w:tcPr>
            <w:tcW w:w="22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非蓄能弹射玩具</w:t>
            </w:r>
          </w:p>
        </w:tc>
        <w:tc>
          <w:tcPr>
            <w:tcW w:w="21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45</w:t>
            </w:r>
          </w:p>
        </w:tc>
        <w:tc>
          <w:tcPr>
            <w:tcW w:w="22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水上玩具</w:t>
            </w:r>
          </w:p>
        </w:tc>
        <w:tc>
          <w:tcPr>
            <w:tcW w:w="21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46</w:t>
            </w:r>
          </w:p>
        </w:tc>
        <w:tc>
          <w:tcPr>
            <w:tcW w:w="22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热源玩具</w:t>
            </w:r>
          </w:p>
        </w:tc>
        <w:tc>
          <w:tcPr>
            <w:tcW w:w="21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47</w:t>
            </w:r>
          </w:p>
        </w:tc>
        <w:tc>
          <w:tcPr>
            <w:tcW w:w="22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液体填充玩具</w:t>
            </w:r>
          </w:p>
        </w:tc>
        <w:tc>
          <w:tcPr>
            <w:tcW w:w="21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48</w:t>
            </w:r>
          </w:p>
        </w:tc>
        <w:tc>
          <w:tcPr>
            <w:tcW w:w="22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口动玩具</w:t>
            </w:r>
          </w:p>
        </w:tc>
        <w:tc>
          <w:tcPr>
            <w:tcW w:w="21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49</w:t>
            </w:r>
          </w:p>
        </w:tc>
        <w:tc>
          <w:tcPr>
            <w:tcW w:w="22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玩具滚轴溜冰鞋、单排滚轴溜冰鞋及玩具滑板</w:t>
            </w:r>
          </w:p>
        </w:tc>
        <w:tc>
          <w:tcPr>
            <w:tcW w:w="21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50</w:t>
            </w:r>
          </w:p>
        </w:tc>
        <w:tc>
          <w:tcPr>
            <w:tcW w:w="22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玩具火药帽</w:t>
            </w:r>
          </w:p>
        </w:tc>
        <w:tc>
          <w:tcPr>
            <w:tcW w:w="21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51</w:t>
            </w:r>
          </w:p>
        </w:tc>
        <w:tc>
          <w:tcPr>
            <w:tcW w:w="22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声响要求</w:t>
            </w:r>
          </w:p>
        </w:tc>
        <w:tc>
          <w:tcPr>
            <w:tcW w:w="21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52</w:t>
            </w:r>
          </w:p>
        </w:tc>
        <w:tc>
          <w:tcPr>
            <w:tcW w:w="22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磁体和磁性部件</w:t>
            </w:r>
          </w:p>
        </w:tc>
        <w:tc>
          <w:tcPr>
            <w:tcW w:w="21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500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二、易燃性能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1</w:t>
            </w:r>
          </w:p>
        </w:tc>
        <w:tc>
          <w:tcPr>
            <w:tcW w:w="22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一般要求</w:t>
            </w:r>
          </w:p>
        </w:tc>
        <w:tc>
          <w:tcPr>
            <w:tcW w:w="21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GB 6675.3—2014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2</w:t>
            </w:r>
          </w:p>
        </w:tc>
        <w:tc>
          <w:tcPr>
            <w:tcW w:w="22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头戴玩具</w:t>
            </w:r>
          </w:p>
        </w:tc>
        <w:tc>
          <w:tcPr>
            <w:tcW w:w="21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GB 6675.3—2014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3</w:t>
            </w:r>
          </w:p>
        </w:tc>
        <w:tc>
          <w:tcPr>
            <w:tcW w:w="22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化妆服饰</w:t>
            </w:r>
          </w:p>
        </w:tc>
        <w:tc>
          <w:tcPr>
            <w:tcW w:w="21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GB 6675.3—2014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4</w:t>
            </w:r>
          </w:p>
        </w:tc>
        <w:tc>
          <w:tcPr>
            <w:tcW w:w="22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供儿童进入的玩具</w:t>
            </w:r>
          </w:p>
        </w:tc>
        <w:tc>
          <w:tcPr>
            <w:tcW w:w="21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GB 6675.3—2014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5</w:t>
            </w:r>
          </w:p>
        </w:tc>
        <w:tc>
          <w:tcPr>
            <w:tcW w:w="22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具有毛绒或纺织表面的软体填充玩具（动物和娃娃等）</w:t>
            </w:r>
          </w:p>
        </w:tc>
        <w:tc>
          <w:tcPr>
            <w:tcW w:w="21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GB 6675.3—2014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500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三、特定元素的迁移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1</w:t>
            </w:r>
          </w:p>
        </w:tc>
        <w:tc>
          <w:tcPr>
            <w:tcW w:w="22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最大限量要求</w:t>
            </w:r>
          </w:p>
        </w:tc>
        <w:tc>
          <w:tcPr>
            <w:tcW w:w="21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GB 6675.4—2014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00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四、增塑剂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1</w:t>
            </w:r>
          </w:p>
        </w:tc>
        <w:tc>
          <w:tcPr>
            <w:tcW w:w="22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限定增塑剂限量要求</w:t>
            </w:r>
          </w:p>
        </w:tc>
        <w:tc>
          <w:tcPr>
            <w:tcW w:w="21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GB/T 22048—2022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21" w:hRule="atLeast"/>
          <w:jc w:val="center"/>
        </w:trPr>
        <w:tc>
          <w:tcPr>
            <w:tcW w:w="500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五、电性能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1</w:t>
            </w:r>
          </w:p>
        </w:tc>
        <w:tc>
          <w:tcPr>
            <w:tcW w:w="22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标识和说明</w:t>
            </w:r>
          </w:p>
        </w:tc>
        <w:tc>
          <w:tcPr>
            <w:tcW w:w="21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GB 19865—2005（含第1号修改单）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2</w:t>
            </w:r>
          </w:p>
        </w:tc>
        <w:tc>
          <w:tcPr>
            <w:tcW w:w="22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输入功率</w:t>
            </w:r>
          </w:p>
        </w:tc>
        <w:tc>
          <w:tcPr>
            <w:tcW w:w="21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GB 19865—2005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3</w:t>
            </w:r>
          </w:p>
        </w:tc>
        <w:tc>
          <w:tcPr>
            <w:tcW w:w="22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发热和非正常工作</w:t>
            </w:r>
          </w:p>
        </w:tc>
        <w:tc>
          <w:tcPr>
            <w:tcW w:w="21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GB 19865—2005（含第1号修改单）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4</w:t>
            </w:r>
          </w:p>
        </w:tc>
        <w:tc>
          <w:tcPr>
            <w:tcW w:w="22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工作温度下的电气强度</w:t>
            </w:r>
          </w:p>
        </w:tc>
        <w:tc>
          <w:tcPr>
            <w:tcW w:w="21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GB 19865—2005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5</w:t>
            </w:r>
          </w:p>
        </w:tc>
        <w:tc>
          <w:tcPr>
            <w:tcW w:w="22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耐潮湿</w:t>
            </w:r>
          </w:p>
        </w:tc>
        <w:tc>
          <w:tcPr>
            <w:tcW w:w="21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GB 19865—2005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6</w:t>
            </w:r>
          </w:p>
        </w:tc>
        <w:tc>
          <w:tcPr>
            <w:tcW w:w="22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室温下的电气强度</w:t>
            </w:r>
          </w:p>
        </w:tc>
        <w:tc>
          <w:tcPr>
            <w:tcW w:w="21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GB 19865—2005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7</w:t>
            </w:r>
          </w:p>
        </w:tc>
        <w:tc>
          <w:tcPr>
            <w:tcW w:w="22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机械强度</w:t>
            </w:r>
          </w:p>
        </w:tc>
        <w:tc>
          <w:tcPr>
            <w:tcW w:w="21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GB 19865—2005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8</w:t>
            </w:r>
          </w:p>
        </w:tc>
        <w:tc>
          <w:tcPr>
            <w:tcW w:w="22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结构</w:t>
            </w:r>
          </w:p>
        </w:tc>
        <w:tc>
          <w:tcPr>
            <w:tcW w:w="21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GB 19865—2005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9</w:t>
            </w:r>
          </w:p>
        </w:tc>
        <w:tc>
          <w:tcPr>
            <w:tcW w:w="22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软线和电线的保护</w:t>
            </w:r>
          </w:p>
        </w:tc>
        <w:tc>
          <w:tcPr>
            <w:tcW w:w="21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GB 19865—2005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10</w:t>
            </w:r>
          </w:p>
        </w:tc>
        <w:tc>
          <w:tcPr>
            <w:tcW w:w="22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螺钉和连接</w:t>
            </w:r>
          </w:p>
        </w:tc>
        <w:tc>
          <w:tcPr>
            <w:tcW w:w="21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GB 19865—2005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11</w:t>
            </w:r>
          </w:p>
        </w:tc>
        <w:tc>
          <w:tcPr>
            <w:tcW w:w="22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电气间隙和爬电距离</w:t>
            </w:r>
          </w:p>
        </w:tc>
        <w:tc>
          <w:tcPr>
            <w:tcW w:w="21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GB 19865—2005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12</w:t>
            </w:r>
          </w:p>
        </w:tc>
        <w:tc>
          <w:tcPr>
            <w:tcW w:w="22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耐热和耐燃</w:t>
            </w:r>
          </w:p>
        </w:tc>
        <w:tc>
          <w:tcPr>
            <w:tcW w:w="21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GB 19865—2005</w:t>
            </w:r>
          </w:p>
        </w:tc>
      </w:tr>
    </w:tbl>
    <w:p>
      <w:pPr>
        <w:keepNext w:val="0"/>
        <w:keepLines w:val="0"/>
        <w:pageBreakBefore w:val="0"/>
        <w:widowControl w:val="0"/>
        <w:suppressLineNumbers w:val="0"/>
        <w:kinsoku/>
        <w:wordWrap/>
        <w:overflowPunct/>
        <w:topLinePunct w:val="0"/>
        <w:autoSpaceDN/>
        <w:bidi w:val="0"/>
        <w:snapToGrid w:val="0"/>
        <w:spacing w:before="0" w:beforeAutospacing="0" w:after="0" w:afterAutospacing="0" w:line="560" w:lineRule="exact"/>
        <w:ind w:left="0" w:right="0"/>
        <w:jc w:val="both"/>
        <w:textAlignment w:val="auto"/>
        <w:rPr>
          <w:rFonts w:hint="default" w:ascii="Calibri" w:hAnsi="Calibri" w:eastAsia="黑体" w:cs="Times New Roman"/>
          <w:kern w:val="2"/>
          <w:sz w:val="21"/>
          <w:szCs w:val="21"/>
        </w:rPr>
      </w:pPr>
      <w:r>
        <w:rPr>
          <w:rFonts w:hint="default" w:ascii="Calibri" w:hAnsi="Calibri" w:eastAsia="黑体" w:cs="Times New Roman"/>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执行企业标准、团体标准、地方标准的产品，检验项目参照上述内容执行。</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凡是注日期的文件，其随后所有的修改单（不包括勘误的内容）或修订版不适用于本细则。凡是不注日期的文件，其最新版本适用于本细则。</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000000"/>
          <w:kern w:val="2"/>
          <w:sz w:val="32"/>
          <w:szCs w:val="32"/>
          <w:lang w:val="en-US" w:eastAsia="zh-CN" w:bidi="ar"/>
        </w:rPr>
      </w:pPr>
    </w:p>
    <w:p>
      <w:pPr>
        <w:pStyle w:val="2"/>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Chars="200"/>
        <w:jc w:val="both"/>
        <w:textAlignment w:val="auto"/>
        <w:rPr>
          <w:rFonts w:hint="default" w:ascii="黑体" w:hAnsi="黑体" w:eastAsia="黑体" w:cs="黑体"/>
          <w:kern w:val="2"/>
          <w:sz w:val="32"/>
          <w:szCs w:val="32"/>
          <w:lang w:val="en-US" w:eastAsia="zh-CN" w:bidi="ar"/>
        </w:rPr>
      </w:pPr>
      <w:r>
        <w:rPr>
          <w:rFonts w:hint="default" w:ascii="黑体" w:hAnsi="黑体" w:eastAsia="黑体" w:cs="黑体"/>
          <w:kern w:val="2"/>
          <w:sz w:val="32"/>
          <w:szCs w:val="32"/>
          <w:lang w:val="en-US" w:eastAsia="zh-CN" w:bidi="ar"/>
        </w:rPr>
        <w:t xml:space="preserve">3 </w:t>
      </w:r>
      <w:r>
        <w:rPr>
          <w:rFonts w:hint="eastAsia" w:ascii="黑体" w:hAnsi="黑体" w:eastAsia="黑体" w:cs="黑体"/>
          <w:kern w:val="2"/>
          <w:sz w:val="32"/>
          <w:szCs w:val="32"/>
          <w:lang w:val="en-US" w:eastAsia="zh-CN" w:bidi="ar"/>
        </w:rPr>
        <w:t>判定规则</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kern w:val="2"/>
          <w:sz w:val="32"/>
          <w:szCs w:val="32"/>
          <w:lang w:val="en-US" w:eastAsia="zh-CN" w:bidi="ar"/>
        </w:rPr>
      </w:pPr>
      <w:r>
        <w:rPr>
          <w:rFonts w:hint="default" w:ascii="仿宋_GB2312" w:hAnsi="仿宋_GB2312" w:eastAsia="仿宋_GB2312" w:cs="仿宋_GB2312"/>
          <w:kern w:val="2"/>
          <w:sz w:val="32"/>
          <w:szCs w:val="32"/>
          <w:lang w:val="en-US" w:eastAsia="zh-CN" w:bidi="ar"/>
        </w:rPr>
        <w:t>3.1</w:t>
      </w:r>
      <w:r>
        <w:rPr>
          <w:rFonts w:hint="eastAsia" w:ascii="仿宋_GB2312" w:hAnsi="仿宋_GB2312" w:eastAsia="仿宋_GB2312" w:cs="仿宋_GB2312"/>
          <w:kern w:val="2"/>
          <w:sz w:val="32"/>
          <w:szCs w:val="32"/>
          <w:lang w:val="en-US" w:eastAsia="zh-CN" w:bidi="ar"/>
        </w:rPr>
        <w:t>依据标准</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kern w:val="2"/>
          <w:sz w:val="32"/>
          <w:szCs w:val="32"/>
          <w:lang w:val="en-US" w:eastAsia="zh-CN" w:bidi="ar"/>
        </w:rPr>
      </w:pPr>
      <w:r>
        <w:rPr>
          <w:rFonts w:hint="default" w:ascii="仿宋_GB2312" w:hAnsi="仿宋_GB2312" w:eastAsia="仿宋_GB2312" w:cs="仿宋_GB2312"/>
          <w:kern w:val="2"/>
          <w:sz w:val="32"/>
          <w:szCs w:val="32"/>
          <w:lang w:val="en-US" w:eastAsia="zh-CN" w:bidi="ar"/>
        </w:rPr>
        <w:t xml:space="preserve">GB 6675.1—2014 </w:t>
      </w:r>
      <w:r>
        <w:rPr>
          <w:rFonts w:hint="eastAsia" w:ascii="仿宋_GB2312" w:hAnsi="仿宋_GB2312" w:eastAsia="仿宋_GB2312" w:cs="仿宋_GB2312"/>
          <w:kern w:val="2"/>
          <w:sz w:val="32"/>
          <w:szCs w:val="32"/>
          <w:lang w:val="en-US" w:eastAsia="zh-CN" w:bidi="ar"/>
        </w:rPr>
        <w:t xml:space="preserve">玩具安全 </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第</w:t>
      </w:r>
      <w:r>
        <w:rPr>
          <w:rFonts w:hint="default" w:ascii="仿宋_GB2312" w:hAnsi="仿宋_GB2312" w:eastAsia="仿宋_GB2312" w:cs="仿宋_GB2312"/>
          <w:kern w:val="2"/>
          <w:sz w:val="32"/>
          <w:szCs w:val="32"/>
          <w:lang w:val="en-US" w:eastAsia="zh-CN" w:bidi="ar"/>
        </w:rPr>
        <w:t>1</w:t>
      </w:r>
      <w:r>
        <w:rPr>
          <w:rFonts w:hint="eastAsia" w:ascii="仿宋_GB2312" w:hAnsi="仿宋_GB2312" w:eastAsia="仿宋_GB2312" w:cs="仿宋_GB2312"/>
          <w:kern w:val="2"/>
          <w:sz w:val="32"/>
          <w:szCs w:val="32"/>
          <w:lang w:val="en-US" w:eastAsia="zh-CN" w:bidi="ar"/>
        </w:rPr>
        <w:t>部分：基本规范</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kern w:val="2"/>
          <w:sz w:val="32"/>
          <w:szCs w:val="32"/>
          <w:lang w:val="en-US" w:eastAsia="zh-CN" w:bidi="ar"/>
        </w:rPr>
      </w:pPr>
      <w:r>
        <w:rPr>
          <w:rFonts w:hint="default" w:ascii="仿宋_GB2312" w:hAnsi="仿宋_GB2312" w:eastAsia="仿宋_GB2312" w:cs="仿宋_GB2312"/>
          <w:kern w:val="2"/>
          <w:sz w:val="32"/>
          <w:szCs w:val="32"/>
          <w:lang w:val="en-US" w:eastAsia="zh-CN" w:bidi="ar"/>
        </w:rPr>
        <w:t xml:space="preserve">GB 6675.2—2014 </w:t>
      </w:r>
      <w:r>
        <w:rPr>
          <w:rFonts w:hint="eastAsia" w:ascii="仿宋_GB2312" w:hAnsi="仿宋_GB2312" w:eastAsia="仿宋_GB2312" w:cs="仿宋_GB2312"/>
          <w:kern w:val="2"/>
          <w:sz w:val="32"/>
          <w:szCs w:val="32"/>
          <w:lang w:val="en-US" w:eastAsia="zh-CN" w:bidi="ar"/>
        </w:rPr>
        <w:t>玩具安全  第</w:t>
      </w:r>
      <w:r>
        <w:rPr>
          <w:rFonts w:hint="default" w:ascii="仿宋_GB2312" w:hAnsi="仿宋_GB2312" w:eastAsia="仿宋_GB2312" w:cs="仿宋_GB2312"/>
          <w:kern w:val="2"/>
          <w:sz w:val="32"/>
          <w:szCs w:val="32"/>
          <w:lang w:val="en-US" w:eastAsia="zh-CN" w:bidi="ar"/>
        </w:rPr>
        <w:t>2</w:t>
      </w:r>
      <w:r>
        <w:rPr>
          <w:rFonts w:hint="eastAsia" w:ascii="仿宋_GB2312" w:hAnsi="仿宋_GB2312" w:eastAsia="仿宋_GB2312" w:cs="仿宋_GB2312"/>
          <w:kern w:val="2"/>
          <w:sz w:val="32"/>
          <w:szCs w:val="32"/>
          <w:lang w:val="en-US" w:eastAsia="zh-CN" w:bidi="ar"/>
        </w:rPr>
        <w:t>部分：机械与物理性能（含第</w:t>
      </w:r>
      <w:r>
        <w:rPr>
          <w:rFonts w:hint="default" w:ascii="仿宋_GB2312" w:hAnsi="仿宋_GB2312" w:eastAsia="仿宋_GB2312" w:cs="仿宋_GB2312"/>
          <w:kern w:val="2"/>
          <w:sz w:val="32"/>
          <w:szCs w:val="32"/>
          <w:lang w:val="en-US" w:eastAsia="zh-CN" w:bidi="ar"/>
        </w:rPr>
        <w:t>1</w:t>
      </w:r>
      <w:r>
        <w:rPr>
          <w:rFonts w:hint="eastAsia" w:ascii="仿宋_GB2312" w:hAnsi="仿宋_GB2312" w:eastAsia="仿宋_GB2312" w:cs="仿宋_GB2312"/>
          <w:kern w:val="2"/>
          <w:sz w:val="32"/>
          <w:szCs w:val="32"/>
          <w:lang w:val="en-US" w:eastAsia="zh-CN" w:bidi="ar"/>
        </w:rPr>
        <w:t>号修改单）</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kern w:val="2"/>
          <w:sz w:val="32"/>
          <w:szCs w:val="32"/>
          <w:lang w:val="en-US" w:eastAsia="zh-CN" w:bidi="ar"/>
        </w:rPr>
      </w:pPr>
      <w:r>
        <w:rPr>
          <w:rFonts w:hint="default" w:ascii="仿宋_GB2312" w:hAnsi="仿宋_GB2312" w:eastAsia="仿宋_GB2312" w:cs="仿宋_GB2312"/>
          <w:kern w:val="2"/>
          <w:sz w:val="32"/>
          <w:szCs w:val="32"/>
          <w:lang w:val="en-US" w:eastAsia="zh-CN" w:bidi="ar"/>
        </w:rPr>
        <w:t xml:space="preserve">GB 6675.3—2014 </w:t>
      </w:r>
      <w:r>
        <w:rPr>
          <w:rFonts w:hint="eastAsia" w:ascii="仿宋_GB2312" w:hAnsi="仿宋_GB2312" w:eastAsia="仿宋_GB2312" w:cs="仿宋_GB2312"/>
          <w:kern w:val="2"/>
          <w:sz w:val="32"/>
          <w:szCs w:val="32"/>
          <w:lang w:val="en-US" w:eastAsia="zh-CN" w:bidi="ar"/>
        </w:rPr>
        <w:t>玩具安全  第</w:t>
      </w:r>
      <w:r>
        <w:rPr>
          <w:rFonts w:hint="default" w:ascii="仿宋_GB2312" w:hAnsi="仿宋_GB2312" w:eastAsia="仿宋_GB2312" w:cs="仿宋_GB2312"/>
          <w:kern w:val="2"/>
          <w:sz w:val="32"/>
          <w:szCs w:val="32"/>
          <w:lang w:val="en-US" w:eastAsia="zh-CN" w:bidi="ar"/>
        </w:rPr>
        <w:t>3</w:t>
      </w:r>
      <w:r>
        <w:rPr>
          <w:rFonts w:hint="eastAsia" w:ascii="仿宋_GB2312" w:hAnsi="仿宋_GB2312" w:eastAsia="仿宋_GB2312" w:cs="仿宋_GB2312"/>
          <w:kern w:val="2"/>
          <w:sz w:val="32"/>
          <w:szCs w:val="32"/>
          <w:lang w:val="en-US" w:eastAsia="zh-CN" w:bidi="ar"/>
        </w:rPr>
        <w:t>部分：易燃性能</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kern w:val="2"/>
          <w:sz w:val="32"/>
          <w:szCs w:val="32"/>
          <w:lang w:val="en-US" w:eastAsia="zh-CN" w:bidi="ar"/>
        </w:rPr>
      </w:pPr>
      <w:r>
        <w:rPr>
          <w:rFonts w:hint="default" w:ascii="仿宋_GB2312" w:hAnsi="仿宋_GB2312" w:eastAsia="仿宋_GB2312" w:cs="仿宋_GB2312"/>
          <w:kern w:val="2"/>
          <w:sz w:val="32"/>
          <w:szCs w:val="32"/>
          <w:lang w:val="en-US" w:eastAsia="zh-CN" w:bidi="ar"/>
        </w:rPr>
        <w:t xml:space="preserve">GB 6675.4—2014 </w:t>
      </w:r>
      <w:r>
        <w:rPr>
          <w:rFonts w:hint="eastAsia" w:ascii="仿宋_GB2312" w:hAnsi="仿宋_GB2312" w:eastAsia="仿宋_GB2312" w:cs="仿宋_GB2312"/>
          <w:kern w:val="2"/>
          <w:sz w:val="32"/>
          <w:szCs w:val="32"/>
          <w:lang w:val="en-US" w:eastAsia="zh-CN" w:bidi="ar"/>
        </w:rPr>
        <w:t>玩具安全  第</w:t>
      </w:r>
      <w:r>
        <w:rPr>
          <w:rFonts w:hint="default" w:ascii="仿宋_GB2312" w:hAnsi="仿宋_GB2312" w:eastAsia="仿宋_GB2312" w:cs="仿宋_GB2312"/>
          <w:kern w:val="2"/>
          <w:sz w:val="32"/>
          <w:szCs w:val="32"/>
          <w:lang w:val="en-US" w:eastAsia="zh-CN" w:bidi="ar"/>
        </w:rPr>
        <w:t>4</w:t>
      </w:r>
      <w:r>
        <w:rPr>
          <w:rFonts w:hint="eastAsia" w:ascii="仿宋_GB2312" w:hAnsi="仿宋_GB2312" w:eastAsia="仿宋_GB2312" w:cs="仿宋_GB2312"/>
          <w:kern w:val="2"/>
          <w:sz w:val="32"/>
          <w:szCs w:val="32"/>
          <w:lang w:val="en-US" w:eastAsia="zh-CN" w:bidi="ar"/>
        </w:rPr>
        <w:t>部分：特定元素的迁移</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kern w:val="2"/>
          <w:sz w:val="32"/>
          <w:szCs w:val="32"/>
          <w:lang w:val="en-US" w:eastAsia="zh-CN" w:bidi="ar"/>
        </w:rPr>
      </w:pPr>
      <w:r>
        <w:rPr>
          <w:rFonts w:hint="default" w:ascii="仿宋_GB2312" w:hAnsi="仿宋_GB2312" w:eastAsia="仿宋_GB2312" w:cs="仿宋_GB2312"/>
          <w:kern w:val="2"/>
          <w:sz w:val="32"/>
          <w:szCs w:val="32"/>
          <w:lang w:val="en-US" w:eastAsia="zh-CN" w:bidi="ar"/>
        </w:rPr>
        <w:t xml:space="preserve">GB 19865—2005 </w:t>
      </w:r>
      <w:r>
        <w:rPr>
          <w:rFonts w:hint="eastAsia" w:ascii="仿宋_GB2312" w:hAnsi="仿宋_GB2312" w:eastAsia="仿宋_GB2312" w:cs="仿宋_GB2312"/>
          <w:kern w:val="2"/>
          <w:sz w:val="32"/>
          <w:szCs w:val="32"/>
          <w:lang w:val="en-US" w:eastAsia="zh-CN" w:bidi="ar"/>
        </w:rPr>
        <w:t>电玩具的安全（含第</w:t>
      </w:r>
      <w:r>
        <w:rPr>
          <w:rFonts w:hint="default" w:ascii="仿宋_GB2312" w:hAnsi="仿宋_GB2312" w:eastAsia="仿宋_GB2312" w:cs="仿宋_GB2312"/>
          <w:kern w:val="2"/>
          <w:sz w:val="32"/>
          <w:szCs w:val="32"/>
          <w:lang w:val="en-US" w:eastAsia="zh-CN" w:bidi="ar"/>
        </w:rPr>
        <w:t>1</w:t>
      </w:r>
      <w:r>
        <w:rPr>
          <w:rFonts w:hint="eastAsia" w:ascii="仿宋_GB2312" w:hAnsi="仿宋_GB2312" w:eastAsia="仿宋_GB2312" w:cs="仿宋_GB2312"/>
          <w:kern w:val="2"/>
          <w:sz w:val="32"/>
          <w:szCs w:val="32"/>
          <w:lang w:val="en-US" w:eastAsia="zh-CN" w:bidi="ar"/>
        </w:rPr>
        <w:t>号修改单）</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kern w:val="2"/>
          <w:sz w:val="32"/>
          <w:szCs w:val="32"/>
          <w:lang w:val="en-US" w:eastAsia="zh-CN" w:bidi="ar"/>
        </w:rPr>
      </w:pPr>
      <w:r>
        <w:rPr>
          <w:rFonts w:hint="default" w:ascii="仿宋_GB2312" w:hAnsi="仿宋_GB2312" w:eastAsia="仿宋_GB2312" w:cs="仿宋_GB2312"/>
          <w:kern w:val="2"/>
          <w:sz w:val="32"/>
          <w:szCs w:val="32"/>
          <w:lang w:val="en-US" w:eastAsia="zh-CN" w:bidi="ar"/>
        </w:rPr>
        <w:t xml:space="preserve">GB/T 22048—2022 </w:t>
      </w:r>
      <w:r>
        <w:rPr>
          <w:rFonts w:hint="eastAsia" w:ascii="仿宋_GB2312" w:hAnsi="仿宋_GB2312" w:eastAsia="仿宋_GB2312" w:cs="仿宋_GB2312"/>
          <w:kern w:val="2"/>
          <w:sz w:val="32"/>
          <w:szCs w:val="32"/>
          <w:lang w:val="en-US" w:eastAsia="zh-CN" w:bidi="ar"/>
        </w:rPr>
        <w:t>玩具及儿童用品中特定邻苯二甲酸酯增塑剂的测定</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现行有效的企业标准、团体标准、地方标准及产品明示质量要求</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kern w:val="2"/>
          <w:sz w:val="32"/>
          <w:szCs w:val="32"/>
          <w:lang w:val="en-US" w:eastAsia="zh-CN" w:bidi="ar"/>
        </w:rPr>
      </w:pPr>
      <w:r>
        <w:rPr>
          <w:rFonts w:hint="default" w:ascii="仿宋_GB2312" w:hAnsi="仿宋_GB2312" w:eastAsia="仿宋_GB2312" w:cs="仿宋_GB2312"/>
          <w:kern w:val="2"/>
          <w:sz w:val="32"/>
          <w:szCs w:val="32"/>
          <w:lang w:val="en-US" w:eastAsia="zh-CN" w:bidi="ar"/>
        </w:rPr>
        <w:t>3.2</w:t>
      </w:r>
      <w:r>
        <w:rPr>
          <w:rFonts w:hint="eastAsia" w:ascii="仿宋_GB2312" w:hAnsi="仿宋_GB2312" w:eastAsia="仿宋_GB2312" w:cs="仿宋_GB2312"/>
          <w:kern w:val="2"/>
          <w:sz w:val="32"/>
          <w:szCs w:val="32"/>
          <w:lang w:val="en-US" w:eastAsia="zh-CN" w:bidi="ar"/>
        </w:rPr>
        <w:t>判定原则</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经检验，检验项目全部合格，判定为被抽查产品所检项目未发现不合格；检验项目中任一项或一项以上不合格，判定为被抽查产品不合格。</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若被检产品明示的质量要求高于本细则中检验项目依据的标准要求时，应按被检产品明示的质量要求判定。</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若被检产品明示的质量要求低于本细则中检验项目依据的强制性标准要求时，应按照强制性标准要求判定。</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若被检产品明示的质量要求低于或包含本细则中检验项目依据的推荐性标准要求时，应以被检产品明示的质量要求判定。</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若被检产品明示的质量要求缺少本细则中检验项目依据的强制性标准要求时，应按照强制性标准要求判定。</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若被检产品明示的质量要求缺少本细则中检验项目依据的推荐性标准要求时，该项目不参与判定。</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D35AFD"/>
    <w:rsid w:val="03846053"/>
    <w:rsid w:val="09D35AFD"/>
    <w:rsid w:val="343064EE"/>
    <w:rsid w:val="3C0E31CE"/>
    <w:rsid w:val="502C71AD"/>
    <w:rsid w:val="6B3852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4"/>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2024-07-18T09:23:00Z</dcterms:created>
  <dc:creator>刘燕</dc:creator>
  <cp:lastModifiedBy>梁杏花</cp:lastModifiedBy>
  <dcterms:modified xsi:type="dcterms:W3CDTF">2024-07-19T09:16:42Z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