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both"/>
        <w:textAlignment w:val="auto"/>
        <w:rPr>
          <w:rFonts w:hint="eastAsia" w:ascii="黑体" w:hAnsi="黑体" w:eastAsia="黑体" w:cs="黑体"/>
          <w:bCs/>
          <w:spacing w:val="-6"/>
          <w:kern w:val="2"/>
          <w:sz w:val="32"/>
          <w:szCs w:val="32"/>
        </w:rPr>
      </w:pPr>
      <w:r>
        <w:rPr>
          <w:rFonts w:hint="eastAsia" w:ascii="黑体" w:hAnsi="黑体" w:eastAsia="黑体" w:cs="黑体"/>
          <w:bCs/>
          <w:spacing w:val="-6"/>
          <w:kern w:val="2"/>
          <w:sz w:val="32"/>
          <w:szCs w:val="32"/>
          <w:lang w:val="en-US" w:eastAsia="zh-CN" w:bidi="ar"/>
        </w:rPr>
        <w:t>附件</w:t>
      </w:r>
      <w:r>
        <w:rPr>
          <w:rFonts w:hint="eastAsia" w:ascii="黑体" w:hAnsi="黑体" w:eastAsia="黑体" w:cs="黑体"/>
          <w:bCs/>
          <w:spacing w:val="-6"/>
          <w:kern w:val="2"/>
          <w:sz w:val="32"/>
          <w:szCs w:val="32"/>
          <w:lang w:val="en-US" w:eastAsia="zh-CN" w:bidi="ar"/>
        </w:rPr>
        <w:t>7</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bookmarkStart w:id="0" w:name="_GoBack"/>
      <w:r>
        <w:rPr>
          <w:rFonts w:hint="eastAsia" w:ascii="方正小标宋_GBK" w:hAnsi="方正小标宋_GBK" w:eastAsia="方正小标宋_GBK" w:cs="方正小标宋_GBK"/>
          <w:kern w:val="2"/>
          <w:sz w:val="44"/>
          <w:szCs w:val="44"/>
          <w:lang w:val="en-US" w:eastAsia="zh-CN" w:bidi="ar"/>
        </w:rPr>
        <w:t>佛冈县电动自行车产品质量监督抽查</w:t>
      </w:r>
    </w:p>
    <w:bookmarkEnd w:id="0"/>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实施细则</w:t>
      </w:r>
    </w:p>
    <w:p>
      <w:pPr>
        <w:keepNext w:val="0"/>
        <w:keepLines w:val="0"/>
        <w:pageBreakBefore w:val="0"/>
        <w:widowControl w:val="0"/>
        <w:suppressLineNumbers w:val="0"/>
        <w:kinsoku/>
        <w:wordWrap/>
        <w:overflowPunct/>
        <w:topLinePunct w:val="0"/>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b w:val="0"/>
          <w:bCs w:val="0"/>
          <w:kern w:val="2"/>
          <w:sz w:val="32"/>
          <w:szCs w:val="32"/>
        </w:rPr>
      </w:pPr>
      <w:r>
        <w:rPr>
          <w:rFonts w:hint="eastAsia" w:ascii="楷体" w:hAnsi="楷体" w:eastAsia="楷体" w:cs="楷体"/>
          <w:b w:val="0"/>
          <w:bCs w:val="0"/>
          <w:kern w:val="2"/>
          <w:sz w:val="32"/>
          <w:szCs w:val="32"/>
          <w:lang w:val="en-US" w:eastAsia="zh-CN" w:bidi="ar"/>
        </w:rPr>
        <w:t>（2024年版）</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16"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pacing w:val="-6"/>
          <w:kern w:val="2"/>
          <w:sz w:val="32"/>
          <w:szCs w:val="32"/>
          <w:lang w:val="en-US" w:eastAsia="zh-CN" w:bidi="ar"/>
        </w:rPr>
        <w:t>以随机抽样的方式在被抽样生产者、销售者的待销产品中抽</w:t>
      </w:r>
      <w:r>
        <w:rPr>
          <w:rFonts w:hint="eastAsia" w:ascii="仿宋_GB2312" w:hAnsi="仿宋_GB2312" w:eastAsia="仿宋_GB2312" w:cs="仿宋_GB2312"/>
          <w:kern w:val="2"/>
          <w:sz w:val="32"/>
          <w:szCs w:val="32"/>
          <w:lang w:val="en-US" w:eastAsia="zh-CN" w:bidi="ar"/>
        </w:rPr>
        <w:t>取。</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每批次产品抽取样品</w:t>
      </w: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辆，其中</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辆作为检验样品，</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辆作为备用样品。</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
        </w:rPr>
        <w:t>2 检验依据</w:t>
      </w:r>
    </w:p>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2.1</w:t>
      </w:r>
      <w:r>
        <w:rPr>
          <w:rFonts w:hint="eastAsia" w:ascii="仿宋_GB2312" w:hAnsi="仿宋_GB2312" w:eastAsia="仿宋_GB2312" w:cs="仿宋_GB2312"/>
          <w:kern w:val="2"/>
          <w:sz w:val="32"/>
          <w:szCs w:val="32"/>
          <w:lang w:val="en-US" w:eastAsia="zh-CN" w:bidi="ar"/>
        </w:rPr>
        <w:t>车载充电器型电动自行车（</w:t>
      </w:r>
      <w:r>
        <w:rPr>
          <w:rFonts w:hint="eastAsia" w:ascii="仿宋_GB2312" w:hAnsi="仿宋_GB2312" w:eastAsia="仿宋_GB2312" w:cs="仿宋_GB2312"/>
          <w:kern w:val="2"/>
          <w:sz w:val="32"/>
          <w:szCs w:val="32"/>
          <w:lang w:val="en-US" w:eastAsia="zh-CN" w:bidi="ar"/>
        </w:rPr>
        <w:t>GB 17761-2018</w:t>
      </w:r>
      <w:r>
        <w:rPr>
          <w:rFonts w:hint="eastAsia" w:ascii="仿宋_GB2312" w:hAnsi="仿宋_GB2312" w:eastAsia="仿宋_GB2312" w:cs="仿宋_GB2312"/>
          <w:kern w:val="2"/>
          <w:sz w:val="32"/>
          <w:szCs w:val="32"/>
          <w:lang w:val="en-US" w:eastAsia="zh-CN" w:bidi="ar"/>
        </w:rPr>
        <w:t>）</w:t>
      </w:r>
    </w:p>
    <w:tbl>
      <w:tblPr>
        <w:tblStyle w:val="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0"/>
        <w:gridCol w:w="360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序号</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检验项目</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车速限值</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2</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制动性能(干态)</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3</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整车质量</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4</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结构</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5</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车速提示音</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6</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电气装置</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7</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充电器与蓄电池</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8</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淋水涉水性能</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9</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反射器、照明和鸣号装置</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10</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防火性能</w:t>
            </w:r>
          </w:p>
        </w:tc>
        <w:tc>
          <w:tcPr>
            <w:tcW w:w="33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bl>
    <w:p>
      <w:pPr>
        <w:keepNext w:val="0"/>
        <w:keepLines w:val="0"/>
        <w:pageBreakBefore w:val="0"/>
        <w:widowControl w:val="0"/>
        <w:suppressLineNumbers w:val="0"/>
        <w:kinsoku/>
        <w:wordWrap/>
        <w:overflowPunct/>
        <w:topLinePunct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w:t>
      </w:r>
      <w:r>
        <w:rPr>
          <w:rFonts w:hint="eastAsia" w:ascii="仿宋_GB2312" w:hAnsi="仿宋_GB2312" w:eastAsia="仿宋_GB2312" w:cs="仿宋_GB2312"/>
          <w:kern w:val="2"/>
          <w:sz w:val="32"/>
          <w:szCs w:val="32"/>
          <w:lang w:val="en-US" w:eastAsia="zh-CN" w:bidi="ar"/>
        </w:rPr>
        <w:t>非车载充电器型电动自行车（</w:t>
      </w:r>
      <w:r>
        <w:rPr>
          <w:rFonts w:hint="eastAsia" w:ascii="仿宋_GB2312" w:hAnsi="仿宋_GB2312" w:eastAsia="仿宋_GB2312" w:cs="仿宋_GB2312"/>
          <w:kern w:val="2"/>
          <w:sz w:val="32"/>
          <w:szCs w:val="32"/>
          <w:lang w:val="en-US" w:eastAsia="zh-CN" w:bidi="ar"/>
        </w:rPr>
        <w:t>GB 17761-2018</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GB 42295-2022</w:t>
      </w:r>
      <w:r>
        <w:rPr>
          <w:rFonts w:hint="eastAsia" w:ascii="仿宋_GB2312" w:hAnsi="仿宋_GB2312" w:eastAsia="仿宋_GB2312" w:cs="仿宋_GB2312"/>
          <w:kern w:val="2"/>
          <w:sz w:val="32"/>
          <w:szCs w:val="32"/>
          <w:lang w:val="en-US" w:eastAsia="zh-CN" w:bidi="ar"/>
        </w:rPr>
        <w:t>）</w:t>
      </w:r>
    </w:p>
    <w:tbl>
      <w:tblPr>
        <w:tblStyle w:val="2"/>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0"/>
        <w:gridCol w:w="3601"/>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序号</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检验项目</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标识与警示语</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2</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车速限值</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3</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制动性能(干态)</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4</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整车质量</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5</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结构</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6</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车速提示音</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7</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充电状态主回路保护</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8</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互认协同充电</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9</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布线</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10</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电气装置</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11</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充电器与蓄电池</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12</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淋水涉水性能</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13</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对触及带电部分的防护</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14</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连接</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42295-2022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15</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反射器、照明和鸣号装置</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16</w:t>
            </w:r>
          </w:p>
        </w:tc>
        <w:tc>
          <w:tcPr>
            <w:tcW w:w="3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防火性能</w:t>
            </w:r>
          </w:p>
        </w:tc>
        <w:tc>
          <w:tcPr>
            <w:tcW w:w="42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jc w:val="center"/>
              <w:textAlignment w:val="auto"/>
              <w:rPr>
                <w:rFonts w:hint="eastAsia" w:ascii="仿宋_GB2312" w:hAnsi="仿宋_GB2312" w:eastAsia="仿宋_GB2312" w:cs="仿宋_GB2312"/>
                <w:b w:val="0"/>
                <w:bCs/>
                <w:kern w:val="2"/>
                <w:sz w:val="32"/>
                <w:szCs w:val="32"/>
              </w:rPr>
            </w:pPr>
            <w:r>
              <w:rPr>
                <w:rFonts w:hint="eastAsia" w:ascii="仿宋_GB2312" w:hAnsi="仿宋_GB2312" w:eastAsia="仿宋_GB2312" w:cs="仿宋_GB2312"/>
                <w:b w:val="0"/>
                <w:bCs/>
                <w:kern w:val="2"/>
                <w:sz w:val="32"/>
                <w:szCs w:val="32"/>
                <w:lang w:val="en-US" w:eastAsia="zh-CN" w:bidi="ar"/>
              </w:rPr>
              <w:t>GB 17761-2018</w:t>
            </w:r>
          </w:p>
        </w:tc>
      </w:tr>
    </w:tbl>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注：</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防火性能要求：</w:t>
      </w:r>
      <w:r>
        <w:rPr>
          <w:rFonts w:hint="eastAsia" w:ascii="仿宋_GB2312" w:hAnsi="仿宋_GB2312" w:eastAsia="仿宋_GB2312" w:cs="仿宋_GB2312"/>
          <w:kern w:val="2"/>
          <w:sz w:val="32"/>
          <w:szCs w:val="32"/>
          <w:lang w:val="en-US" w:eastAsia="zh-CN" w:bidi="ar"/>
        </w:rPr>
        <w:t>750℃</w:t>
      </w:r>
      <w:r>
        <w:rPr>
          <w:rFonts w:hint="eastAsia" w:ascii="仿宋_GB2312" w:hAnsi="仿宋_GB2312" w:eastAsia="仿宋_GB2312" w:cs="仿宋_GB2312"/>
          <w:kern w:val="2"/>
          <w:sz w:val="32"/>
          <w:szCs w:val="32"/>
          <w:lang w:val="en-US" w:eastAsia="zh-CN" w:bidi="ar"/>
        </w:rPr>
        <w:t>灼热丝试验重点检测主回路接插件。主回路指传输蓄电池系统输出端动力电能驱动电动机的电路。</w:t>
      </w:r>
    </w:p>
    <w:p>
      <w:pPr>
        <w:keepNext w:val="0"/>
        <w:keepLines w:val="0"/>
        <w:pageBreakBefore w:val="0"/>
        <w:widowControl w:val="0"/>
        <w:suppressLineNumbers w:val="0"/>
        <w:kinsoku/>
        <w:wordWrap/>
        <w:overflowPunct/>
        <w:topLinePunct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检验项目按顺序进行检验。</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val="en-US" w:eastAsia="zh-CN" w:bidi="ar"/>
        </w:rPr>
        <w:t>3 判定规则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3.1</w:t>
      </w:r>
      <w:r>
        <w:rPr>
          <w:rFonts w:hint="eastAsia" w:ascii="仿宋_GB2312" w:hAnsi="仿宋_GB2312" w:eastAsia="仿宋_GB2312" w:cs="仿宋_GB2312"/>
          <w:kern w:val="2"/>
          <w:sz w:val="32"/>
          <w:szCs w:val="32"/>
          <w:lang w:val="en-US" w:eastAsia="zh-CN" w:bidi="ar"/>
        </w:rPr>
        <w:t>依据标准</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17761-2018 </w:t>
      </w:r>
      <w:r>
        <w:rPr>
          <w:rFonts w:hint="eastAsia" w:ascii="仿宋_GB2312" w:hAnsi="仿宋_GB2312" w:eastAsia="仿宋_GB2312" w:cs="仿宋_GB2312"/>
          <w:kern w:val="2"/>
          <w:sz w:val="32"/>
          <w:szCs w:val="32"/>
          <w:lang w:val="en-US" w:eastAsia="zh-CN" w:bidi="ar"/>
        </w:rPr>
        <w:t>电动自行车安全技术规范</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GB 42295—2022 </w:t>
      </w:r>
      <w:r>
        <w:rPr>
          <w:rFonts w:hint="eastAsia" w:ascii="仿宋_GB2312" w:hAnsi="仿宋_GB2312" w:eastAsia="仿宋_GB2312" w:cs="仿宋_GB2312"/>
          <w:kern w:val="2"/>
          <w:sz w:val="32"/>
          <w:szCs w:val="32"/>
          <w:lang w:val="en-US" w:eastAsia="zh-CN" w:bidi="ar"/>
        </w:rPr>
        <w:t>电动自行车电气安全要求</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3.2</w:t>
      </w:r>
      <w:r>
        <w:rPr>
          <w:rFonts w:hint="eastAsia" w:ascii="仿宋_GB2312" w:hAnsi="仿宋_GB2312" w:eastAsia="仿宋_GB2312" w:cs="仿宋_GB2312"/>
          <w:kern w:val="2"/>
          <w:sz w:val="32"/>
          <w:szCs w:val="32"/>
          <w:lang w:val="en-US" w:eastAsia="zh-CN" w:bidi="ar"/>
        </w:rPr>
        <w:t>判定原则</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35AFD"/>
    <w:rsid w:val="09D35A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2024-07-18T09:23:00Z</dcterms:created>
  <dc:creator>刘燕</dc:creator>
  <cp:lastModifiedBy>刘燕</cp:lastModifiedBy>
  <dcterms:modified xsi:type="dcterms:W3CDTF">2024-07-18T09:26:06Z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