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CFD3C">
      <w:pPr>
        <w:pStyle w:val="6"/>
        <w:rPr>
          <w:rFonts w:ascii="黑体" w:hAnsi="黑体" w:eastAsia="黑体"/>
          <w:b w:val="0"/>
          <w:sz w:val="36"/>
          <w:szCs w:val="36"/>
        </w:rPr>
      </w:pPr>
      <w:r>
        <w:rPr>
          <w:rFonts w:hint="eastAsia" w:ascii="黑体" w:hAnsi="黑体" w:eastAsia="黑体"/>
          <w:b w:val="0"/>
          <w:sz w:val="36"/>
          <w:szCs w:val="36"/>
        </w:rPr>
        <w:t>《佛冈县龙山镇LS</w:t>
      </w:r>
      <w:r>
        <w:rPr>
          <w:rFonts w:ascii="黑体" w:hAnsi="黑体" w:eastAsia="黑体"/>
          <w:b w:val="0"/>
          <w:sz w:val="36"/>
          <w:szCs w:val="36"/>
        </w:rPr>
        <w:t>-</w:t>
      </w:r>
      <w:r>
        <w:rPr>
          <w:rFonts w:hint="eastAsia" w:ascii="黑体" w:hAnsi="黑体" w:eastAsia="黑体"/>
          <w:b w:val="0"/>
          <w:sz w:val="36"/>
          <w:szCs w:val="36"/>
        </w:rPr>
        <w:t>0</w:t>
      </w:r>
      <w:r>
        <w:rPr>
          <w:rFonts w:ascii="黑体" w:hAnsi="黑体" w:eastAsia="黑体"/>
          <w:b w:val="0"/>
          <w:sz w:val="36"/>
          <w:szCs w:val="36"/>
        </w:rPr>
        <w:t>7-02</w:t>
      </w:r>
      <w:r>
        <w:rPr>
          <w:rFonts w:hint="eastAsia" w:ascii="黑体" w:hAnsi="黑体" w:eastAsia="黑体"/>
          <w:b w:val="0"/>
          <w:sz w:val="36"/>
          <w:szCs w:val="36"/>
        </w:rPr>
        <w:t>号地块控制性详细规划》</w:t>
      </w:r>
    </w:p>
    <w:p w14:paraId="3186D41F">
      <w:pPr>
        <w:pStyle w:val="6"/>
        <w:rPr>
          <w:rFonts w:ascii="黑体" w:hAnsi="黑体" w:eastAsia="黑体"/>
          <w:b w:val="0"/>
          <w:sz w:val="36"/>
          <w:szCs w:val="36"/>
        </w:rPr>
      </w:pPr>
      <w:r>
        <w:rPr>
          <w:rFonts w:hint="eastAsia" w:ascii="黑体" w:hAnsi="黑体" w:eastAsia="黑体"/>
          <w:b w:val="0"/>
          <w:sz w:val="36"/>
          <w:szCs w:val="36"/>
        </w:rPr>
        <w:t>草案公示稿</w:t>
      </w:r>
    </w:p>
    <w:p w14:paraId="1910A964"/>
    <w:p w14:paraId="344A8E33">
      <w:pPr>
        <w:autoSpaceDE w:val="0"/>
        <w:autoSpaceDN w:val="0"/>
        <w:adjustRightInd w:val="0"/>
        <w:spacing w:line="560" w:lineRule="exact"/>
        <w:ind w:firstLine="560" w:firstLineChars="200"/>
        <w:rPr>
          <w:rFonts w:ascii="黑体" w:eastAsia="黑体" w:cs="黑体"/>
          <w:kern w:val="0"/>
          <w:sz w:val="28"/>
          <w:szCs w:val="28"/>
        </w:rPr>
      </w:pPr>
      <w:r>
        <w:rPr>
          <w:rFonts w:hint="eastAsia" w:ascii="黑体" w:eastAsia="黑体" w:cs="黑体"/>
          <w:kern w:val="0"/>
          <w:sz w:val="28"/>
          <w:szCs w:val="28"/>
        </w:rPr>
        <w:t>一、规划背景</w:t>
      </w:r>
    </w:p>
    <w:p w14:paraId="7B79F149">
      <w:pPr>
        <w:spacing w:line="360" w:lineRule="auto"/>
        <w:ind w:firstLine="480" w:firstLineChars="200"/>
        <w:rPr>
          <w:rFonts w:ascii="仿宋_GB2312" w:eastAsia="仿宋_GB2312" w:cs="仿宋_GB2312"/>
          <w:kern w:val="0"/>
          <w:sz w:val="24"/>
          <w:szCs w:val="32"/>
        </w:rPr>
      </w:pPr>
      <w:r>
        <w:rPr>
          <w:rFonts w:hint="eastAsia" w:ascii="仿宋_GB2312" w:eastAsia="仿宋_GB2312" w:cs="仿宋_GB2312"/>
          <w:kern w:val="0"/>
          <w:sz w:val="24"/>
          <w:szCs w:val="32"/>
        </w:rPr>
        <w:t>为积极应对区域发展新态势，紧密衔接国土空间总体规划要求，进一步科学指导佛冈县龙山镇L</w:t>
      </w:r>
      <w:r>
        <w:rPr>
          <w:rFonts w:ascii="仿宋_GB2312" w:eastAsia="仿宋_GB2312" w:cs="仿宋_GB2312"/>
          <w:kern w:val="0"/>
          <w:sz w:val="24"/>
          <w:szCs w:val="32"/>
        </w:rPr>
        <w:t>S-07-02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号地块（以下简称“规划区”）发展建设，促进各建设项目的顺利实施，依据《中华人民共和国城乡规划法</w:t>
      </w:r>
      <w:r>
        <w:rPr>
          <w:rFonts w:hint="eastAsia" w:ascii="仿宋_GB2312" w:eastAsia="仿宋_GB2312" w:cs="仿宋_GB2312"/>
          <w:kern w:val="0"/>
          <w:sz w:val="24"/>
          <w:szCs w:val="32"/>
          <w:lang w:eastAsia="zh-CN"/>
        </w:rPr>
        <w:t>》《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广东省城市控制性详细规划条例》等有关要求，我镇特开展《佛冈县龙山镇LS-07-02号地块控制性详细规划》的编制工作，有效保障土地科学、合理与经济</w:t>
      </w:r>
      <w:r>
        <w:rPr>
          <w:rFonts w:hint="eastAsia" w:ascii="仿宋_GB2312" w:eastAsia="仿宋_GB2312" w:cs="仿宋_GB2312"/>
          <w:kern w:val="0"/>
          <w:sz w:val="24"/>
          <w:szCs w:val="32"/>
          <w:lang w:val="en-US" w:eastAsia="zh-CN"/>
        </w:rPr>
        <w:t>地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利用，助力龙山镇可持续、高质量发展。</w:t>
      </w:r>
    </w:p>
    <w:p w14:paraId="7E85F11D">
      <w:pPr>
        <w:autoSpaceDE w:val="0"/>
        <w:autoSpaceDN w:val="0"/>
        <w:adjustRightInd w:val="0"/>
        <w:spacing w:line="560" w:lineRule="exact"/>
        <w:ind w:firstLine="560" w:firstLineChars="200"/>
        <w:rPr>
          <w:rFonts w:ascii="黑体" w:eastAsia="黑体" w:cs="黑体"/>
          <w:kern w:val="0"/>
          <w:sz w:val="28"/>
          <w:szCs w:val="28"/>
        </w:rPr>
      </w:pPr>
      <w:r>
        <w:rPr>
          <w:rFonts w:hint="eastAsia" w:ascii="黑体" w:eastAsia="黑体" w:cs="黑体"/>
          <w:kern w:val="0"/>
          <w:sz w:val="28"/>
          <w:szCs w:val="28"/>
        </w:rPr>
        <w:t>二、规划范围</w:t>
      </w:r>
    </w:p>
    <w:p w14:paraId="795A4E2C">
      <w:pPr>
        <w:autoSpaceDE w:val="0"/>
        <w:autoSpaceDN w:val="0"/>
        <w:adjustRightInd w:val="0"/>
        <w:spacing w:line="360" w:lineRule="auto"/>
        <w:ind w:firstLine="480" w:firstLineChars="200"/>
        <w:rPr>
          <w:rFonts w:ascii="仿宋_GB2312" w:eastAsia="仿宋_GB2312" w:cs="仿宋_GB2312"/>
          <w:kern w:val="0"/>
          <w:sz w:val="24"/>
          <w:szCs w:val="32"/>
        </w:rPr>
      </w:pPr>
      <w:r>
        <w:rPr>
          <w:rFonts w:hint="eastAsia" w:ascii="仿宋_GB2312" w:eastAsia="仿宋_GB2312" w:cs="仿宋_GB2312"/>
          <w:kern w:val="0"/>
          <w:sz w:val="24"/>
          <w:szCs w:val="32"/>
        </w:rPr>
        <w:t>本次规划范围位于佛冈县龙山镇镇区西部，东至鹤田村永福村民小组</w:t>
      </w:r>
      <w:r>
        <w:rPr>
          <w:rFonts w:hint="eastAsia" w:ascii="仿宋_GB2312" w:eastAsia="仿宋_GB2312" w:cs="仿宋_GB2312"/>
          <w:kern w:val="0"/>
          <w:sz w:val="24"/>
          <w:szCs w:val="32"/>
          <w:lang w:eastAsia="zh-CN"/>
        </w:rPr>
        <w:t>，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南至乡道Y017，西至民龙路，北至佛冈县汕湛高速龙山出口至国道G106线龙山路段公路（规划），总用地面积6</w:t>
      </w:r>
      <w:r>
        <w:rPr>
          <w:rFonts w:ascii="仿宋_GB2312" w:eastAsia="仿宋_GB2312" w:cs="仿宋_GB2312"/>
          <w:kern w:val="0"/>
          <w:sz w:val="24"/>
          <w:szCs w:val="32"/>
        </w:rPr>
        <w:t>7.72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公顷，约1</w:t>
      </w:r>
      <w:r>
        <w:rPr>
          <w:rFonts w:ascii="仿宋_GB2312" w:eastAsia="仿宋_GB2312" w:cs="仿宋_GB2312"/>
          <w:kern w:val="0"/>
          <w:sz w:val="24"/>
          <w:szCs w:val="32"/>
        </w:rPr>
        <w:t>015.86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亩。</w:t>
      </w:r>
    </w:p>
    <w:p w14:paraId="6D15302B">
      <w:pPr>
        <w:autoSpaceDE w:val="0"/>
        <w:autoSpaceDN w:val="0"/>
        <w:adjustRightInd w:val="0"/>
        <w:spacing w:line="360" w:lineRule="auto"/>
        <w:jc w:val="center"/>
        <w:rPr>
          <w:rFonts w:ascii="仿宋_GB2312" w:eastAsia="仿宋_GB2312" w:cs="仿宋_GB2312"/>
          <w:kern w:val="0"/>
          <w:sz w:val="24"/>
          <w:szCs w:val="32"/>
        </w:rPr>
      </w:pPr>
      <w:r>
        <w:rPr>
          <w:rFonts w:hint="eastAsia" w:ascii="仿宋_GB2312" w:eastAsia="仿宋_GB2312" w:cs="仿宋_GB2312"/>
          <w:kern w:val="0"/>
          <w:sz w:val="24"/>
          <w:szCs w:val="32"/>
        </w:rPr>
        <w:drawing>
          <wp:inline distT="0" distB="0" distL="0" distR="0">
            <wp:extent cx="5007610" cy="36823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945" cy="36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9BF7">
      <w:pPr>
        <w:autoSpaceDE w:val="0"/>
        <w:autoSpaceDN w:val="0"/>
        <w:adjustRightInd w:val="0"/>
        <w:spacing w:line="360" w:lineRule="auto"/>
        <w:ind w:firstLine="482" w:firstLineChars="200"/>
        <w:jc w:val="center"/>
        <w:rPr>
          <w:rFonts w:ascii="仿宋_GB2312" w:eastAsia="仿宋_GB2312" w:cs="仿宋_GB2312"/>
          <w:b/>
          <w:kern w:val="0"/>
          <w:sz w:val="24"/>
          <w:szCs w:val="32"/>
        </w:rPr>
      </w:pPr>
      <w:r>
        <w:rPr>
          <w:rFonts w:hint="eastAsia" w:ascii="仿宋_GB2312" w:eastAsia="仿宋_GB2312" w:cs="仿宋_GB2312"/>
          <w:b/>
          <w:kern w:val="0"/>
          <w:sz w:val="24"/>
          <w:szCs w:val="32"/>
        </w:rPr>
        <w:t>图1</w:t>
      </w:r>
      <w:r>
        <w:rPr>
          <w:rFonts w:ascii="仿宋_GB2312" w:eastAsia="仿宋_GB2312" w:cs="仿宋_GB2312"/>
          <w:b/>
          <w:kern w:val="0"/>
          <w:sz w:val="24"/>
          <w:szCs w:val="32"/>
        </w:rPr>
        <w:t xml:space="preserve"> </w:t>
      </w:r>
      <w:r>
        <w:rPr>
          <w:rFonts w:hint="eastAsia" w:ascii="仿宋_GB2312" w:eastAsia="仿宋_GB2312" w:cs="仿宋_GB2312"/>
          <w:b/>
          <w:kern w:val="0"/>
          <w:sz w:val="24"/>
          <w:szCs w:val="32"/>
        </w:rPr>
        <w:t>区位图</w:t>
      </w:r>
    </w:p>
    <w:p w14:paraId="6349C310"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Cs w:val="21"/>
        </w:rPr>
      </w:pPr>
      <w:r>
        <w:rPr>
          <w:rFonts w:ascii="宋体" w:eastAsia="宋体" w:cs="宋体"/>
          <w:kern w:val="0"/>
          <w:szCs w:val="21"/>
        </w:rPr>
        <w:drawing>
          <wp:inline distT="0" distB="0" distL="0" distR="0">
            <wp:extent cx="5087620" cy="3760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081" cy="3772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57EC">
      <w:pPr>
        <w:autoSpaceDE w:val="0"/>
        <w:autoSpaceDN w:val="0"/>
        <w:adjustRightInd w:val="0"/>
        <w:spacing w:line="360" w:lineRule="auto"/>
        <w:ind w:firstLine="482" w:firstLineChars="200"/>
        <w:jc w:val="center"/>
        <w:rPr>
          <w:rFonts w:ascii="仿宋_GB2312" w:eastAsia="仿宋_GB2312" w:cs="仿宋_GB2312"/>
          <w:b/>
          <w:kern w:val="0"/>
          <w:sz w:val="24"/>
          <w:szCs w:val="32"/>
        </w:rPr>
      </w:pPr>
      <w:r>
        <w:rPr>
          <w:rFonts w:hint="eastAsia" w:ascii="仿宋_GB2312" w:eastAsia="仿宋_GB2312" w:cs="仿宋_GB2312"/>
          <w:b/>
          <w:kern w:val="0"/>
          <w:sz w:val="24"/>
          <w:szCs w:val="32"/>
        </w:rPr>
        <w:t>图</w:t>
      </w:r>
      <w:r>
        <w:rPr>
          <w:rFonts w:ascii="仿宋_GB2312" w:eastAsia="仿宋_GB2312" w:cs="仿宋_GB2312"/>
          <w:b/>
          <w:kern w:val="0"/>
          <w:sz w:val="24"/>
          <w:szCs w:val="32"/>
        </w:rPr>
        <w:t xml:space="preserve">2 </w:t>
      </w:r>
      <w:r>
        <w:rPr>
          <w:rFonts w:hint="eastAsia" w:ascii="仿宋_GB2312" w:eastAsia="仿宋_GB2312" w:cs="仿宋_GB2312"/>
          <w:b/>
          <w:kern w:val="0"/>
          <w:sz w:val="24"/>
          <w:szCs w:val="32"/>
        </w:rPr>
        <w:t>规划范围图</w:t>
      </w:r>
    </w:p>
    <w:p w14:paraId="2440B1D2">
      <w:pPr>
        <w:autoSpaceDE w:val="0"/>
        <w:autoSpaceDN w:val="0"/>
        <w:adjustRightInd w:val="0"/>
        <w:spacing w:line="560" w:lineRule="exact"/>
        <w:ind w:firstLine="560" w:firstLineChars="200"/>
        <w:rPr>
          <w:rFonts w:ascii="黑体" w:eastAsia="黑体" w:cs="黑体"/>
          <w:kern w:val="0"/>
          <w:sz w:val="28"/>
          <w:szCs w:val="28"/>
        </w:rPr>
      </w:pPr>
      <w:r>
        <w:rPr>
          <w:rFonts w:hint="eastAsia" w:ascii="黑体" w:eastAsia="黑体" w:cs="黑体"/>
          <w:kern w:val="0"/>
          <w:sz w:val="28"/>
          <w:szCs w:val="28"/>
        </w:rPr>
        <w:t>三、规划方案</w:t>
      </w:r>
    </w:p>
    <w:p w14:paraId="665F7278">
      <w:pPr>
        <w:autoSpaceDE w:val="0"/>
        <w:autoSpaceDN w:val="0"/>
        <w:adjustRightInd w:val="0"/>
        <w:spacing w:line="360" w:lineRule="auto"/>
        <w:ind w:firstLine="480" w:firstLineChars="200"/>
        <w:rPr>
          <w:rFonts w:ascii="仿宋_GB2312" w:eastAsia="仿宋_GB2312" w:cs="仿宋_GB2312"/>
          <w:kern w:val="0"/>
          <w:sz w:val="24"/>
          <w:szCs w:val="32"/>
        </w:rPr>
      </w:pPr>
      <w:r>
        <w:rPr>
          <w:rFonts w:hint="eastAsia" w:ascii="仿宋_GB2312" w:eastAsia="仿宋_GB2312" w:cs="仿宋_GB2312"/>
          <w:kern w:val="0"/>
          <w:sz w:val="24"/>
          <w:szCs w:val="32"/>
        </w:rPr>
        <w:t>规划总用地面积6</w:t>
      </w:r>
      <w:r>
        <w:rPr>
          <w:rFonts w:ascii="仿宋_GB2312" w:eastAsia="仿宋_GB2312" w:cs="仿宋_GB2312"/>
          <w:kern w:val="0"/>
          <w:sz w:val="24"/>
          <w:szCs w:val="32"/>
        </w:rPr>
        <w:t>7.72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公顷，其中规划建设用地规模为6</w:t>
      </w:r>
      <w:r>
        <w:rPr>
          <w:rFonts w:ascii="仿宋_GB2312" w:eastAsia="仿宋_GB2312" w:cs="仿宋_GB2312"/>
          <w:kern w:val="0"/>
          <w:sz w:val="24"/>
          <w:szCs w:val="32"/>
        </w:rPr>
        <w:t>5.49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公顷，占规划总用地面积9</w:t>
      </w:r>
      <w:r>
        <w:rPr>
          <w:rFonts w:ascii="仿宋_GB2312" w:eastAsia="仿宋_GB2312" w:cs="仿宋_GB2312"/>
          <w:kern w:val="0"/>
          <w:sz w:val="24"/>
          <w:szCs w:val="32"/>
        </w:rPr>
        <w:t>6.71%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，非建设用地面积为2</w:t>
      </w:r>
      <w:r>
        <w:rPr>
          <w:rFonts w:ascii="仿宋_GB2312" w:eastAsia="仿宋_GB2312" w:cs="仿宋_GB2312"/>
          <w:kern w:val="0"/>
          <w:sz w:val="24"/>
          <w:szCs w:val="32"/>
        </w:rPr>
        <w:t>.23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公顷，占规划总用地面积3</w:t>
      </w:r>
      <w:r>
        <w:rPr>
          <w:rFonts w:ascii="仿宋_GB2312" w:eastAsia="仿宋_GB2312" w:cs="仿宋_GB2312"/>
          <w:kern w:val="0"/>
          <w:sz w:val="24"/>
          <w:szCs w:val="32"/>
        </w:rPr>
        <w:t>.29%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。</w:t>
      </w:r>
    </w:p>
    <w:p w14:paraId="0E43E9FC">
      <w:pPr>
        <w:autoSpaceDE w:val="0"/>
        <w:autoSpaceDN w:val="0"/>
        <w:adjustRightInd w:val="0"/>
        <w:spacing w:line="360" w:lineRule="auto"/>
        <w:ind w:firstLine="480" w:firstLineChars="200"/>
        <w:rPr>
          <w:rFonts w:ascii="仿宋_GB2312" w:eastAsia="仿宋_GB2312" w:cs="仿宋_GB2312"/>
          <w:kern w:val="0"/>
          <w:sz w:val="24"/>
          <w:szCs w:val="32"/>
        </w:rPr>
      </w:pPr>
      <w:r>
        <w:rPr>
          <w:rFonts w:hint="eastAsia" w:ascii="仿宋_GB2312" w:eastAsia="仿宋_GB2312" w:cs="仿宋_GB2312"/>
          <w:kern w:val="0"/>
          <w:sz w:val="24"/>
          <w:szCs w:val="32"/>
        </w:rPr>
        <w:t>本次规划的各类用地情况具体如下：林地2</w:t>
      </w:r>
      <w:r>
        <w:rPr>
          <w:rFonts w:ascii="仿宋_GB2312" w:eastAsia="仿宋_GB2312" w:cs="仿宋_GB2312"/>
          <w:kern w:val="0"/>
          <w:sz w:val="24"/>
          <w:szCs w:val="32"/>
        </w:rPr>
        <w:t>.23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公顷，居住用地3</w:t>
      </w:r>
      <w:r>
        <w:rPr>
          <w:rFonts w:ascii="仿宋_GB2312" w:eastAsia="仿宋_GB2312" w:cs="仿宋_GB2312"/>
          <w:kern w:val="0"/>
          <w:sz w:val="24"/>
          <w:szCs w:val="32"/>
        </w:rPr>
        <w:t>9.72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公顷，公共管理与公共服务用地8</w:t>
      </w:r>
      <w:r>
        <w:rPr>
          <w:rFonts w:ascii="仿宋_GB2312" w:eastAsia="仿宋_GB2312" w:cs="仿宋_GB2312"/>
          <w:kern w:val="0"/>
          <w:sz w:val="24"/>
          <w:szCs w:val="32"/>
        </w:rPr>
        <w:t>.02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公顷，商业服务业用地3</w:t>
      </w:r>
      <w:r>
        <w:rPr>
          <w:rFonts w:ascii="仿宋_GB2312" w:eastAsia="仿宋_GB2312" w:cs="仿宋_GB2312"/>
          <w:kern w:val="0"/>
          <w:sz w:val="24"/>
          <w:szCs w:val="32"/>
        </w:rPr>
        <w:t>.24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公顷，工矿用地7</w:t>
      </w:r>
      <w:r>
        <w:rPr>
          <w:rFonts w:ascii="仿宋_GB2312" w:eastAsia="仿宋_GB2312" w:cs="仿宋_GB2312"/>
          <w:kern w:val="0"/>
          <w:sz w:val="24"/>
          <w:szCs w:val="32"/>
        </w:rPr>
        <w:t>.15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公顷，交通运输用地5</w:t>
      </w:r>
      <w:r>
        <w:rPr>
          <w:rFonts w:ascii="仿宋_GB2312" w:eastAsia="仿宋_GB2312" w:cs="仿宋_GB2312"/>
          <w:kern w:val="0"/>
          <w:sz w:val="24"/>
          <w:szCs w:val="32"/>
        </w:rPr>
        <w:t>.90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公顷，公用设施用地0</w:t>
      </w:r>
      <w:r>
        <w:rPr>
          <w:rFonts w:ascii="仿宋_GB2312" w:eastAsia="仿宋_GB2312" w:cs="仿宋_GB2312"/>
          <w:kern w:val="0"/>
          <w:sz w:val="24"/>
          <w:szCs w:val="32"/>
        </w:rPr>
        <w:t>.10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公顷，绿地开敞空间用地1</w:t>
      </w:r>
      <w:r>
        <w:rPr>
          <w:rFonts w:ascii="仿宋_GB2312" w:eastAsia="仿宋_GB2312" w:cs="仿宋_GB2312"/>
          <w:kern w:val="0"/>
          <w:sz w:val="24"/>
          <w:szCs w:val="32"/>
        </w:rPr>
        <w:t>.36</w:t>
      </w:r>
      <w:r>
        <w:rPr>
          <w:rFonts w:hint="eastAsia" w:ascii="仿宋_GB2312" w:eastAsia="仿宋_GB2312" w:cs="仿宋_GB2312"/>
          <w:kern w:val="0"/>
          <w:sz w:val="24"/>
          <w:szCs w:val="32"/>
        </w:rPr>
        <w:t>公顷。</w:t>
      </w:r>
      <w:bookmarkStart w:id="0" w:name="_GoBack"/>
      <w:bookmarkEnd w:id="0"/>
    </w:p>
    <w:p w14:paraId="1600F362">
      <w:pPr>
        <w:autoSpaceDE w:val="0"/>
        <w:autoSpaceDN w:val="0"/>
        <w:adjustRightInd w:val="0"/>
        <w:spacing w:line="360" w:lineRule="auto"/>
        <w:rPr>
          <w:rFonts w:ascii="仿宋_GB2312" w:eastAsia="仿宋_GB2312" w:cs="仿宋_GB2312"/>
          <w:kern w:val="0"/>
          <w:sz w:val="24"/>
          <w:szCs w:val="32"/>
        </w:rPr>
      </w:pPr>
      <w:r>
        <w:rPr>
          <w:rFonts w:ascii="仿宋_GB2312" w:eastAsia="仿宋_GB2312" w:cs="仿宋_GB2312"/>
          <w:kern w:val="0"/>
          <w:sz w:val="24"/>
          <w:szCs w:val="32"/>
        </w:rPr>
        <w:drawing>
          <wp:inline distT="0" distB="0" distL="0" distR="0">
            <wp:extent cx="5274310" cy="33058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0B5E">
      <w:pPr>
        <w:autoSpaceDE w:val="0"/>
        <w:autoSpaceDN w:val="0"/>
        <w:adjustRightInd w:val="0"/>
        <w:spacing w:line="360" w:lineRule="auto"/>
        <w:ind w:firstLine="482" w:firstLineChars="200"/>
        <w:jc w:val="center"/>
        <w:rPr>
          <w:rFonts w:ascii="仿宋_GB2312" w:eastAsia="仿宋_GB2312" w:cs="仿宋_GB2312"/>
          <w:b/>
          <w:kern w:val="0"/>
          <w:sz w:val="24"/>
          <w:szCs w:val="32"/>
        </w:rPr>
      </w:pPr>
      <w:r>
        <w:rPr>
          <w:rFonts w:hint="eastAsia" w:ascii="仿宋_GB2312" w:eastAsia="仿宋_GB2312" w:cs="仿宋_GB2312"/>
          <w:b/>
          <w:kern w:val="0"/>
          <w:sz w:val="24"/>
          <w:szCs w:val="32"/>
        </w:rPr>
        <w:t>图</w:t>
      </w:r>
      <w:r>
        <w:rPr>
          <w:rFonts w:ascii="仿宋_GB2312" w:eastAsia="仿宋_GB2312" w:cs="仿宋_GB2312"/>
          <w:b/>
          <w:kern w:val="0"/>
          <w:sz w:val="24"/>
          <w:szCs w:val="32"/>
        </w:rPr>
        <w:t xml:space="preserve">3 </w:t>
      </w:r>
      <w:r>
        <w:rPr>
          <w:rFonts w:hint="eastAsia" w:ascii="仿宋_GB2312" w:eastAsia="仿宋_GB2312" w:cs="仿宋_GB2312"/>
          <w:b/>
          <w:kern w:val="0"/>
          <w:sz w:val="24"/>
          <w:szCs w:val="32"/>
        </w:rPr>
        <w:t>土地利用规划图</w:t>
      </w:r>
    </w:p>
    <w:p w14:paraId="1DE0963D">
      <w:pPr>
        <w:autoSpaceDE w:val="0"/>
        <w:autoSpaceDN w:val="0"/>
        <w:adjustRightInd w:val="0"/>
        <w:spacing w:line="360" w:lineRule="auto"/>
        <w:jc w:val="center"/>
        <w:rPr>
          <w:rFonts w:ascii="仿宋_GB2312" w:eastAsia="仿宋_GB2312" w:cs="仿宋_GB2312"/>
          <w:kern w:val="0"/>
          <w:sz w:val="24"/>
          <w:szCs w:val="32"/>
        </w:rPr>
      </w:pPr>
    </w:p>
    <w:p w14:paraId="7746A207">
      <w:pPr>
        <w:autoSpaceDE w:val="0"/>
        <w:autoSpaceDN w:val="0"/>
        <w:adjustRightInd w:val="0"/>
        <w:spacing w:line="360" w:lineRule="auto"/>
        <w:ind w:firstLine="482" w:firstLineChars="200"/>
        <w:jc w:val="center"/>
        <w:rPr>
          <w:rFonts w:ascii="仿宋_GB2312" w:eastAsia="仿宋_GB2312" w:cs="仿宋_GB2312"/>
          <w:b/>
          <w:kern w:val="0"/>
          <w:sz w:val="24"/>
          <w:szCs w:val="32"/>
        </w:rPr>
      </w:pPr>
      <w:r>
        <w:rPr>
          <w:rFonts w:hint="eastAsia" w:ascii="仿宋_GB2312" w:eastAsia="仿宋_GB2312" w:cs="仿宋_GB2312"/>
          <w:b/>
          <w:kern w:val="0"/>
          <w:sz w:val="24"/>
          <w:szCs w:val="32"/>
        </w:rPr>
        <w:t>规划用地汇总表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164"/>
        <w:gridCol w:w="1166"/>
        <w:gridCol w:w="2185"/>
        <w:gridCol w:w="1164"/>
        <w:gridCol w:w="1829"/>
      </w:tblGrid>
      <w:tr w14:paraId="1C7A6A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196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4677372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用地代码</w:t>
            </w:r>
          </w:p>
        </w:tc>
        <w:tc>
          <w:tcPr>
            <w:tcW w:w="12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 w14:paraId="33B3888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用地名称</w:t>
            </w:r>
          </w:p>
        </w:tc>
        <w:tc>
          <w:tcPr>
            <w:tcW w:w="6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 w14:paraId="72569A4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用地面积（公顷）</w:t>
            </w:r>
          </w:p>
        </w:tc>
        <w:tc>
          <w:tcPr>
            <w:tcW w:w="107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 w14:paraId="1838ADEE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占城乡用地比例（%）</w:t>
            </w:r>
          </w:p>
        </w:tc>
      </w:tr>
      <w:tr w14:paraId="41461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tblHeader/>
        </w:trPr>
        <w:tc>
          <w:tcPr>
            <w:tcW w:w="59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FE5C320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一级类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595A23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二级类</w:t>
            </w: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C5A8375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三级类</w:t>
            </w:r>
          </w:p>
        </w:tc>
        <w:tc>
          <w:tcPr>
            <w:tcW w:w="12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 w14:paraId="574283C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 w14:paraId="76AAB65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 w14:paraId="396A1F5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 w14:paraId="51CEF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67D432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03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970CBE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林地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2FC5C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F9D599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3.29</w:t>
            </w:r>
          </w:p>
        </w:tc>
      </w:tr>
      <w:tr w14:paraId="52CFE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B1F9F5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07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19983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居住用地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7E9462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39.72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7253B0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58.66</w:t>
            </w:r>
          </w:p>
        </w:tc>
      </w:tr>
      <w:tr w14:paraId="46F84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F27663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E97DFF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0701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7B4A16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城镇住宅用地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B2FBCE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39.72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15B1C1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58.66</w:t>
            </w:r>
          </w:p>
        </w:tc>
      </w:tr>
      <w:tr w14:paraId="29FD4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B603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7BFCC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17D551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070102</w:t>
            </w:r>
          </w:p>
        </w:tc>
        <w:tc>
          <w:tcPr>
            <w:tcW w:w="12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2A5BB3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二类城镇住宅用地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1529C4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39.72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0B813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58.66</w:t>
            </w:r>
          </w:p>
        </w:tc>
      </w:tr>
      <w:tr w14:paraId="3D48E2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44B255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08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69A6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公共管理与公共服务用地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1292B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8.02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EF938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11.84</w:t>
            </w:r>
          </w:p>
        </w:tc>
      </w:tr>
      <w:tr w14:paraId="0B9B52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9BE7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66230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0804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635B5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教育用地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C3DD24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8.02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D01B34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11.84</w:t>
            </w:r>
          </w:p>
        </w:tc>
      </w:tr>
      <w:tr w14:paraId="67270C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5CB8D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9B76B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CC69F4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080403</w:t>
            </w:r>
          </w:p>
        </w:tc>
        <w:tc>
          <w:tcPr>
            <w:tcW w:w="12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5F4A6A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中小学用地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7BD65F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7.42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0951D1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10.95</w:t>
            </w:r>
          </w:p>
        </w:tc>
      </w:tr>
      <w:tr w14:paraId="58B21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CED0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136F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DCF2D0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080404</w:t>
            </w:r>
          </w:p>
        </w:tc>
        <w:tc>
          <w:tcPr>
            <w:tcW w:w="12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387845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幼儿园用地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2A46AB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0.60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27939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0.88</w:t>
            </w:r>
          </w:p>
        </w:tc>
      </w:tr>
      <w:tr w14:paraId="6CCF68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9DE7F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09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617840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商业服务业用地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04A30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3.24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984365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4.78</w:t>
            </w:r>
          </w:p>
        </w:tc>
      </w:tr>
      <w:tr w14:paraId="074E24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8227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564621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0901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23A42B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商业用地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ADFC0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1BE29E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2.63</w:t>
            </w:r>
          </w:p>
        </w:tc>
      </w:tr>
      <w:tr w14:paraId="6721F6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CB51A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3C9DE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8FC6D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090101</w:t>
            </w:r>
          </w:p>
        </w:tc>
        <w:tc>
          <w:tcPr>
            <w:tcW w:w="12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5902F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零售商业用地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D2DF95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C20379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2.63</w:t>
            </w:r>
          </w:p>
        </w:tc>
      </w:tr>
      <w:tr w14:paraId="5F49D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A0CF0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75904F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0902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3D5C8D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商务金融用地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B9A82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858A82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2.15</w:t>
            </w:r>
          </w:p>
        </w:tc>
      </w:tr>
      <w:tr w14:paraId="479A7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9D0BAD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AD021A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工矿用地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2397E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7.15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69D83B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10.56</w:t>
            </w:r>
          </w:p>
        </w:tc>
      </w:tr>
      <w:tr w14:paraId="17A949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EB25A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B18B2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1001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B422A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工业用地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E85B2F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7.15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1162B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10.56</w:t>
            </w:r>
          </w:p>
        </w:tc>
      </w:tr>
      <w:tr w14:paraId="0FEC3D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0C2C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EA704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EB727A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100101</w:t>
            </w:r>
          </w:p>
        </w:tc>
        <w:tc>
          <w:tcPr>
            <w:tcW w:w="12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283EF9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一类工业用地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B594F9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7.15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A3A6A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10.56</w:t>
            </w:r>
          </w:p>
        </w:tc>
      </w:tr>
      <w:tr w14:paraId="231F0E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22B984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68EDC0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交通运输用地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0A0044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5.90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53AA2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8.71</w:t>
            </w:r>
          </w:p>
        </w:tc>
      </w:tr>
      <w:tr w14:paraId="30D1EF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261D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81051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1207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E9B993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城镇村道路用地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2BC9F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5.90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870764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8.71</w:t>
            </w:r>
          </w:p>
        </w:tc>
      </w:tr>
      <w:tr w14:paraId="02E8F1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5B6F23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BFDACE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公用设施用地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EE636E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0.10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54A68F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0.15</w:t>
            </w:r>
          </w:p>
        </w:tc>
      </w:tr>
      <w:tr w14:paraId="4A7E9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593A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B96279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1303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BE471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供电用地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ABB065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0.10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C9190D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0.15</w:t>
            </w:r>
          </w:p>
        </w:tc>
      </w:tr>
      <w:tr w14:paraId="5F69E0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EF277F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264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4458A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绿地与开敞空间用地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F1EF2B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4CA639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2.01</w:t>
            </w:r>
          </w:p>
        </w:tc>
      </w:tr>
      <w:tr w14:paraId="6376F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D2ED5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646C9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1401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641DE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公园绿地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57CD88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5F259D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1.98</w:t>
            </w:r>
          </w:p>
        </w:tc>
      </w:tr>
      <w:tr w14:paraId="496F6D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02AA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FDC420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1402</w:t>
            </w:r>
          </w:p>
        </w:tc>
        <w:tc>
          <w:tcPr>
            <w:tcW w:w="196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D444D7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防护绿地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5428CC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EAD83F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0.03</w:t>
            </w:r>
          </w:p>
        </w:tc>
      </w:tr>
      <w:tr w14:paraId="14090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24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78608A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规划总用地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9A1273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67.72</w:t>
            </w:r>
          </w:p>
        </w:tc>
        <w:tc>
          <w:tcPr>
            <w:tcW w:w="10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5E7FD"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100.00</w:t>
            </w:r>
          </w:p>
        </w:tc>
      </w:tr>
    </w:tbl>
    <w:p w14:paraId="56E99032">
      <w:pPr>
        <w:autoSpaceDE w:val="0"/>
        <w:autoSpaceDN w:val="0"/>
        <w:adjustRightInd w:val="0"/>
        <w:spacing w:line="360" w:lineRule="auto"/>
        <w:ind w:firstLine="480" w:firstLineChars="200"/>
        <w:rPr>
          <w:rFonts w:ascii="仿宋_GB2312" w:eastAsia="仿宋_GB2312" w:cs="仿宋_GB2312"/>
          <w:kern w:val="0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055FAB"/>
    <w:rsid w:val="0001326B"/>
    <w:rsid w:val="0004266B"/>
    <w:rsid w:val="00055FAB"/>
    <w:rsid w:val="00082B25"/>
    <w:rsid w:val="000A5C18"/>
    <w:rsid w:val="000F4FAA"/>
    <w:rsid w:val="00102B9B"/>
    <w:rsid w:val="00131016"/>
    <w:rsid w:val="0014730A"/>
    <w:rsid w:val="0016358B"/>
    <w:rsid w:val="00167220"/>
    <w:rsid w:val="001A599F"/>
    <w:rsid w:val="001D3A4A"/>
    <w:rsid w:val="001F6D13"/>
    <w:rsid w:val="00252DE7"/>
    <w:rsid w:val="0025746A"/>
    <w:rsid w:val="002A3095"/>
    <w:rsid w:val="002D2C41"/>
    <w:rsid w:val="00303146"/>
    <w:rsid w:val="00321335"/>
    <w:rsid w:val="00330935"/>
    <w:rsid w:val="00343C15"/>
    <w:rsid w:val="003E0944"/>
    <w:rsid w:val="005017E5"/>
    <w:rsid w:val="00514FE0"/>
    <w:rsid w:val="005766F0"/>
    <w:rsid w:val="00594CA5"/>
    <w:rsid w:val="005A5860"/>
    <w:rsid w:val="005E2B67"/>
    <w:rsid w:val="005E6C64"/>
    <w:rsid w:val="00663735"/>
    <w:rsid w:val="00670297"/>
    <w:rsid w:val="006B5131"/>
    <w:rsid w:val="006B6F75"/>
    <w:rsid w:val="006F20C0"/>
    <w:rsid w:val="006F41A4"/>
    <w:rsid w:val="00704386"/>
    <w:rsid w:val="0072167F"/>
    <w:rsid w:val="00746874"/>
    <w:rsid w:val="00762C9D"/>
    <w:rsid w:val="00773216"/>
    <w:rsid w:val="0081160E"/>
    <w:rsid w:val="008553DA"/>
    <w:rsid w:val="008A6FFC"/>
    <w:rsid w:val="00917776"/>
    <w:rsid w:val="009270AA"/>
    <w:rsid w:val="00943CDA"/>
    <w:rsid w:val="009766AE"/>
    <w:rsid w:val="009939EB"/>
    <w:rsid w:val="009E3B0A"/>
    <w:rsid w:val="009F743B"/>
    <w:rsid w:val="00A514DD"/>
    <w:rsid w:val="00A56F23"/>
    <w:rsid w:val="00A7156C"/>
    <w:rsid w:val="00AD1EB4"/>
    <w:rsid w:val="00B4669A"/>
    <w:rsid w:val="00B543D4"/>
    <w:rsid w:val="00B56E42"/>
    <w:rsid w:val="00B86B72"/>
    <w:rsid w:val="00BA4BFB"/>
    <w:rsid w:val="00BD39D3"/>
    <w:rsid w:val="00C40388"/>
    <w:rsid w:val="00C75F2E"/>
    <w:rsid w:val="00D06834"/>
    <w:rsid w:val="00D40DEC"/>
    <w:rsid w:val="00DA039B"/>
    <w:rsid w:val="00DF3A5D"/>
    <w:rsid w:val="00E01B0A"/>
    <w:rsid w:val="00E11F32"/>
    <w:rsid w:val="00E22546"/>
    <w:rsid w:val="00E73568"/>
    <w:rsid w:val="00E7495F"/>
    <w:rsid w:val="00EE4F8A"/>
    <w:rsid w:val="00EF12A2"/>
    <w:rsid w:val="00EF3268"/>
    <w:rsid w:val="00F220B8"/>
    <w:rsid w:val="00F82B8F"/>
    <w:rsid w:val="00F851A5"/>
    <w:rsid w:val="00F87B8B"/>
    <w:rsid w:val="00F90D49"/>
    <w:rsid w:val="00F932A3"/>
    <w:rsid w:val="00FB2723"/>
    <w:rsid w:val="02A12ECC"/>
    <w:rsid w:val="0B792C38"/>
    <w:rsid w:val="0D8E071D"/>
    <w:rsid w:val="0FBA737B"/>
    <w:rsid w:val="141C4E67"/>
    <w:rsid w:val="1A136006"/>
    <w:rsid w:val="1F672950"/>
    <w:rsid w:val="1F9C084C"/>
    <w:rsid w:val="206F5F60"/>
    <w:rsid w:val="218346CA"/>
    <w:rsid w:val="2613738E"/>
    <w:rsid w:val="27790B69"/>
    <w:rsid w:val="325D20BC"/>
    <w:rsid w:val="329830F5"/>
    <w:rsid w:val="344F1ED9"/>
    <w:rsid w:val="35B437F3"/>
    <w:rsid w:val="36941E25"/>
    <w:rsid w:val="37661A13"/>
    <w:rsid w:val="379540A7"/>
    <w:rsid w:val="3A0B68A2"/>
    <w:rsid w:val="3A4F678F"/>
    <w:rsid w:val="3AAC0569"/>
    <w:rsid w:val="3E7F1971"/>
    <w:rsid w:val="3F0B3E88"/>
    <w:rsid w:val="455106CE"/>
    <w:rsid w:val="467D28D5"/>
    <w:rsid w:val="4BBA3C84"/>
    <w:rsid w:val="4BD42F98"/>
    <w:rsid w:val="4E791BD4"/>
    <w:rsid w:val="4F8B7E11"/>
    <w:rsid w:val="5FCB425A"/>
    <w:rsid w:val="621719D8"/>
    <w:rsid w:val="63DF02D4"/>
    <w:rsid w:val="65071890"/>
    <w:rsid w:val="661A3845"/>
    <w:rsid w:val="679D64DC"/>
    <w:rsid w:val="68EE596E"/>
    <w:rsid w:val="69313380"/>
    <w:rsid w:val="6BFB0280"/>
    <w:rsid w:val="6EA14B04"/>
    <w:rsid w:val="6EEE586F"/>
    <w:rsid w:val="6EF61C04"/>
    <w:rsid w:val="6F097BAC"/>
    <w:rsid w:val="6F771D08"/>
    <w:rsid w:val="706758D9"/>
    <w:rsid w:val="73ED60FB"/>
    <w:rsid w:val="75DC0B17"/>
    <w:rsid w:val="77275DC2"/>
    <w:rsid w:val="785B3F75"/>
    <w:rsid w:val="78B35B5F"/>
    <w:rsid w:val="7CE0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spacing w:line="560" w:lineRule="exact"/>
      <w:outlineLvl w:val="1"/>
    </w:pPr>
    <w:rPr>
      <w:rFonts w:ascii="Arial" w:hAnsi="Arial" w:eastAsia="黑体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字符"/>
    <w:basedOn w:val="8"/>
    <w:link w:val="6"/>
    <w:qFormat/>
    <w:uiPriority w:val="1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2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4</Pages>
  <Words>715</Words>
  <Characters>1010</Characters>
  <Lines>8</Lines>
  <Paragraphs>2</Paragraphs>
  <TotalTime>31</TotalTime>
  <ScaleCrop>false</ScaleCrop>
  <LinksUpToDate>false</LinksUpToDate>
  <CharactersWithSpaces>1013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2024-09-25T13:19:00Z</dcterms:created>
  <dc:creator>Administration</dc:creator>
  <cp:lastModifiedBy>8237476420</cp:lastModifiedBy>
  <cp:lastPrinted>2024-09-25T13:35:00Z</cp:lastPrinted>
  <dcterms:modified xsi:type="dcterms:W3CDTF">2024-09-29T01:36:37Z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1500E6421BD14A76AFC1F74F6DEEF448_13</vt:lpwstr>
  </property>
</Properties>
</file>