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b/>
          <w:sz w:val="44"/>
          <w:szCs w:val="44"/>
          <w:lang w:val="en-US" w:eastAsia="zh-CN"/>
        </w:rPr>
      </w:pPr>
      <w:bookmarkStart w:id="33" w:name="_GoBack"/>
      <w:bookmarkEnd w:id="33"/>
    </w:p>
    <w:p>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eastAsia" w:ascii="方正仿宋_GB2312" w:hAnsi="方正仿宋_GB2312" w:eastAsia="方正仿宋_GB2312" w:cs="方正仿宋_GB2312"/>
          <w:b/>
          <w:sz w:val="40"/>
          <w:szCs w:val="40"/>
          <w:lang w:val="en-US" w:eastAsia="zh-CN"/>
        </w:rPr>
      </w:pPr>
      <w:r>
        <w:rPr>
          <w:rFonts w:hint="eastAsia" w:ascii="方正仿宋_GB2312" w:hAnsi="方正仿宋_GB2312" w:eastAsia="方正仿宋_GB2312" w:cs="方正仿宋_GB2312"/>
          <w:b/>
          <w:sz w:val="40"/>
          <w:szCs w:val="40"/>
          <w:lang w:val="en-US" w:eastAsia="zh-CN"/>
        </w:rPr>
        <w:t>佛冈县</w:t>
      </w:r>
      <w:r>
        <w:rPr>
          <w:rFonts w:hint="eastAsia" w:ascii="方正仿宋_GB2312" w:hAnsi="方正仿宋_GB2312" w:eastAsia="方正仿宋_GB2312" w:cs="方正仿宋_GB2312"/>
          <w:b/>
          <w:sz w:val="40"/>
          <w:szCs w:val="40"/>
        </w:rPr>
        <w:t>部分</w:t>
      </w:r>
      <w:r>
        <w:rPr>
          <w:rFonts w:hint="eastAsia" w:ascii="方正仿宋_GB2312" w:hAnsi="方正仿宋_GB2312" w:eastAsia="方正仿宋_GB2312" w:cs="方正仿宋_GB2312"/>
          <w:b/>
          <w:spacing w:val="3"/>
          <w:w w:val="93"/>
          <w:sz w:val="40"/>
          <w:szCs w:val="40"/>
        </w:rPr>
        <w:t>饮用水水源</w:t>
      </w:r>
      <w:r>
        <w:rPr>
          <w:rFonts w:hint="eastAsia" w:ascii="方正仿宋_GB2312" w:hAnsi="方正仿宋_GB2312" w:eastAsia="方正仿宋_GB2312" w:cs="方正仿宋_GB2312"/>
          <w:b/>
          <w:sz w:val="40"/>
          <w:szCs w:val="40"/>
        </w:rPr>
        <w:t>保护区调整</w:t>
      </w:r>
      <w:r>
        <w:rPr>
          <w:rFonts w:hint="eastAsia" w:ascii="方正仿宋_GB2312" w:hAnsi="方正仿宋_GB2312" w:eastAsia="方正仿宋_GB2312" w:cs="方正仿宋_GB2312"/>
          <w:b/>
          <w:sz w:val="40"/>
          <w:szCs w:val="40"/>
          <w:lang w:val="en-US" w:eastAsia="zh-CN"/>
        </w:rPr>
        <w:t>方案</w:t>
      </w:r>
    </w:p>
    <w:p>
      <w:pPr>
        <w:bidi w:val="0"/>
        <w:rPr>
          <w:rFonts w:hint="eastAsia"/>
          <w:lang w:eastAsia="zh-CN"/>
        </w:rPr>
      </w:pPr>
    </w:p>
    <w:p>
      <w:pPr>
        <w:bidi w:val="0"/>
        <w:rPr>
          <w:rFonts w:hint="eastAsia"/>
          <w:lang w:eastAsia="zh-CN"/>
        </w:rPr>
      </w:pPr>
    </w:p>
    <w:p>
      <w:pPr>
        <w:pStyle w:val="2"/>
        <w:keepNext/>
        <w:keepLines/>
        <w:pageBreakBefore w:val="0"/>
        <w:widowControl w:val="0"/>
        <w:numPr>
          <w:ilvl w:val="2"/>
          <w:numId w:val="0"/>
        </w:numPr>
        <w:kinsoku/>
        <w:wordWrap/>
        <w:overflowPunct/>
        <w:topLinePunct w:val="0"/>
        <w:autoSpaceDE/>
        <w:autoSpaceDN/>
        <w:bidi w:val="0"/>
        <w:adjustRightInd/>
        <w:snapToGrid/>
        <w:spacing w:before="0" w:after="0" w:line="360" w:lineRule="auto"/>
        <w:textAlignment w:val="auto"/>
        <w:rPr>
          <w:rFonts w:hint="eastAsia" w:ascii="方正仿宋_GB2312" w:hAnsi="方正仿宋_GB2312" w:eastAsia="方正仿宋_GB2312" w:cs="方正仿宋_GB2312"/>
          <w:b/>
          <w:sz w:val="32"/>
          <w:szCs w:val="32"/>
          <w:lang w:val="en-US" w:eastAsia="zh-CN" w:bidi="ar-SA"/>
        </w:rPr>
      </w:pPr>
      <w:r>
        <w:rPr>
          <w:rFonts w:hint="eastAsia" w:ascii="方正仿宋_GB2312" w:hAnsi="方正仿宋_GB2312" w:eastAsia="方正仿宋_GB2312" w:cs="方正仿宋_GB2312"/>
          <w:b/>
          <w:sz w:val="32"/>
          <w:szCs w:val="32"/>
          <w:lang w:val="en-US" w:eastAsia="zh-CN" w:bidi="ar-SA"/>
        </w:rPr>
        <w:t>一、调整前保护区范围</w:t>
      </w:r>
    </w:p>
    <w:p>
      <w:pPr>
        <w:widowControl/>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w:t>
      </w:r>
      <w:bookmarkStart w:id="0" w:name="_Toc28790"/>
      <w:bookmarkStart w:id="1" w:name="_Toc15875"/>
      <w:bookmarkStart w:id="2" w:name="_Toc27446"/>
      <w:bookmarkStart w:id="3" w:name="_Toc9128"/>
      <w:bookmarkStart w:id="4" w:name="_Toc7958"/>
      <w:bookmarkStart w:id="5" w:name="_Toc32631"/>
      <w:bookmarkStart w:id="6" w:name="_Toc6654"/>
      <w:bookmarkStart w:id="7" w:name="_Toc26281"/>
      <w:bookmarkStart w:id="8" w:name="_Toc11311"/>
      <w:bookmarkStart w:id="9" w:name="_Toc26226"/>
      <w:bookmarkStart w:id="10" w:name="_Toc26925"/>
      <w:bookmarkStart w:id="11" w:name="_Toc12015"/>
      <w:bookmarkStart w:id="12" w:name="_Toc11893"/>
      <w:bookmarkStart w:id="13" w:name="_Toc16156"/>
      <w:bookmarkStart w:id="14" w:name="_Toc27643"/>
      <w:bookmarkStart w:id="15" w:name="_Toc26116"/>
      <w:bookmarkStart w:id="16" w:name="_Toc27304"/>
      <w:bookmarkStart w:id="17" w:name="_Toc17035"/>
      <w:bookmarkStart w:id="18" w:name="_Toc12966"/>
      <w:bookmarkStart w:id="19" w:name="_Toc31976"/>
      <w:bookmarkStart w:id="20" w:name="_Toc19650"/>
      <w:bookmarkStart w:id="21" w:name="_Toc17998"/>
      <w:bookmarkStart w:id="22" w:name="_Toc25417"/>
      <w:bookmarkStart w:id="23" w:name="_Toc8194"/>
      <w:bookmarkStart w:id="24" w:name="_Toc8273"/>
      <w:bookmarkStart w:id="25" w:name="_Toc7258"/>
      <w:bookmarkStart w:id="26" w:name="_Toc30031"/>
      <w:bookmarkStart w:id="27" w:name="_Toc13359"/>
      <w:bookmarkStart w:id="28" w:name="_Toc31188"/>
      <w:bookmarkStart w:id="29" w:name="_Toc25237"/>
      <w:bookmarkStart w:id="30" w:name="_Toc3157"/>
      <w:bookmarkStart w:id="31" w:name="_Toc31270"/>
      <w:bookmarkStart w:id="32" w:name="_Toc19343"/>
      <w:r>
        <w:rPr>
          <w:rFonts w:hint="default" w:ascii="Times New Roman" w:hAnsi="Times New Roman" w:eastAsia="宋体" w:cs="Times New Roman"/>
          <w:color w:val="auto"/>
          <w:sz w:val="24"/>
          <w:lang w:val="en-US" w:eastAsia="zh-CN"/>
        </w:rPr>
        <w:t>广东省人民政府关于调整清远市部分饮用水水源保护区的批复》（粤府函[2018] 429号）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坝仔坑（新</w:t>
      </w:r>
      <w:r>
        <w:rPr>
          <w:rFonts w:hint="default" w:ascii="Times New Roman" w:hAnsi="Times New Roman" w:eastAsia="宋体" w:cs="Times New Roman"/>
          <w:color w:val="auto"/>
          <w:sz w:val="24"/>
          <w:lang w:val="en-US" w:eastAsia="zh-CN"/>
        </w:rPr>
        <w:t>取水口</w:t>
      </w:r>
      <w:r>
        <w:rPr>
          <w:rFonts w:hint="default" w:ascii="Times New Roman" w:hAnsi="Times New Roman" w:eastAsia="宋体" w:cs="Times New Roman"/>
          <w:color w:val="auto"/>
          <w:sz w:val="24"/>
        </w:rPr>
        <w:t>）饮用水水源保护区</w:t>
      </w:r>
      <w:r>
        <w:rPr>
          <w:rFonts w:hint="default" w:ascii="Times New Roman" w:hAnsi="Times New Roman" w:eastAsia="宋体" w:cs="Times New Roman"/>
          <w:color w:val="auto"/>
          <w:sz w:val="24"/>
          <w:lang w:val="en-US" w:eastAsia="zh-CN"/>
        </w:rPr>
        <w:t>范围如下：</w:t>
      </w:r>
    </w:p>
    <w:p>
      <w:pPr>
        <w:spacing w:line="360" w:lineRule="auto"/>
        <w:ind w:firstLine="360" w:firstLineChars="1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（1）一级保护区</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水域：</w:t>
      </w:r>
      <w:r>
        <w:rPr>
          <w:rFonts w:hint="default" w:ascii="Times New Roman" w:hAnsi="Times New Roman" w:eastAsia="宋体" w:cs="Times New Roman"/>
          <w:color w:val="auto"/>
          <w:sz w:val="24"/>
          <w:szCs w:val="24"/>
          <w:highlight w:val="none"/>
          <w:vertAlign w:val="baseline"/>
          <w:lang w:val="en-US" w:eastAsia="zh-CN"/>
        </w:rPr>
        <w:t>取水口上游1000米至下游100米河流正常水位线以下的全部水域。</w:t>
      </w:r>
    </w:p>
    <w:p>
      <w:pPr>
        <w:numPr>
          <w:ilvl w:val="255"/>
          <w:numId w:val="0"/>
        </w:numPr>
        <w:spacing w:line="360" w:lineRule="auto"/>
        <w:ind w:firstLine="480" w:firstLineChars="200"/>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rPr>
        <w:t>陆域：</w:t>
      </w:r>
      <w:r>
        <w:rPr>
          <w:rFonts w:hint="default" w:ascii="Times New Roman" w:hAnsi="Times New Roman" w:eastAsia="宋体" w:cs="Times New Roman"/>
          <w:color w:val="auto"/>
          <w:sz w:val="24"/>
          <w:szCs w:val="24"/>
          <w:highlight w:val="none"/>
          <w:vertAlign w:val="baseline"/>
          <w:lang w:val="en-US" w:eastAsia="zh-CN"/>
        </w:rPr>
        <w:t>相应一级保护区水域边界分别向两岸纵深至堤围迎水坡堤肩线。</w:t>
      </w:r>
    </w:p>
    <w:p>
      <w:pPr>
        <w:numPr>
          <w:ilvl w:val="255"/>
          <w:numId w:val="0"/>
        </w:num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一级保护区面积：</w:t>
      </w:r>
      <w:r>
        <w:rPr>
          <w:rFonts w:hint="default" w:ascii="Times New Roman" w:hAnsi="Times New Roman" w:eastAsia="宋体" w:cs="Times New Roman"/>
          <w:color w:val="auto"/>
          <w:sz w:val="24"/>
          <w:lang w:val="en-US" w:eastAsia="zh-CN"/>
        </w:rPr>
        <w:t>0.156</w:t>
      </w:r>
      <w:r>
        <w:rPr>
          <w:rFonts w:hint="default" w:ascii="Times New Roman" w:hAnsi="Times New Roman" w:eastAsia="宋体" w:cs="Times New Roman"/>
          <w:color w:val="auto"/>
          <w:sz w:val="24"/>
        </w:rPr>
        <w:t xml:space="preserve"> 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p>
      <w:pPr>
        <w:spacing w:line="360" w:lineRule="auto"/>
        <w:ind w:firstLine="360" w:firstLineChars="1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（2）二级保护区</w:t>
      </w:r>
    </w:p>
    <w:p>
      <w:pPr>
        <w:numPr>
          <w:ilvl w:val="255"/>
          <w:numId w:val="0"/>
        </w:num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水域：</w:t>
      </w:r>
      <w:r>
        <w:rPr>
          <w:rFonts w:hint="default" w:ascii="Times New Roman" w:hAnsi="Times New Roman" w:eastAsia="宋体" w:cs="Times New Roman"/>
          <w:color w:val="auto"/>
          <w:sz w:val="24"/>
          <w:szCs w:val="24"/>
          <w:vertAlign w:val="baseline"/>
          <w:lang w:val="en-US" w:eastAsia="zh-CN"/>
        </w:rPr>
        <w:t>一级保护区上边界上溯2000米，下边界下溯200米河流正常水位线以下的全部水域。</w:t>
      </w:r>
    </w:p>
    <w:p>
      <w:pPr>
        <w:numPr>
          <w:ilvl w:val="255"/>
          <w:numId w:val="0"/>
        </w:num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陆域：</w:t>
      </w:r>
      <w:r>
        <w:rPr>
          <w:rFonts w:hint="default" w:ascii="Times New Roman" w:hAnsi="Times New Roman" w:eastAsia="宋体" w:cs="Times New Roman"/>
          <w:color w:val="auto"/>
          <w:sz w:val="24"/>
          <w:szCs w:val="24"/>
          <w:highlight w:val="none"/>
          <w:vertAlign w:val="baseline"/>
          <w:lang w:val="en-US" w:eastAsia="zh-CN"/>
        </w:rPr>
        <w:t>相应二级保护区水域边界分别向两岸纵深至堤围迎水坡堤肩线。</w:t>
      </w:r>
    </w:p>
    <w:p>
      <w:pPr>
        <w:widowControl/>
        <w:numPr>
          <w:ilvl w:val="255"/>
          <w:numId w:val="0"/>
        </w:numPr>
        <w:spacing w:line="360" w:lineRule="auto"/>
        <w:ind w:firstLine="480" w:firstLineChars="200"/>
        <w:rPr>
          <w:rFonts w:ascii="Times New Roman" w:hAnsi="Times New Roman" w:cs="Times New Roman"/>
          <w:color w:val="auto"/>
        </w:rPr>
      </w:pPr>
      <w:r>
        <w:rPr>
          <w:rFonts w:hint="default" w:ascii="Times New Roman" w:hAnsi="Times New Roman" w:eastAsia="宋体" w:cs="Times New Roman"/>
          <w:color w:val="auto"/>
          <w:sz w:val="24"/>
        </w:rPr>
        <w:t>二级保护区面积：</w:t>
      </w:r>
      <w:r>
        <w:rPr>
          <w:rFonts w:hint="default" w:ascii="Times New Roman" w:hAnsi="Times New Roman" w:eastAsia="宋体" w:cs="Times New Roman"/>
          <w:color w:val="auto"/>
          <w:sz w:val="24"/>
          <w:lang w:val="en-US" w:eastAsia="zh-CN"/>
        </w:rPr>
        <w:t>0.355</w:t>
      </w:r>
      <w:r>
        <w:rPr>
          <w:rFonts w:hint="default" w:ascii="Times New Roman" w:hAnsi="Times New Roman" w:eastAsia="宋体" w:cs="Times New Roman"/>
          <w:color w:val="auto"/>
          <w:sz w:val="24"/>
        </w:rPr>
        <w:t xml:space="preserve"> km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p>
      <w:pPr>
        <w:pStyle w:val="5"/>
        <w:numPr>
          <w:ilvl w:val="3"/>
          <w:numId w:val="0"/>
        </w:numPr>
        <w:spacing w:before="0" w:after="0" w:line="360" w:lineRule="auto"/>
        <w:rPr>
          <w:rFonts w:hint="eastAsia" w:ascii="方正仿宋_GB2312" w:hAnsi="方正仿宋_GB2312" w:eastAsia="方正仿宋_GB2312" w:cs="方正仿宋_GB2312"/>
          <w:b/>
          <w:sz w:val="32"/>
          <w:szCs w:val="32"/>
          <w:lang w:val="en-US" w:eastAsia="zh-CN" w:bidi="ar-SA"/>
        </w:rPr>
      </w:pPr>
      <w:r>
        <w:rPr>
          <w:rFonts w:hint="eastAsia" w:ascii="方正仿宋_GB2312" w:hAnsi="方正仿宋_GB2312" w:eastAsia="方正仿宋_GB2312" w:cs="方正仿宋_GB2312"/>
          <w:b/>
          <w:sz w:val="32"/>
          <w:szCs w:val="32"/>
          <w:lang w:val="en-US" w:eastAsia="zh-CN" w:bidi="ar-SA"/>
        </w:rPr>
        <w:t>二、调整内容</w:t>
      </w:r>
    </w:p>
    <w:p>
      <w:pPr>
        <w:numPr>
          <w:ilvl w:val="255"/>
          <w:numId w:val="0"/>
        </w:numPr>
        <w:bidi w:val="0"/>
        <w:spacing w:line="360" w:lineRule="auto"/>
        <w:ind w:firstLine="480" w:firstLineChars="200"/>
        <w:rPr>
          <w:rFonts w:hint="default" w:ascii="Times New Roman" w:hAnsi="Times New Roman" w:cs="Times New Roman"/>
          <w:color w:val="auto"/>
          <w:sz w:val="24"/>
          <w:szCs w:val="32"/>
          <w:lang w:val="en-US" w:eastAsia="zh-CN"/>
        </w:rPr>
      </w:pPr>
      <w:r>
        <w:rPr>
          <w:rFonts w:hint="default" w:ascii="Times New Roman" w:hAnsi="Times New Roman" w:cs="Times New Roman" w:eastAsiaTheme="minorEastAsia"/>
          <w:color w:val="auto"/>
          <w:sz w:val="24"/>
          <w:szCs w:val="32"/>
          <w:highlight w:val="none"/>
          <w:lang w:val="en-US" w:eastAsia="zh-CN"/>
        </w:rPr>
        <w:t>由于</w:t>
      </w:r>
      <w:r>
        <w:rPr>
          <w:rFonts w:hint="default" w:ascii="Times New Roman" w:hAnsi="Times New Roman" w:cs="Times New Roman"/>
          <w:color w:val="auto"/>
          <w:sz w:val="24"/>
          <w:szCs w:val="32"/>
          <w:highlight w:val="none"/>
          <w:lang w:val="en-US" w:eastAsia="zh-CN"/>
        </w:rPr>
        <w:t>佛冈自来水厂在潖江的取水口</w:t>
      </w:r>
      <w:r>
        <w:rPr>
          <w:rFonts w:hint="eastAsia" w:cs="Times New Roman"/>
          <w:color w:val="auto"/>
          <w:sz w:val="24"/>
          <w:szCs w:val="32"/>
          <w:highlight w:val="none"/>
          <w:lang w:val="en-US" w:eastAsia="zh-CN"/>
        </w:rPr>
        <w:t>近期</w:t>
      </w:r>
      <w:r>
        <w:rPr>
          <w:rFonts w:hint="default" w:ascii="Times New Roman" w:hAnsi="Times New Roman" w:cs="Times New Roman" w:eastAsiaTheme="minorEastAsia"/>
          <w:color w:val="auto"/>
          <w:sz w:val="24"/>
          <w:szCs w:val="32"/>
          <w:highlight w:val="none"/>
          <w:lang w:val="en-US" w:eastAsia="zh-CN"/>
        </w:rPr>
        <w:t>即将</w:t>
      </w:r>
      <w:r>
        <w:rPr>
          <w:rFonts w:hint="default" w:ascii="Times New Roman" w:hAnsi="Times New Roman" w:cs="Times New Roman"/>
          <w:color w:val="auto"/>
          <w:sz w:val="24"/>
          <w:szCs w:val="32"/>
          <w:highlight w:val="none"/>
          <w:lang w:val="en-US" w:eastAsia="zh-CN"/>
        </w:rPr>
        <w:t>发生迁移</w:t>
      </w:r>
      <w:r>
        <w:rPr>
          <w:rFonts w:hint="eastAsia" w:cs="Times New Roman"/>
          <w:color w:val="auto"/>
          <w:sz w:val="24"/>
          <w:szCs w:val="32"/>
          <w:highlight w:val="none"/>
          <w:lang w:val="en-US" w:eastAsia="zh-CN"/>
        </w:rPr>
        <w:t>，迁移工程</w:t>
      </w:r>
      <w:r>
        <w:rPr>
          <w:rFonts w:hint="eastAsia"/>
          <w:color w:val="auto"/>
          <w:highlight w:val="none"/>
          <w:lang w:val="en-US" w:eastAsia="zh-CN"/>
        </w:rPr>
        <w:t>已于2023年8月取得</w:t>
      </w:r>
      <w:r>
        <w:rPr>
          <w:rFonts w:hint="eastAsia"/>
          <w:highlight w:val="none"/>
          <w:lang w:val="en-US" w:eastAsia="zh-CN"/>
        </w:rPr>
        <w:t>立项批复（</w:t>
      </w:r>
      <w:r>
        <w:rPr>
          <w:rFonts w:hint="eastAsia"/>
          <w:color w:val="auto"/>
          <w:highlight w:val="none"/>
          <w:lang w:val="en-US" w:eastAsia="zh-CN"/>
        </w:rPr>
        <w:t>佛发改</w:t>
      </w:r>
      <w:r>
        <w:rPr>
          <w:rFonts w:hint="default"/>
          <w:highlight w:val="none"/>
          <w:lang w:val="en-US" w:eastAsia="zh-CN"/>
        </w:rPr>
        <w:t>〔</w:t>
      </w:r>
      <w:r>
        <w:rPr>
          <w:rFonts w:hint="eastAsia"/>
          <w:highlight w:val="none"/>
          <w:lang w:val="en-US" w:eastAsia="zh-CN"/>
        </w:rPr>
        <w:t>2023</w:t>
      </w:r>
      <w:r>
        <w:rPr>
          <w:rFonts w:hint="default"/>
          <w:highlight w:val="none"/>
          <w:lang w:val="en-US" w:eastAsia="zh-CN"/>
        </w:rPr>
        <w:t>〕</w:t>
      </w:r>
      <w:r>
        <w:rPr>
          <w:rFonts w:hint="eastAsia"/>
          <w:highlight w:val="none"/>
          <w:lang w:val="en-US" w:eastAsia="zh-CN"/>
        </w:rPr>
        <w:t>209号）</w:t>
      </w:r>
      <w:r>
        <w:rPr>
          <w:rFonts w:hint="default" w:ascii="Times New Roman" w:hAnsi="Times New Roman" w:cs="Times New Roman"/>
          <w:color w:val="auto"/>
          <w:sz w:val="24"/>
          <w:szCs w:val="32"/>
          <w:highlight w:val="none"/>
          <w:lang w:val="en-US" w:eastAsia="zh-CN"/>
        </w:rPr>
        <w:t>，</w:t>
      </w:r>
      <w:r>
        <w:rPr>
          <w:rFonts w:hint="eastAsia" w:cs="Times New Roman"/>
          <w:color w:val="auto"/>
          <w:sz w:val="24"/>
          <w:szCs w:val="32"/>
          <w:highlight w:val="none"/>
          <w:lang w:val="en-US" w:eastAsia="zh-CN"/>
        </w:rPr>
        <w:t>且</w:t>
      </w:r>
      <w:r>
        <w:rPr>
          <w:rFonts w:hint="default" w:ascii="Times New Roman" w:hAnsi="Times New Roman" w:cs="Times New Roman" w:eastAsiaTheme="minorEastAsia"/>
          <w:color w:val="auto"/>
          <w:sz w:val="24"/>
          <w:szCs w:val="32"/>
          <w:lang w:val="en-US" w:eastAsia="zh-CN" w:bidi="ar-SA"/>
        </w:rPr>
        <w:t>京港澳高速公路粤境韶关武江至清远佛冈段位于</w:t>
      </w:r>
      <w:r>
        <w:rPr>
          <w:rFonts w:hint="default" w:ascii="Times New Roman" w:hAnsi="Times New Roman" w:cs="Times New Roman"/>
          <w:color w:val="auto"/>
          <w:sz w:val="24"/>
          <w:szCs w:val="32"/>
          <w:highlight w:val="none"/>
          <w:lang w:val="en-US" w:eastAsia="zh-CN"/>
        </w:rPr>
        <w:t>饮用水水源一级保护区内，将</w:t>
      </w:r>
      <w:r>
        <w:rPr>
          <w:rFonts w:hint="default" w:ascii="Times New Roman" w:hAnsi="Times New Roman" w:cs="Times New Roman" w:eastAsiaTheme="minorEastAsia"/>
          <w:color w:val="auto"/>
          <w:sz w:val="24"/>
          <w:szCs w:val="32"/>
          <w:lang w:val="en-US" w:eastAsia="zh-CN" w:bidi="ar-SA"/>
        </w:rPr>
        <w:t>于2023年实施改扩建工程</w:t>
      </w:r>
      <w:r>
        <w:rPr>
          <w:rFonts w:hint="default" w:ascii="Times New Roman" w:hAnsi="Times New Roman" w:cs="Times New Roman"/>
          <w:color w:val="auto"/>
          <w:sz w:val="24"/>
          <w:szCs w:val="32"/>
          <w:lang w:val="en-US" w:eastAsia="zh-CN" w:bidi="ar-SA"/>
        </w:rPr>
        <w:t>，其</w:t>
      </w:r>
      <w:r>
        <w:rPr>
          <w:rFonts w:hint="default" w:ascii="Times New Roman" w:hAnsi="Times New Roman" w:cs="Times New Roman"/>
          <w:color w:val="auto"/>
          <w:sz w:val="24"/>
          <w:szCs w:val="32"/>
          <w:highlight w:val="none"/>
        </w:rPr>
        <w:t>改扩建工程</w:t>
      </w:r>
      <w:r>
        <w:rPr>
          <w:rFonts w:hint="default" w:ascii="Times New Roman" w:hAnsi="Times New Roman" w:cs="Times New Roman"/>
          <w:color w:val="auto"/>
          <w:sz w:val="24"/>
          <w:szCs w:val="32"/>
          <w:highlight w:val="none"/>
          <w:lang w:val="en-US" w:eastAsia="zh-CN"/>
        </w:rPr>
        <w:t>项目</w:t>
      </w:r>
      <w:r>
        <w:rPr>
          <w:rFonts w:hint="default" w:ascii="Times New Roman" w:hAnsi="Times New Roman" w:cs="Times New Roman"/>
          <w:color w:val="auto"/>
          <w:sz w:val="24"/>
          <w:szCs w:val="32"/>
          <w:highlight w:val="none"/>
        </w:rPr>
        <w:t>已列入广东省2023年重点建设前期预备项目（粤发改重点〔2023〕72号）</w:t>
      </w:r>
      <w:r>
        <w:rPr>
          <w:rFonts w:hint="default" w:ascii="Times New Roman" w:hAnsi="Times New Roman" w:cs="Times New Roman"/>
          <w:color w:val="auto"/>
          <w:sz w:val="24"/>
          <w:szCs w:val="32"/>
          <w:highlight w:val="none"/>
          <w:lang w:val="en-US" w:eastAsia="zh-CN"/>
        </w:rPr>
        <w:t>，</w:t>
      </w:r>
      <w:r>
        <w:rPr>
          <w:rFonts w:hint="default" w:ascii="Times New Roman" w:hAnsi="Times New Roman" w:eastAsia="宋体" w:cs="Times New Roman"/>
          <w:color w:val="auto"/>
          <w:sz w:val="24"/>
          <w:lang w:val="en-US" w:eastAsia="zh-CN"/>
        </w:rPr>
        <w:t>拟将双向六车道扩建为八车道，</w:t>
      </w:r>
      <w:r>
        <w:rPr>
          <w:rFonts w:hint="default" w:ascii="Times New Roman" w:hAnsi="Times New Roman" w:cs="Times New Roman"/>
          <w:color w:val="auto"/>
          <w:sz w:val="24"/>
          <w:szCs w:val="32"/>
          <w:highlight w:val="none"/>
          <w:lang w:val="en-US" w:eastAsia="zh-CN"/>
        </w:rPr>
        <w:t>在饮用水水源一级保护区范围内实施道路改扩建工程，与国家及省有关饮用水水源管理要求相冲突。</w:t>
      </w:r>
    </w:p>
    <w:p>
      <w:pPr>
        <w:numPr>
          <w:ilvl w:val="255"/>
          <w:numId w:val="0"/>
        </w:numPr>
        <w:bidi w:val="0"/>
        <w:spacing w:line="360" w:lineRule="auto"/>
        <w:ind w:firstLine="480" w:firstLineChars="200"/>
        <w:rPr>
          <w:rFonts w:hint="eastAsia" w:ascii="Times New Roman" w:hAnsi="Times New Roman" w:cs="Times New Roman" w:eastAsiaTheme="minorEastAsia"/>
          <w:color w:val="auto"/>
          <w:sz w:val="24"/>
          <w:szCs w:val="32"/>
          <w:highlight w:val="none"/>
          <w:lang w:val="en-US" w:eastAsia="zh-CN" w:bidi="ar-SA"/>
        </w:rPr>
      </w:pPr>
      <w:r>
        <w:rPr>
          <w:rFonts w:hint="default" w:ascii="Times New Roman" w:hAnsi="Times New Roman" w:cs="Times New Roman"/>
          <w:color w:val="auto"/>
          <w:sz w:val="24"/>
          <w:szCs w:val="32"/>
          <w:highlight w:val="none"/>
          <w:lang w:val="en-US" w:eastAsia="zh-CN"/>
        </w:rPr>
        <w:t>本次结合迁移后取水口位置</w:t>
      </w:r>
      <w:r>
        <w:rPr>
          <w:rFonts w:hint="eastAsia" w:ascii="Times New Roman" w:hAnsi="Times New Roman" w:cs="Times New Roman"/>
          <w:color w:val="auto"/>
          <w:sz w:val="24"/>
          <w:szCs w:val="32"/>
          <w:lang w:val="en-US" w:eastAsia="zh-CN"/>
        </w:rPr>
        <w:t>，</w:t>
      </w:r>
      <w:r>
        <w:rPr>
          <w:rFonts w:hint="default" w:ascii="Times New Roman" w:hAnsi="Times New Roman" w:eastAsia="宋体" w:cs="Times New Roman"/>
          <w:color w:val="auto"/>
          <w:sz w:val="24"/>
          <w:lang w:val="en-US" w:eastAsia="zh-CN"/>
        </w:rPr>
        <w:t>按照</w:t>
      </w:r>
      <w:r>
        <w:rPr>
          <w:rFonts w:hint="default" w:ascii="Times New Roman" w:hAnsi="Times New Roman" w:eastAsia="宋体" w:cs="Times New Roman"/>
          <w:color w:val="auto"/>
          <w:sz w:val="24"/>
        </w:rPr>
        <w:t>《饮用水水源保护区划分技术规范》（HJ338-2018）（</w:t>
      </w:r>
      <w:r>
        <w:rPr>
          <w:rFonts w:hint="default" w:ascii="Times New Roman" w:hAnsi="Times New Roman" w:eastAsia="宋体" w:cs="Times New Roman"/>
          <w:color w:val="auto"/>
          <w:sz w:val="24"/>
          <w:lang w:val="en-US" w:eastAsia="zh-CN"/>
        </w:rPr>
        <w:t>以下简称《技术规范》</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划分保护区范围，同时</w:t>
      </w:r>
      <w:r>
        <w:rPr>
          <w:rFonts w:hint="default" w:ascii="Times New Roman" w:hAnsi="Times New Roman" w:eastAsia="宋体" w:cs="Times New Roman"/>
          <w:color w:val="auto"/>
          <w:sz w:val="24"/>
          <w:lang w:val="en-US" w:eastAsia="zh-CN"/>
        </w:rPr>
        <w:t>为协调保护区与省重点建设项目的关系</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将</w:t>
      </w:r>
      <w:r>
        <w:rPr>
          <w:rFonts w:hint="default" w:ascii="Times New Roman" w:hAnsi="Times New Roman" w:eastAsia="宋体" w:cs="Times New Roman"/>
          <w:color w:val="auto"/>
          <w:sz w:val="24"/>
          <w:highlight w:val="none"/>
          <w:lang w:val="en-US" w:eastAsia="zh-CN"/>
        </w:rPr>
        <w:t>京港澳高速穿越潖江处中心线两侧各50m对应的水域</w:t>
      </w:r>
      <w:r>
        <w:rPr>
          <w:rFonts w:hint="eastAsia" w:ascii="Times New Roman" w:hAnsi="Times New Roman" w:eastAsia="宋体" w:cs="Times New Roman"/>
          <w:color w:val="auto"/>
          <w:sz w:val="24"/>
          <w:highlight w:val="none"/>
          <w:lang w:val="en-US" w:eastAsia="zh-CN"/>
        </w:rPr>
        <w:t>及相应的陆域范围</w:t>
      </w:r>
      <w:r>
        <w:rPr>
          <w:rFonts w:hint="default" w:ascii="Times New Roman" w:hAnsi="Times New Roman" w:eastAsia="宋体" w:cs="Times New Roman"/>
          <w:color w:val="auto"/>
          <w:sz w:val="24"/>
          <w:highlight w:val="none"/>
          <w:lang w:val="en-US" w:eastAsia="zh-CN"/>
        </w:rPr>
        <w:t>调出一级保护区。</w:t>
      </w:r>
      <w:r>
        <w:rPr>
          <w:rFonts w:hint="eastAsia" w:ascii="Times New Roman" w:hAnsi="Times New Roman" w:eastAsia="宋体" w:cs="Times New Roman"/>
          <w:color w:val="auto"/>
          <w:sz w:val="24"/>
          <w:highlight w:val="none"/>
          <w:lang w:val="en-US" w:eastAsia="zh-CN"/>
        </w:rPr>
        <w:t>调整后一级保护区面积减少0.037</w:t>
      </w:r>
      <w:r>
        <w:rPr>
          <w:rFonts w:hint="default" w:ascii="Times New Roman" w:hAnsi="Times New Roman" w:cs="Times New Roman"/>
          <w:color w:val="auto"/>
          <w:sz w:val="24"/>
        </w:rPr>
        <w:t>km</w:t>
      </w:r>
      <w:r>
        <w:rPr>
          <w:rFonts w:hint="default" w:ascii="Times New Roman" w:hAnsi="Times New Roman" w:cs="Times New Roman"/>
          <w:color w:val="auto"/>
          <w:sz w:val="24"/>
          <w:vertAlign w:val="superscript"/>
        </w:rPr>
        <w:t>2</w:t>
      </w:r>
      <w:r>
        <w:rPr>
          <w:rFonts w:hint="eastAsia" w:ascii="Times New Roman" w:hAnsi="Times New Roman" w:eastAsia="宋体" w:cs="Times New Roman"/>
          <w:color w:val="auto"/>
          <w:sz w:val="24"/>
          <w:highlight w:val="none"/>
          <w:lang w:val="en-US" w:eastAsia="zh-CN"/>
        </w:rPr>
        <w:t>，二级保护区面积减少0.032</w:t>
      </w:r>
      <w:r>
        <w:rPr>
          <w:rFonts w:hint="default" w:ascii="Times New Roman" w:hAnsi="Times New Roman" w:cs="Times New Roman"/>
          <w:color w:val="auto"/>
          <w:sz w:val="24"/>
        </w:rPr>
        <w:t>km</w:t>
      </w:r>
      <w:r>
        <w:rPr>
          <w:rFonts w:hint="default" w:ascii="Times New Roman" w:hAnsi="Times New Roman" w:cs="Times New Roman"/>
          <w:color w:val="auto"/>
          <w:sz w:val="24"/>
          <w:vertAlign w:val="superscript"/>
        </w:rPr>
        <w:t>2</w:t>
      </w:r>
      <w:r>
        <w:rPr>
          <w:rFonts w:hint="eastAsia" w:ascii="Times New Roman" w:hAnsi="Times New Roman" w:cs="Times New Roman"/>
          <w:color w:val="auto"/>
          <w:sz w:val="24"/>
          <w:vertAlign w:val="baseline"/>
          <w:lang w:eastAsia="zh-CN"/>
        </w:rPr>
        <w:t>。</w:t>
      </w:r>
    </w:p>
    <w:p>
      <w:pPr>
        <w:spacing w:line="360" w:lineRule="auto"/>
        <w:ind w:left="0" w:leftChars="0" w:firstLine="0" w:firstLineChars="0"/>
        <w:outlineLvl w:val="3"/>
        <w:rPr>
          <w:rFonts w:hint="eastAsia" w:ascii="方正仿宋_GB2312" w:hAnsi="方正仿宋_GB2312" w:eastAsia="方正仿宋_GB2312" w:cs="方正仿宋_GB2312"/>
          <w:b/>
          <w:sz w:val="32"/>
          <w:szCs w:val="32"/>
          <w:lang w:val="en-US" w:eastAsia="zh-CN" w:bidi="ar-SA"/>
        </w:rPr>
      </w:pPr>
      <w:r>
        <w:rPr>
          <w:rFonts w:hint="eastAsia" w:ascii="方正仿宋_GB2312" w:hAnsi="方正仿宋_GB2312" w:eastAsia="方正仿宋_GB2312" w:cs="方正仿宋_GB2312"/>
          <w:b/>
          <w:sz w:val="32"/>
          <w:szCs w:val="32"/>
          <w:lang w:val="en-US" w:eastAsia="zh-CN" w:bidi="ar-SA"/>
        </w:rPr>
        <w:t>三、调整后保护区范围</w:t>
      </w:r>
    </w:p>
    <w:p>
      <w:pPr>
        <w:keepNext w:val="0"/>
        <w:keepLines w:val="0"/>
        <w:numPr>
          <w:ilvl w:val="-1"/>
          <w:numId w:val="0"/>
        </w:numPr>
        <w:kinsoku/>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基于下移后的取水口位置，对保护区范围进行优化，按照</w:t>
      </w:r>
      <w:r>
        <w:rPr>
          <w:rFonts w:hint="default" w:ascii="Times New Roman" w:hAnsi="Times New Roman" w:eastAsia="宋体" w:cs="Times New Roman"/>
          <w:color w:val="auto"/>
          <w:sz w:val="24"/>
        </w:rPr>
        <w:t>《饮用水水源保护区划分技术规范》（HJ338-2018）（</w:t>
      </w:r>
      <w:r>
        <w:rPr>
          <w:rFonts w:hint="default" w:ascii="Times New Roman" w:hAnsi="Times New Roman" w:eastAsia="宋体" w:cs="Times New Roman"/>
          <w:color w:val="auto"/>
          <w:sz w:val="24"/>
          <w:lang w:val="en-US" w:eastAsia="zh-CN"/>
        </w:rPr>
        <w:t>以下简称《技术规范》</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类比经验法，一级保护区水域长度为取水口上游不小于1000m，下游不小于100m范围内的河道水域。鉴于迁移后取水口下游为</w:t>
      </w:r>
      <w:r>
        <w:rPr>
          <w:rFonts w:hint="default" w:ascii="Times New Roman" w:hAnsi="Times New Roman" w:eastAsia="宋体" w:cs="Times New Roman"/>
          <w:color w:val="auto"/>
          <w:kern w:val="0"/>
          <w:sz w:val="24"/>
          <w:szCs w:val="24"/>
          <w:highlight w:val="none"/>
          <w:lang w:val="en-US" w:eastAsia="zh-CN" w:bidi="ar"/>
        </w:rPr>
        <w:t>拦河陂，故一级保护区下边界以拦河陂为界。考虑到取水口上游</w:t>
      </w:r>
      <w:r>
        <w:rPr>
          <w:rFonts w:hint="default" w:ascii="Times New Roman" w:hAnsi="Times New Roman" w:eastAsia="宋体" w:cs="Times New Roman"/>
          <w:color w:val="auto"/>
          <w:sz w:val="24"/>
          <w:lang w:val="en-US" w:eastAsia="zh-CN"/>
        </w:rPr>
        <w:t>（潖江段）</w:t>
      </w:r>
      <w:r>
        <w:rPr>
          <w:rFonts w:hint="default" w:ascii="Times New Roman" w:hAnsi="Times New Roman" w:eastAsia="宋体" w:cs="Times New Roman"/>
          <w:color w:val="auto"/>
          <w:kern w:val="0"/>
          <w:sz w:val="24"/>
          <w:szCs w:val="24"/>
          <w:highlight w:val="none"/>
          <w:lang w:val="en-US" w:eastAsia="zh-CN" w:bidi="ar"/>
        </w:rPr>
        <w:t>850m处为</w:t>
      </w:r>
      <w:r>
        <w:rPr>
          <w:rFonts w:hint="default" w:ascii="Times New Roman" w:hAnsi="Times New Roman" w:eastAsia="宋体" w:cs="Times New Roman"/>
          <w:color w:val="auto"/>
          <w:sz w:val="24"/>
          <w:lang w:val="en-US" w:eastAsia="zh-CN"/>
        </w:rPr>
        <w:t>京港澳高速</w:t>
      </w:r>
      <w:r>
        <w:rPr>
          <w:rFonts w:hint="default" w:ascii="Times New Roman" w:hAnsi="Times New Roman" w:eastAsia="宋体" w:cs="Times New Roman"/>
          <w:color w:val="auto"/>
          <w:sz w:val="24"/>
        </w:rPr>
        <w:t>粤</w:t>
      </w:r>
      <w:r>
        <w:rPr>
          <w:rFonts w:hint="default" w:ascii="Times New Roman" w:hAnsi="Times New Roman" w:eastAsia="宋体" w:cs="Times New Roman"/>
          <w:color w:val="auto"/>
          <w:sz w:val="24"/>
          <w:lang w:val="en-US" w:eastAsia="zh-CN"/>
        </w:rPr>
        <w:t>境韶关武江至清远佛冈段，该道路扩建工程拟将双向六车道扩建为八车道，路基顶面宽度由33.5m扩建至41.5m，为协调保护区与省重点建设项目的关系，将</w:t>
      </w:r>
      <w:r>
        <w:rPr>
          <w:rFonts w:hint="default" w:ascii="Times New Roman" w:hAnsi="Times New Roman" w:eastAsia="宋体" w:cs="Times New Roman"/>
          <w:color w:val="auto"/>
          <w:sz w:val="24"/>
          <w:highlight w:val="none"/>
          <w:lang w:val="en-US" w:eastAsia="zh-CN"/>
        </w:rPr>
        <w:t>京港澳高速穿越潖江处中心线两侧各50m对应的水域范围调出一级保护区水域。</w:t>
      </w:r>
      <w:r>
        <w:rPr>
          <w:rFonts w:hint="default" w:ascii="Times New Roman" w:hAnsi="Times New Roman" w:eastAsia="宋体" w:cs="Times New Roman"/>
          <w:color w:val="auto"/>
          <w:sz w:val="24"/>
          <w:lang w:val="en-US" w:eastAsia="zh-CN"/>
        </w:rPr>
        <w:t>调整后水域上边界仍在原保护区范围内，下边界位于原保护区下边界下游约120m，原保护区河段及下移的120m河段两岸均建设有完整的防洪堤围。</w:t>
      </w:r>
    </w:p>
    <w:p>
      <w:pPr>
        <w:keepNext w:val="0"/>
        <w:keepLines w:val="0"/>
        <w:numPr>
          <w:ilvl w:val="-1"/>
          <w:numId w:val="0"/>
        </w:numPr>
        <w:kinsoku/>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此外，</w:t>
      </w:r>
      <w:r>
        <w:rPr>
          <w:rFonts w:hint="default" w:ascii="Times New Roman" w:hAnsi="Times New Roman" w:eastAsia="宋体" w:cs="Times New Roman"/>
          <w:color w:val="auto"/>
          <w:sz w:val="24"/>
          <w:highlight w:val="none"/>
          <w:lang w:val="en-US" w:eastAsia="zh-CN"/>
        </w:rPr>
        <w:t>按照</w:t>
      </w:r>
      <w:r>
        <w:rPr>
          <w:rFonts w:hint="default" w:ascii="Times New Roman" w:hAnsi="Times New Roman" w:eastAsia="宋体" w:cs="Times New Roman"/>
          <w:color w:val="auto"/>
          <w:sz w:val="24"/>
          <w:lang w:val="en-US" w:eastAsia="zh-CN"/>
        </w:rPr>
        <w:t>《技术规范》对于保护区划分的一般技术原则，一级保护区主要起到防止水源地附近人类活动对水源直接污染的作用，二级保护区主要作用为一旦出现污染水源的突发事件，有采取紧急补救措施的事件和缓冲地带。结合《技术规范》推荐的应急响应时间法计算思路，对京港澳高速若发生危化品泄漏等可能影响水质安全的事故，可开展应急处理的应急响应时间进行计算，潖江河段平水期多年平均径流量下流速0.103</w:t>
      </w:r>
      <w:r>
        <w:rPr>
          <w:rFonts w:hint="default" w:ascii="Times New Roman" w:hAnsi="Times New Roman" w:eastAsia="宋体" w:cs="Times New Roman"/>
          <w:color w:val="auto"/>
          <w:sz w:val="24"/>
        </w:rPr>
        <w:t>m/s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应急响应时间</w:t>
      </w:r>
      <w:r>
        <w:rPr>
          <w:rFonts w:hint="default" w:ascii="Times New Roman" w:hAnsi="Times New Roman" w:eastAsia="宋体" w:cs="Times New Roman"/>
          <w:color w:val="auto"/>
          <w:sz w:val="24"/>
          <w:highlight w:val="none"/>
          <w:lang w:val="en-US" w:eastAsia="zh-CN"/>
        </w:rPr>
        <w:t>为2.3</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lang w:val="en-US" w:eastAsia="zh-CN"/>
        </w:rPr>
        <w:t>，符合《技术规范》</w:t>
      </w:r>
      <w:r>
        <w:rPr>
          <w:rFonts w:hint="eastAsia" w:ascii="Times New Roman" w:hAnsi="Times New Roman" w:eastAsia="宋体" w:cs="Times New Roman"/>
          <w:color w:val="auto"/>
          <w:sz w:val="24"/>
          <w:lang w:val="en-US" w:eastAsia="zh-CN"/>
        </w:rPr>
        <w:t>中“</w:t>
      </w:r>
      <w:r>
        <w:rPr>
          <w:rFonts w:hint="default" w:ascii="Times New Roman" w:hAnsi="Times New Roman" w:eastAsia="宋体" w:cs="Times New Roman"/>
          <w:color w:val="auto"/>
          <w:sz w:val="24"/>
          <w:lang w:val="en-US" w:eastAsia="zh-CN"/>
        </w:rPr>
        <w:t>应急响应时间不小于2小时</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的要求。</w:t>
      </w:r>
    </w:p>
    <w:p>
      <w:pPr>
        <w:keepNext w:val="0"/>
        <w:keepLines w:val="0"/>
        <w:numPr>
          <w:ilvl w:val="-1"/>
          <w:numId w:val="0"/>
        </w:numPr>
        <w:kinsoku/>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鉴于此，本次综合考虑</w:t>
      </w:r>
      <w:r>
        <w:rPr>
          <w:rFonts w:hint="default" w:ascii="Times New Roman" w:hAnsi="Times New Roman" w:eastAsia="宋体" w:cs="Times New Roman"/>
          <w:color w:val="auto"/>
          <w:sz w:val="24"/>
        </w:rPr>
        <w:t>《技术规范》类比经验法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应急响应时间法，</w:t>
      </w:r>
      <w:r>
        <w:rPr>
          <w:rFonts w:hint="default" w:ascii="Times New Roman" w:hAnsi="Times New Roman" w:eastAsia="宋体" w:cs="Times New Roman"/>
          <w:color w:val="auto"/>
          <w:sz w:val="24"/>
        </w:rPr>
        <w:t>结合流域内地形情况、永久性的明显标志设置现状（</w:t>
      </w:r>
      <w:r>
        <w:rPr>
          <w:rFonts w:hint="default" w:ascii="Times New Roman" w:hAnsi="Times New Roman" w:eastAsia="宋体" w:cs="Times New Roman"/>
          <w:color w:val="auto"/>
          <w:sz w:val="24"/>
          <w:lang w:val="en-US" w:eastAsia="zh-CN"/>
        </w:rPr>
        <w:t>公路、</w:t>
      </w:r>
      <w:r>
        <w:rPr>
          <w:rFonts w:hint="default" w:ascii="Times New Roman" w:hAnsi="Times New Roman" w:eastAsia="宋体" w:cs="Times New Roman"/>
          <w:color w:val="auto"/>
          <w:sz w:val="24"/>
        </w:rPr>
        <w:t>防洪堤坝、</w:t>
      </w:r>
      <w:r>
        <w:rPr>
          <w:rFonts w:hint="default" w:ascii="Times New Roman" w:hAnsi="Times New Roman" w:eastAsia="宋体" w:cs="Times New Roman"/>
          <w:color w:val="auto"/>
          <w:sz w:val="24"/>
          <w:lang w:val="en-US" w:eastAsia="zh-CN"/>
        </w:rPr>
        <w:t>挡水墙</w:t>
      </w:r>
      <w:r>
        <w:rPr>
          <w:rFonts w:hint="default" w:ascii="Times New Roman" w:hAnsi="Times New Roman" w:eastAsia="宋体" w:cs="Times New Roman"/>
          <w:color w:val="auto"/>
          <w:sz w:val="24"/>
        </w:rPr>
        <w:t>等），</w:t>
      </w:r>
      <w:r>
        <w:rPr>
          <w:rFonts w:hint="default" w:ascii="Times New Roman" w:hAnsi="Times New Roman" w:eastAsia="宋体" w:cs="Times New Roman"/>
          <w:color w:val="auto"/>
          <w:sz w:val="24"/>
          <w:lang w:val="en-US" w:eastAsia="zh-CN"/>
        </w:rPr>
        <w:t>确定保护区范围。</w:t>
      </w:r>
    </w:p>
    <w:p>
      <w:pPr>
        <w:pStyle w:val="14"/>
        <w:bidi w:val="0"/>
        <w:spacing w:line="360" w:lineRule="auto"/>
        <w:ind w:firstLine="480" w:firstLineChars="200"/>
        <w:rPr>
          <w:rFonts w:hint="default"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rPr>
        <w:t>一级保护区</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lang w:val="en-US" w:eastAsia="zh-CN"/>
        </w:rPr>
        <w:t>水域：</w:t>
      </w:r>
      <w:r>
        <w:rPr>
          <w:rFonts w:hint="default" w:ascii="Times New Roman" w:hAnsi="Times New Roman" w:eastAsia="宋体" w:cs="Times New Roman"/>
          <w:color w:val="auto"/>
          <w:sz w:val="24"/>
          <w:lang w:val="en-US" w:eastAsia="zh-CN"/>
        </w:rPr>
        <w:t>取水口上游1000m至下游拦河陂，</w:t>
      </w:r>
      <w:r>
        <w:rPr>
          <w:rFonts w:hint="default" w:ascii="Times New Roman" w:hAnsi="Times New Roman" w:eastAsia="宋体" w:cs="Times New Roman"/>
          <w:color w:val="auto"/>
          <w:sz w:val="24"/>
          <w:highlight w:val="none"/>
          <w:lang w:val="en-US" w:eastAsia="zh-CN"/>
        </w:rPr>
        <w:t>除京港澳高速穿越潖江处中心线两侧各50m对应的水域范围。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陆域：相应一级保护区水域边界分别向两岸纵深至堤围迎水坡堤肩线</w:t>
      </w:r>
      <w:r>
        <w:rPr>
          <w:rFonts w:hint="eastAsia" w:ascii="Times New Roman" w:hAnsi="Times New Roman" w:eastAsia="宋体" w:cs="Times New Roman"/>
          <w:color w:val="auto"/>
          <w:sz w:val="24"/>
          <w:lang w:val="en-US" w:eastAsia="zh-CN"/>
        </w:rPr>
        <w:t>的陆域范围</w:t>
      </w:r>
      <w:r>
        <w:rPr>
          <w:rFonts w:hint="default" w:ascii="Times New Roman" w:hAnsi="Times New Roman" w:eastAsia="宋体" w:cs="Times New Roman"/>
          <w:color w:val="auto"/>
          <w:sz w:val="24"/>
          <w:lang w:val="en-US" w:eastAsia="zh-CN"/>
        </w:rPr>
        <w:t>。</w:t>
      </w:r>
    </w:p>
    <w:p>
      <w:pPr>
        <w:pStyle w:val="15"/>
        <w:numPr>
          <w:ilvl w:val="-1"/>
          <w:numId w:val="0"/>
        </w:numPr>
        <w:ind w:firstLine="480" w:firstLineChars="200"/>
        <w:rPr>
          <w:rFonts w:ascii="Times New Roman" w:hAnsi="Times New Roman" w:cs="Times New Roman"/>
          <w:color w:val="auto"/>
        </w:rPr>
      </w:pPr>
      <w:r>
        <w:rPr>
          <w:rFonts w:ascii="Times New Roman" w:hAnsi="Times New Roman" w:cs="Times New Roman"/>
          <w:color w:val="auto"/>
        </w:rPr>
        <w:t>一级保护区面积</w:t>
      </w:r>
      <w:r>
        <w:rPr>
          <w:rFonts w:hint="default" w:ascii="Times New Roman" w:hAnsi="Times New Roman" w:cs="Times New Roman"/>
          <w:color w:val="auto"/>
          <w:lang w:eastAsia="zh-CN"/>
        </w:rPr>
        <w:t>：</w:t>
      </w:r>
      <w:r>
        <w:rPr>
          <w:rFonts w:ascii="Times New Roman" w:hAnsi="Times New Roman" w:cs="Times New Roman"/>
          <w:color w:val="auto"/>
        </w:rPr>
        <w:t>0.</w:t>
      </w:r>
      <w:r>
        <w:rPr>
          <w:rFonts w:hint="eastAsia" w:cs="Times New Roman"/>
          <w:color w:val="auto"/>
          <w:lang w:val="en-US" w:eastAsia="zh-CN"/>
        </w:rPr>
        <w:t xml:space="preserve">119 </w:t>
      </w:r>
      <w:r>
        <w:rPr>
          <w:rFonts w:ascii="Times New Roman" w:hAnsi="Times New Roman" w:cs="Times New Roman"/>
          <w:color w:val="auto"/>
        </w:rPr>
        <w:t>km</w:t>
      </w:r>
      <w:r>
        <w:rPr>
          <w:rFonts w:ascii="Times New Roman" w:hAnsi="Times New Roman" w:cs="Times New Roman"/>
          <w:color w:val="auto"/>
          <w:vertAlign w:val="superscript"/>
        </w:rPr>
        <w:t>2</w:t>
      </w:r>
    </w:p>
    <w:p>
      <w:pPr>
        <w:pStyle w:val="14"/>
        <w:bidi w:val="0"/>
        <w:spacing w:line="360" w:lineRule="auto"/>
        <w:ind w:firstLine="360" w:firstLineChars="150"/>
        <w:rPr>
          <w:rFonts w:hint="default" w:ascii="Times New Roman" w:hAnsi="Times New Roman" w:eastAsia="宋体" w:cs="Times New Roman"/>
          <w:color w:val="auto"/>
          <w:kern w:val="2"/>
          <w:sz w:val="24"/>
          <w:szCs w:val="24"/>
        </w:rPr>
      </w:pPr>
      <w:r>
        <w:rPr>
          <w:rFonts w:hint="eastAsia" w:ascii="Times New Roman" w:hAnsi="Times New Roman" w:eastAsia="宋体" w:cs="Times New Roman"/>
          <w:color w:val="auto"/>
          <w:kern w:val="2"/>
          <w:sz w:val="24"/>
          <w:szCs w:val="24"/>
          <w:lang w:val="en-US" w:eastAsia="zh-CN"/>
        </w:rPr>
        <w:t>（2）</w:t>
      </w:r>
      <w:r>
        <w:rPr>
          <w:rFonts w:hint="default" w:ascii="Times New Roman" w:hAnsi="Times New Roman" w:eastAsia="宋体" w:cs="Times New Roman"/>
          <w:color w:val="auto"/>
          <w:kern w:val="2"/>
          <w:sz w:val="24"/>
          <w:szCs w:val="24"/>
        </w:rPr>
        <w:t>二级保护区</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lang w:val="en-US" w:eastAsia="zh-CN"/>
        </w:rPr>
        <w:t>水域：</w:t>
      </w:r>
      <w:r>
        <w:rPr>
          <w:rFonts w:hint="default" w:ascii="Times New Roman" w:hAnsi="Times New Roman" w:eastAsia="宋体" w:cs="Times New Roman"/>
          <w:color w:val="auto"/>
          <w:sz w:val="24"/>
          <w:highlight w:val="none"/>
          <w:lang w:val="en-US" w:eastAsia="zh-CN"/>
        </w:rPr>
        <w:t>一级保护区上边界上溯2000m的水域范围；京港澳高速穿越潖江处中心线两侧各50m对应的水域范围。</w:t>
      </w:r>
    </w:p>
    <w:p>
      <w:pPr>
        <w:pStyle w:val="15"/>
        <w:numPr>
          <w:ilvl w:val="-1"/>
          <w:numId w:val="0"/>
        </w:numPr>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陆域：相应二级保护区水域边界分别向两岸纵深至堤围迎水坡堤肩线</w:t>
      </w:r>
      <w:r>
        <w:rPr>
          <w:rFonts w:hint="eastAsia" w:ascii="Times New Roman" w:hAnsi="Times New Roman" w:eastAsia="宋体" w:cs="Times New Roman"/>
          <w:color w:val="auto"/>
          <w:sz w:val="24"/>
          <w:lang w:val="en-US" w:eastAsia="zh-CN"/>
        </w:rPr>
        <w:t>的陆域范围</w:t>
      </w:r>
      <w:r>
        <w:rPr>
          <w:rFonts w:hint="default" w:ascii="Times New Roman" w:hAnsi="Times New Roman" w:eastAsia="宋体" w:cs="Times New Roman"/>
          <w:color w:val="auto"/>
          <w:sz w:val="24"/>
          <w:lang w:val="en-US" w:eastAsia="zh-CN"/>
        </w:rPr>
        <w:t>。</w:t>
      </w:r>
    </w:p>
    <w:p>
      <w:pPr>
        <w:pStyle w:val="15"/>
        <w:numPr>
          <w:ilvl w:val="-1"/>
          <w:numId w:val="0"/>
        </w:numPr>
        <w:ind w:firstLine="480" w:firstLineChars="200"/>
        <w:rPr>
          <w:rFonts w:ascii="Times New Roman" w:hAnsi="Times New Roman" w:cs="Times New Roman"/>
          <w:color w:val="auto"/>
        </w:rPr>
      </w:pPr>
      <w:r>
        <w:rPr>
          <w:rFonts w:hint="eastAsia" w:cs="Times New Roman"/>
          <w:color w:val="auto"/>
          <w:lang w:eastAsia="zh-CN"/>
        </w:rPr>
        <w:t>二</w:t>
      </w:r>
      <w:r>
        <w:rPr>
          <w:rFonts w:ascii="Times New Roman" w:hAnsi="Times New Roman" w:cs="Times New Roman"/>
          <w:color w:val="auto"/>
        </w:rPr>
        <w:t>级保护区面积</w:t>
      </w:r>
      <w:r>
        <w:rPr>
          <w:rFonts w:hint="default" w:ascii="Times New Roman" w:hAnsi="Times New Roman" w:cs="Times New Roman"/>
          <w:color w:val="auto"/>
          <w:lang w:eastAsia="zh-CN"/>
        </w:rPr>
        <w:t>：</w:t>
      </w:r>
      <w:r>
        <w:rPr>
          <w:rFonts w:ascii="Times New Roman" w:hAnsi="Times New Roman" w:cs="Times New Roman"/>
          <w:color w:val="auto"/>
        </w:rPr>
        <w:t>0.</w:t>
      </w:r>
      <w:r>
        <w:rPr>
          <w:rFonts w:hint="eastAsia" w:cs="Times New Roman"/>
          <w:color w:val="auto"/>
          <w:lang w:val="en-US" w:eastAsia="zh-CN"/>
        </w:rPr>
        <w:t>323</w:t>
      </w:r>
      <w:r>
        <w:rPr>
          <w:rFonts w:ascii="Times New Roman" w:hAnsi="Times New Roman" w:cs="Times New Roman"/>
          <w:color w:val="auto"/>
        </w:rPr>
        <w:t xml:space="preserve"> km</w:t>
      </w:r>
      <w:r>
        <w:rPr>
          <w:rFonts w:ascii="Times New Roman" w:hAnsi="Times New Roman" w:cs="Times New Roman"/>
          <w:color w:val="auto"/>
          <w:vertAlign w:val="superscript"/>
        </w:rPr>
        <w:t>2</w:t>
      </w:r>
    </w:p>
    <w:p>
      <w:pPr>
        <w:keepNext w:val="0"/>
        <w:keepLines w:val="0"/>
        <w:numPr>
          <w:ilvl w:val="-1"/>
          <w:numId w:val="0"/>
        </w:numPr>
        <w:kinsoku/>
        <w:spacing w:line="360" w:lineRule="auto"/>
        <w:ind w:firstLine="496" w:firstLineChars="200"/>
      </w:pPr>
      <w:r>
        <w:rPr>
          <w:spacing w:val="4"/>
        </w:rPr>
        <w:t>本次</w:t>
      </w:r>
      <w:r>
        <w:rPr>
          <w:rFonts w:hint="eastAsia"/>
          <w:spacing w:val="4"/>
          <w:lang w:val="en-US" w:eastAsia="zh-CN"/>
        </w:rPr>
        <w:t>保护区</w:t>
      </w:r>
      <w:r>
        <w:rPr>
          <w:spacing w:val="4"/>
        </w:rPr>
        <w:t>调整前后</w:t>
      </w:r>
      <w:r>
        <w:rPr>
          <w:rFonts w:hint="eastAsia"/>
          <w:spacing w:val="4"/>
          <w:lang w:val="en-US" w:eastAsia="zh-CN"/>
        </w:rPr>
        <w:t>范围对比</w:t>
      </w:r>
      <w:r>
        <w:rPr>
          <w:rFonts w:hint="eastAsia" w:cs="Times New Roman"/>
          <w:sz w:val="24"/>
          <w:lang w:val="en-US" w:eastAsia="zh-CN"/>
        </w:rPr>
        <w:t>情况</w:t>
      </w:r>
      <w:r>
        <w:rPr>
          <w:rFonts w:hint="eastAsia" w:ascii="Times New Roman" w:hAnsi="Times New Roman" w:cs="Times New Roman"/>
          <w:sz w:val="24"/>
          <w:lang w:eastAsia="zh-CN"/>
        </w:rPr>
        <w:t>如表</w:t>
      </w:r>
      <w:r>
        <w:rPr>
          <w:rFonts w:hint="eastAsia" w:ascii="Times New Roman" w:hAnsi="Times New Roman" w:cs="Times New Roman"/>
          <w:sz w:val="24"/>
          <w:lang w:val="en-US" w:eastAsia="zh-CN"/>
        </w:rPr>
        <w:t>1所示，</w:t>
      </w:r>
      <w:r>
        <w:rPr>
          <w:rFonts w:hint="eastAsia" w:ascii="Times New Roman" w:hAnsi="Times New Roman" w:cs="Times New Roman"/>
          <w:sz w:val="24"/>
          <w:lang w:eastAsia="zh-CN"/>
        </w:rPr>
        <w:t>调整</w:t>
      </w:r>
      <w:r>
        <w:rPr>
          <w:rFonts w:hint="eastAsia" w:cs="Times New Roman"/>
          <w:sz w:val="24"/>
          <w:lang w:val="en-US" w:eastAsia="zh-CN"/>
        </w:rPr>
        <w:t>前后范围对比</w:t>
      </w:r>
      <w:r>
        <w:rPr>
          <w:rFonts w:hint="eastAsia" w:ascii="Times New Roman" w:hAnsi="Times New Roman" w:cs="Times New Roman"/>
          <w:sz w:val="24"/>
          <w:lang w:eastAsia="zh-CN"/>
        </w:rPr>
        <w:t>如图</w:t>
      </w:r>
      <w:r>
        <w:rPr>
          <w:rFonts w:hint="eastAsia" w:cs="Times New Roman"/>
          <w:sz w:val="24"/>
          <w:lang w:val="en-US" w:eastAsia="zh-CN"/>
        </w:rPr>
        <w:t>1、图2</w:t>
      </w:r>
      <w:r>
        <w:rPr>
          <w:rFonts w:hint="eastAsia" w:ascii="Times New Roman" w:hAnsi="Times New Roman" w:cs="Times New Roman"/>
          <w:sz w:val="24"/>
          <w:lang w:val="en-US" w:eastAsia="zh-CN"/>
        </w:rPr>
        <w:t>所示。</w:t>
      </w:r>
    </w:p>
    <w:p>
      <w:pPr>
        <w:sectPr>
          <w:footerReference r:id="rId5" w:type="default"/>
          <w:pgSz w:w="11906" w:h="16838"/>
          <w:pgMar w:top="1440" w:right="1800" w:bottom="1440" w:left="1800" w:header="851" w:footer="992" w:gutter="0"/>
          <w:cols w:space="425" w:num="1"/>
          <w:docGrid w:type="lines" w:linePitch="312" w:charSpace="0"/>
        </w:sectPr>
      </w:pPr>
    </w:p>
    <w:p>
      <w:pPr>
        <w:spacing w:before="36"/>
        <w:ind w:left="1693" w:right="0" w:firstLine="0"/>
        <w:jc w:val="left"/>
        <w:rPr>
          <w:rFonts w:ascii="宋体" w:hAnsi="宋体" w:eastAsia="宋体" w:cs="宋体"/>
          <w:sz w:val="21"/>
          <w:szCs w:val="21"/>
          <w:highlight w:val="none"/>
        </w:rPr>
      </w:pPr>
      <w:r>
        <w:rPr>
          <w:rFonts w:ascii="宋体" w:hAnsi="宋体" w:eastAsia="宋体" w:cs="宋体"/>
          <w:b/>
          <w:bCs/>
          <w:sz w:val="21"/>
          <w:szCs w:val="21"/>
          <w:highlight w:val="none"/>
        </w:rPr>
        <w:t>表</w:t>
      </w:r>
      <w:r>
        <w:rPr>
          <w:rFonts w:ascii="Times New Roman" w:hAnsi="Times New Roman" w:eastAsia="Times New Roman" w:cs="Times New Roman"/>
          <w:b/>
          <w:bCs/>
          <w:sz w:val="21"/>
          <w:szCs w:val="21"/>
          <w:highlight w:val="none"/>
        </w:rPr>
        <w:t>1</w:t>
      </w:r>
      <w:r>
        <w:rPr>
          <w:rFonts w:hint="eastAsia" w:ascii="Times New Roman" w:hAnsi="Times New Roman" w:eastAsia="Times New Roman" w:cs="Times New Roman"/>
          <w:b/>
          <w:bCs/>
          <w:sz w:val="21"/>
          <w:szCs w:val="21"/>
          <w:highlight w:val="none"/>
          <w:lang w:val="en-US" w:eastAsia="zh-CN"/>
        </w:rPr>
        <w:t>佛冈县潖江石角镇段饮用水水源保护区</w:t>
      </w:r>
      <w:r>
        <w:rPr>
          <w:rFonts w:ascii="宋体" w:hAnsi="宋体" w:eastAsia="宋体" w:cs="宋体"/>
          <w:b/>
          <w:bCs/>
          <w:sz w:val="21"/>
          <w:szCs w:val="21"/>
          <w:highlight w:val="none"/>
        </w:rPr>
        <w:t>（原</w:t>
      </w:r>
      <w:r>
        <w:rPr>
          <w:rFonts w:hint="eastAsia" w:ascii="Times New Roman" w:hAnsi="Times New Roman" w:eastAsia="Times New Roman" w:cs="Times New Roman"/>
          <w:b/>
          <w:bCs/>
          <w:sz w:val="21"/>
          <w:szCs w:val="21"/>
          <w:highlight w:val="none"/>
          <w:lang w:val="en-US" w:eastAsia="zh-CN"/>
        </w:rPr>
        <w:t>坝仔坑（新取水口）饮用水水源保护区</w:t>
      </w:r>
      <w:r>
        <w:rPr>
          <w:rFonts w:ascii="宋体" w:hAnsi="宋体" w:eastAsia="宋体" w:cs="宋体"/>
          <w:b/>
          <w:bCs/>
          <w:sz w:val="21"/>
          <w:szCs w:val="21"/>
          <w:highlight w:val="none"/>
        </w:rPr>
        <w:t>）调整前后对比</w:t>
      </w:r>
    </w:p>
    <w:tbl>
      <w:tblPr>
        <w:tblStyle w:val="10"/>
        <w:tblW w:w="5007" w:type="pct"/>
        <w:tblInd w:w="0" w:type="dxa"/>
        <w:tblLayout w:type="autofit"/>
        <w:tblCellMar>
          <w:top w:w="0" w:type="dxa"/>
          <w:left w:w="0" w:type="dxa"/>
          <w:bottom w:w="0" w:type="dxa"/>
          <w:right w:w="0" w:type="dxa"/>
        </w:tblCellMar>
      </w:tblPr>
      <w:tblGrid>
        <w:gridCol w:w="778"/>
        <w:gridCol w:w="1646"/>
        <w:gridCol w:w="929"/>
        <w:gridCol w:w="330"/>
        <w:gridCol w:w="1565"/>
        <w:gridCol w:w="1374"/>
        <w:gridCol w:w="672"/>
        <w:gridCol w:w="2158"/>
        <w:gridCol w:w="2057"/>
        <w:gridCol w:w="994"/>
        <w:gridCol w:w="1485"/>
      </w:tblGrid>
      <w:tr>
        <w:tblPrEx>
          <w:tblCellMar>
            <w:top w:w="0" w:type="dxa"/>
            <w:left w:w="0" w:type="dxa"/>
            <w:bottom w:w="0" w:type="dxa"/>
            <w:right w:w="0" w:type="dxa"/>
          </w:tblCellMar>
        </w:tblPrEx>
        <w:trPr>
          <w:trHeight w:val="322" w:hRule="exact"/>
        </w:trPr>
        <w:tc>
          <w:tcPr>
            <w:tcW w:w="278" w:type="pct"/>
            <w:vMerge w:val="restart"/>
            <w:tcBorders>
              <w:top w:val="single" w:color="000000" w:sz="4" w:space="0"/>
              <w:left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行政区</w:t>
            </w:r>
          </w:p>
        </w:tc>
        <w:tc>
          <w:tcPr>
            <w:tcW w:w="588" w:type="pct"/>
            <w:vMerge w:val="restart"/>
            <w:tcBorders>
              <w:top w:val="single" w:color="000000" w:sz="4" w:space="0"/>
              <w:left w:val="single" w:color="000000" w:sz="4" w:space="0"/>
              <w:right w:val="single" w:color="000000" w:sz="4" w:space="0"/>
            </w:tcBorders>
            <w:vAlign w:val="center"/>
          </w:tcPr>
          <w:p>
            <w:pPr>
              <w:pStyle w:val="12"/>
              <w:bidi w:val="0"/>
              <w:ind w:firstLine="0" w:firstLineChars="0"/>
              <w:rPr>
                <w:rFonts w:hint="eastAsia" w:ascii="Times New Roman" w:hAnsi="Times New Roman" w:eastAsia="time" w:cs="Times New Roman"/>
                <w:sz w:val="21"/>
                <w:szCs w:val="24"/>
                <w:highlight w:val="none"/>
                <w:lang w:val="en-US" w:eastAsia="zh-CN" w:bidi="ar-SA"/>
              </w:rPr>
            </w:pPr>
            <w:r>
              <w:rPr>
                <w:rFonts w:hint="eastAsia"/>
                <w:highlight w:val="none"/>
              </w:rPr>
              <w:t>保护区名称</w:t>
            </w:r>
          </w:p>
        </w:tc>
        <w:tc>
          <w:tcPr>
            <w:tcW w:w="332" w:type="pct"/>
            <w:vMerge w:val="restart"/>
            <w:tcBorders>
              <w:top w:val="single" w:color="000000" w:sz="4" w:space="0"/>
              <w:left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水质保护目标</w:t>
            </w:r>
          </w:p>
        </w:tc>
        <w:tc>
          <w:tcPr>
            <w:tcW w:w="118" w:type="pct"/>
            <w:vMerge w:val="restart"/>
            <w:tcBorders>
              <w:top w:val="single" w:color="000000" w:sz="4" w:space="0"/>
              <w:left w:val="single" w:color="000000" w:sz="4" w:space="0"/>
              <w:right w:val="single" w:color="000000" w:sz="4" w:space="0"/>
            </w:tcBorders>
            <w:vAlign w:val="center"/>
          </w:tcPr>
          <w:p>
            <w:pPr>
              <w:pStyle w:val="12"/>
              <w:bidi w:val="0"/>
              <w:rPr>
                <w:rFonts w:hint="eastAsia"/>
                <w:highlight w:val="none"/>
              </w:rPr>
            </w:pPr>
            <w:r>
              <w:rPr>
                <w:rFonts w:hint="eastAsia"/>
                <w:highlight w:val="none"/>
              </w:rPr>
              <w:t>级别</w:t>
            </w:r>
          </w:p>
        </w:tc>
        <w:tc>
          <w:tcPr>
            <w:tcW w:w="1290" w:type="pct"/>
            <w:gridSpan w:val="3"/>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rPr>
              <w:t>调整前</w:t>
            </w:r>
          </w:p>
        </w:tc>
        <w:tc>
          <w:tcPr>
            <w:tcW w:w="1861" w:type="pct"/>
            <w:gridSpan w:val="3"/>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rPr>
              <w:t>调整后</w:t>
            </w:r>
          </w:p>
        </w:tc>
        <w:tc>
          <w:tcPr>
            <w:tcW w:w="530" w:type="pct"/>
            <w:vMerge w:val="restart"/>
            <w:tcBorders>
              <w:top w:val="single" w:color="000000" w:sz="4" w:space="0"/>
              <w:left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变化说明</w:t>
            </w:r>
          </w:p>
        </w:tc>
      </w:tr>
      <w:tr>
        <w:tblPrEx>
          <w:tblCellMar>
            <w:top w:w="0" w:type="dxa"/>
            <w:left w:w="0" w:type="dxa"/>
            <w:bottom w:w="0" w:type="dxa"/>
            <w:right w:w="0" w:type="dxa"/>
          </w:tblCellMar>
        </w:tblPrEx>
        <w:trPr>
          <w:trHeight w:val="684" w:hRule="exact"/>
        </w:trPr>
        <w:tc>
          <w:tcPr>
            <w:tcW w:w="278" w:type="pct"/>
            <w:vMerge w:val="continue"/>
            <w:tcBorders>
              <w:left w:val="single" w:color="000000" w:sz="4" w:space="0"/>
              <w:bottom w:val="single" w:color="000000" w:sz="4" w:space="0"/>
              <w:right w:val="single" w:color="000000" w:sz="4" w:space="0"/>
            </w:tcBorders>
            <w:vAlign w:val="center"/>
          </w:tcPr>
          <w:p>
            <w:pPr>
              <w:pStyle w:val="12"/>
              <w:bidi w:val="0"/>
              <w:jc w:val="both"/>
              <w:rPr>
                <w:rFonts w:hint="eastAsia"/>
                <w:highlight w:val="none"/>
              </w:rPr>
            </w:pPr>
          </w:p>
        </w:tc>
        <w:tc>
          <w:tcPr>
            <w:tcW w:w="588" w:type="pct"/>
            <w:vMerge w:val="continue"/>
            <w:tcBorders>
              <w:left w:val="single" w:color="000000" w:sz="4" w:space="0"/>
              <w:bottom w:val="single" w:color="000000" w:sz="4" w:space="0"/>
              <w:right w:val="single" w:color="000000" w:sz="4" w:space="0"/>
            </w:tcBorders>
            <w:vAlign w:val="center"/>
          </w:tcPr>
          <w:p>
            <w:pPr>
              <w:pStyle w:val="12"/>
              <w:bidi w:val="0"/>
              <w:rPr>
                <w:rFonts w:hint="eastAsia"/>
                <w:highlight w:val="none"/>
              </w:rPr>
            </w:pPr>
          </w:p>
        </w:tc>
        <w:tc>
          <w:tcPr>
            <w:tcW w:w="332" w:type="pct"/>
            <w:vMerge w:val="continue"/>
            <w:tcBorders>
              <w:left w:val="single" w:color="000000" w:sz="4" w:space="0"/>
              <w:bottom w:val="single" w:color="000000" w:sz="4" w:space="0"/>
              <w:right w:val="single" w:color="000000" w:sz="4" w:space="0"/>
            </w:tcBorders>
            <w:vAlign w:val="center"/>
          </w:tcPr>
          <w:p>
            <w:pPr>
              <w:pStyle w:val="12"/>
              <w:bidi w:val="0"/>
              <w:rPr>
                <w:rFonts w:hint="eastAsia"/>
                <w:highlight w:val="none"/>
              </w:rPr>
            </w:pPr>
          </w:p>
        </w:tc>
        <w:tc>
          <w:tcPr>
            <w:tcW w:w="118" w:type="pct"/>
            <w:vMerge w:val="continue"/>
            <w:tcBorders>
              <w:left w:val="single" w:color="000000" w:sz="4" w:space="0"/>
              <w:bottom w:val="single" w:color="000000" w:sz="4" w:space="0"/>
              <w:right w:val="single" w:color="000000" w:sz="4" w:space="0"/>
            </w:tcBorders>
            <w:vAlign w:val="center"/>
          </w:tcPr>
          <w:p>
            <w:pPr>
              <w:pStyle w:val="12"/>
              <w:bidi w:val="0"/>
              <w:rPr>
                <w:rFonts w:hint="eastAsia"/>
                <w:highlight w:val="none"/>
              </w:rPr>
            </w:pPr>
          </w:p>
        </w:tc>
        <w:tc>
          <w:tcPr>
            <w:tcW w:w="559"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rPr>
              <w:t>水域</w:t>
            </w:r>
          </w:p>
        </w:tc>
        <w:tc>
          <w:tcPr>
            <w:tcW w:w="491"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rPr>
              <w:t>陆域</w:t>
            </w:r>
          </w:p>
        </w:tc>
        <w:tc>
          <w:tcPr>
            <w:tcW w:w="239"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lang w:val="en-US" w:eastAsia="zh-CN"/>
              </w:rPr>
            </w:pPr>
            <w:r>
              <w:rPr>
                <w:rFonts w:hint="eastAsia"/>
                <w:highlight w:val="none"/>
                <w:lang w:val="en-US" w:eastAsia="zh-CN"/>
              </w:rPr>
              <w:t>面积</w:t>
            </w:r>
          </w:p>
          <w:p>
            <w:pPr>
              <w:pStyle w:val="12"/>
              <w:bidi w:val="0"/>
              <w:rPr>
                <w:rFonts w:hint="default"/>
                <w:highlight w:val="none"/>
                <w:lang w:val="en-US" w:eastAsia="zh-CN"/>
              </w:rPr>
            </w:pPr>
            <w:r>
              <w:rPr>
                <w:rFonts w:hint="eastAsia" w:eastAsia="宋体"/>
                <w:highlight w:val="none"/>
                <w:lang w:val="en-US" w:eastAsia="zh-CN"/>
              </w:rPr>
              <w:t>（km</w:t>
            </w:r>
            <w:r>
              <w:rPr>
                <w:rFonts w:hint="eastAsia" w:eastAsia="宋体"/>
                <w:highlight w:val="none"/>
                <w:vertAlign w:val="superscript"/>
                <w:lang w:val="en-US" w:eastAsia="zh-CN"/>
              </w:rPr>
              <w:t>2</w:t>
            </w:r>
            <w:r>
              <w:rPr>
                <w:rFonts w:hint="eastAsia" w:eastAsia="宋体"/>
                <w:highlight w:val="none"/>
                <w:vertAlign w:val="baseline"/>
                <w:lang w:val="en-US" w:eastAsia="zh-CN"/>
              </w:rPr>
              <w:t>)</w:t>
            </w:r>
          </w:p>
          <w:p>
            <w:pPr>
              <w:pStyle w:val="12"/>
              <w:bidi w:val="0"/>
              <w:rPr>
                <w:rFonts w:hint="eastAsia"/>
                <w:highlight w:val="none"/>
                <w:lang w:val="en-US" w:eastAsia="zh-CN"/>
              </w:rPr>
            </w:pPr>
          </w:p>
        </w:tc>
        <w:tc>
          <w:tcPr>
            <w:tcW w:w="771"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rPr>
              <w:t>水域</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rPr>
              <w:t>陆域</w:t>
            </w:r>
          </w:p>
        </w:tc>
        <w:tc>
          <w:tcPr>
            <w:tcW w:w="354"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lang w:val="en-US" w:eastAsia="zh-CN"/>
              </w:rPr>
            </w:pPr>
            <w:r>
              <w:rPr>
                <w:rFonts w:hint="eastAsia"/>
                <w:highlight w:val="none"/>
                <w:lang w:val="en-US" w:eastAsia="zh-CN"/>
              </w:rPr>
              <w:t>面积</w:t>
            </w:r>
          </w:p>
          <w:p>
            <w:pPr>
              <w:pStyle w:val="12"/>
              <w:bidi w:val="0"/>
              <w:rPr>
                <w:rFonts w:hint="default"/>
                <w:highlight w:val="none"/>
                <w:lang w:val="en-US" w:eastAsia="zh-CN"/>
              </w:rPr>
            </w:pPr>
            <w:r>
              <w:rPr>
                <w:rFonts w:hint="eastAsia" w:eastAsia="宋体"/>
                <w:highlight w:val="none"/>
                <w:lang w:val="en-US" w:eastAsia="zh-CN"/>
              </w:rPr>
              <w:t>（km</w:t>
            </w:r>
            <w:r>
              <w:rPr>
                <w:rFonts w:hint="eastAsia" w:eastAsia="宋体"/>
                <w:highlight w:val="none"/>
                <w:vertAlign w:val="superscript"/>
                <w:lang w:val="en-US" w:eastAsia="zh-CN"/>
              </w:rPr>
              <w:t>2</w:t>
            </w:r>
            <w:r>
              <w:rPr>
                <w:rFonts w:hint="eastAsia" w:eastAsia="宋体"/>
                <w:highlight w:val="none"/>
                <w:vertAlign w:val="baseline"/>
                <w:lang w:val="en-US" w:eastAsia="zh-CN"/>
              </w:rPr>
              <w:t>)</w:t>
            </w:r>
          </w:p>
          <w:p>
            <w:pPr>
              <w:pStyle w:val="12"/>
              <w:bidi w:val="0"/>
              <w:rPr>
                <w:rFonts w:hint="eastAsia"/>
                <w:highlight w:val="none"/>
                <w:lang w:val="en-US" w:eastAsia="zh-CN"/>
              </w:rPr>
            </w:pPr>
          </w:p>
        </w:tc>
        <w:tc>
          <w:tcPr>
            <w:tcW w:w="530" w:type="pct"/>
            <w:vMerge w:val="continue"/>
            <w:tcBorders>
              <w:left w:val="single" w:color="000000" w:sz="4" w:space="0"/>
              <w:bottom w:val="single" w:color="000000" w:sz="4" w:space="0"/>
              <w:right w:val="single" w:color="000000" w:sz="4" w:space="0"/>
            </w:tcBorders>
            <w:vAlign w:val="center"/>
          </w:tcPr>
          <w:p>
            <w:pPr>
              <w:pStyle w:val="12"/>
              <w:bidi w:val="0"/>
              <w:rPr>
                <w:rFonts w:hint="eastAsia"/>
                <w:highlight w:val="none"/>
                <w:lang w:val="en-US" w:eastAsia="zh-CN"/>
              </w:rPr>
            </w:pPr>
          </w:p>
        </w:tc>
      </w:tr>
      <w:tr>
        <w:tblPrEx>
          <w:tblCellMar>
            <w:top w:w="0" w:type="dxa"/>
            <w:left w:w="0" w:type="dxa"/>
            <w:bottom w:w="0" w:type="dxa"/>
            <w:right w:w="0" w:type="dxa"/>
          </w:tblCellMar>
        </w:tblPrEx>
        <w:trPr>
          <w:trHeight w:val="1776" w:hRule="exact"/>
        </w:trPr>
        <w:tc>
          <w:tcPr>
            <w:tcW w:w="278" w:type="pct"/>
            <w:vMerge w:val="restart"/>
            <w:tcBorders>
              <w:top w:val="single" w:color="000000" w:sz="4" w:space="0"/>
              <w:left w:val="single" w:color="000000" w:sz="4" w:space="0"/>
              <w:right w:val="single" w:color="000000" w:sz="4" w:space="0"/>
            </w:tcBorders>
            <w:vAlign w:val="center"/>
          </w:tcPr>
          <w:p>
            <w:pPr>
              <w:pStyle w:val="12"/>
              <w:bidi w:val="0"/>
              <w:rPr>
                <w:rFonts w:hint="default"/>
                <w:highlight w:val="none"/>
                <w:lang w:val="en-US" w:eastAsia="zh-CN"/>
              </w:rPr>
            </w:pPr>
            <w:r>
              <w:rPr>
                <w:rFonts w:hint="eastAsia"/>
                <w:highlight w:val="none"/>
                <w:lang w:val="en-US" w:eastAsia="zh-CN"/>
              </w:rPr>
              <w:t>佛冈县</w:t>
            </w:r>
          </w:p>
        </w:tc>
        <w:tc>
          <w:tcPr>
            <w:tcW w:w="588" w:type="pct"/>
            <w:vMerge w:val="restart"/>
            <w:tcBorders>
              <w:top w:val="single" w:color="000000" w:sz="4" w:space="0"/>
              <w:left w:val="single" w:color="000000" w:sz="4" w:space="0"/>
              <w:right w:val="single" w:color="000000" w:sz="4" w:space="0"/>
            </w:tcBorders>
            <w:vAlign w:val="center"/>
          </w:tcPr>
          <w:p>
            <w:pPr>
              <w:pStyle w:val="12"/>
              <w:bidi w:val="0"/>
              <w:ind w:firstLine="0" w:firstLineChars="0"/>
              <w:rPr>
                <w:rFonts w:hint="eastAsia" w:ascii="Times New Roman" w:hAnsi="Times New Roman" w:eastAsia="time" w:cs="Times New Roman"/>
                <w:sz w:val="21"/>
                <w:szCs w:val="24"/>
                <w:highlight w:val="none"/>
                <w:lang w:val="en-US" w:eastAsia="zh-CN" w:bidi="ar-SA"/>
              </w:rPr>
            </w:pPr>
            <w:r>
              <w:rPr>
                <w:rFonts w:hint="eastAsia"/>
                <w:highlight w:val="none"/>
                <w:lang w:val="en-US" w:eastAsia="zh-CN"/>
              </w:rPr>
              <w:t>坝仔坑（新取水口）饮用水水源保护区（调整后更名为：佛冈县潖江石角镇段饮用水水源保护区）</w:t>
            </w:r>
          </w:p>
        </w:tc>
        <w:tc>
          <w:tcPr>
            <w:tcW w:w="332" w:type="pct"/>
            <w:vMerge w:val="restart"/>
            <w:tcBorders>
              <w:top w:val="single" w:color="000000" w:sz="4" w:space="0"/>
              <w:left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Ⅱ类</w:t>
            </w:r>
          </w:p>
        </w:tc>
        <w:tc>
          <w:tcPr>
            <w:tcW w:w="118"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rPr>
              <w:t>一级</w:t>
            </w:r>
          </w:p>
        </w:tc>
        <w:tc>
          <w:tcPr>
            <w:tcW w:w="559"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default"/>
                <w:highlight w:val="none"/>
                <w:lang w:val="en-US" w:eastAsia="zh-CN"/>
              </w:rPr>
              <w:t>取水口上游1000米至下游100米河流正常水位线以下的全部水域。</w:t>
            </w:r>
          </w:p>
        </w:tc>
        <w:tc>
          <w:tcPr>
            <w:tcW w:w="491"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default"/>
                <w:highlight w:val="none"/>
                <w:lang w:eastAsia="zh-CN"/>
              </w:rPr>
              <w:t>相应一级保护区水域边界分别向两岸纵深至堤围迎水坡堤肩线。</w:t>
            </w:r>
          </w:p>
        </w:tc>
        <w:tc>
          <w:tcPr>
            <w:tcW w:w="239"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0.156</w:t>
            </w:r>
          </w:p>
        </w:tc>
        <w:tc>
          <w:tcPr>
            <w:tcW w:w="771"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lang w:val="en-US" w:eastAsia="zh-CN"/>
              </w:rPr>
              <w:t>取水口上游1000m至下游拦河陂，</w:t>
            </w:r>
            <w:r>
              <w:rPr>
                <w:rFonts w:hint="eastAsia" w:ascii="Times New Roman" w:hAnsi="Times New Roman" w:eastAsia="time" w:cs="Times New Roman"/>
                <w:sz w:val="21"/>
                <w:highlight w:val="none"/>
                <w:lang w:val="en-US" w:eastAsia="zh-CN"/>
              </w:rPr>
              <w:t>除</w:t>
            </w:r>
            <w:r>
              <w:rPr>
                <w:rFonts w:hint="eastAsia"/>
                <w:highlight w:val="none"/>
                <w:lang w:val="en-US" w:eastAsia="zh-CN"/>
              </w:rPr>
              <w:t>京港澳高速穿越潖江处中心线两侧各50m对应的水域范围</w:t>
            </w:r>
            <w:r>
              <w:rPr>
                <w:rFonts w:hint="eastAsia" w:ascii="Times New Roman" w:hAnsi="Times New Roman" w:eastAsia="宋体" w:cs="Times New Roman"/>
                <w:sz w:val="24"/>
                <w:highlight w:val="none"/>
                <w:lang w:val="en-US" w:eastAsia="zh-CN"/>
              </w:rPr>
              <w:t>。</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lang w:val="en-US" w:eastAsia="zh-CN"/>
              </w:rPr>
              <w:t>相应一级保护区水域边界分别向两岸纵深至堤围迎水坡堤肩线</w:t>
            </w:r>
            <w:r>
              <w:rPr>
                <w:rFonts w:hint="eastAsia"/>
                <w:lang w:val="en-US" w:eastAsia="zh-CN"/>
              </w:rPr>
              <w:t>的陆域范围</w:t>
            </w:r>
            <w:r>
              <w:rPr>
                <w:rFonts w:hint="eastAsia"/>
                <w:highlight w:val="none"/>
                <w:lang w:val="en-US" w:eastAsia="zh-CN"/>
              </w:rPr>
              <w:t>。</w:t>
            </w:r>
          </w:p>
        </w:tc>
        <w:tc>
          <w:tcPr>
            <w:tcW w:w="354"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0.119</w:t>
            </w:r>
          </w:p>
        </w:tc>
        <w:tc>
          <w:tcPr>
            <w:tcW w:w="530" w:type="pct"/>
            <w:vMerge w:val="restart"/>
            <w:tcBorders>
              <w:top w:val="single" w:color="000000" w:sz="4" w:space="0"/>
              <w:left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结合取水口迁移实际位置调整保护区范围</w:t>
            </w:r>
          </w:p>
        </w:tc>
      </w:tr>
      <w:tr>
        <w:tblPrEx>
          <w:tblCellMar>
            <w:top w:w="0" w:type="dxa"/>
            <w:left w:w="0" w:type="dxa"/>
            <w:bottom w:w="0" w:type="dxa"/>
            <w:right w:w="0" w:type="dxa"/>
          </w:tblCellMar>
        </w:tblPrEx>
        <w:trPr>
          <w:trHeight w:val="2107" w:hRule="exact"/>
        </w:trPr>
        <w:tc>
          <w:tcPr>
            <w:tcW w:w="278" w:type="pct"/>
            <w:vMerge w:val="continue"/>
            <w:tcBorders>
              <w:left w:val="single" w:color="000000" w:sz="4" w:space="0"/>
              <w:bottom w:val="single" w:color="000000" w:sz="4" w:space="0"/>
              <w:right w:val="single" w:color="000000" w:sz="4" w:space="0"/>
            </w:tcBorders>
            <w:vAlign w:val="center"/>
          </w:tcPr>
          <w:p>
            <w:pPr>
              <w:pStyle w:val="12"/>
              <w:bidi w:val="0"/>
              <w:rPr>
                <w:rFonts w:hint="eastAsia"/>
                <w:highlight w:val="none"/>
              </w:rPr>
            </w:pPr>
          </w:p>
        </w:tc>
        <w:tc>
          <w:tcPr>
            <w:tcW w:w="588" w:type="pct"/>
            <w:vMerge w:val="continue"/>
            <w:tcBorders>
              <w:left w:val="single" w:color="000000" w:sz="4" w:space="0"/>
              <w:bottom w:val="single" w:color="000000" w:sz="4" w:space="0"/>
              <w:right w:val="single" w:color="000000" w:sz="4" w:space="0"/>
            </w:tcBorders>
            <w:vAlign w:val="center"/>
          </w:tcPr>
          <w:p>
            <w:pPr>
              <w:pStyle w:val="12"/>
              <w:bidi w:val="0"/>
              <w:rPr>
                <w:rFonts w:hint="eastAsia"/>
                <w:highlight w:val="none"/>
              </w:rPr>
            </w:pPr>
          </w:p>
        </w:tc>
        <w:tc>
          <w:tcPr>
            <w:tcW w:w="332" w:type="pct"/>
            <w:vMerge w:val="continue"/>
            <w:tcBorders>
              <w:left w:val="single" w:color="000000" w:sz="4" w:space="0"/>
              <w:bottom w:val="single" w:color="000000" w:sz="4" w:space="0"/>
              <w:right w:val="single" w:color="000000" w:sz="4" w:space="0"/>
            </w:tcBorders>
            <w:vAlign w:val="center"/>
          </w:tcPr>
          <w:p>
            <w:pPr>
              <w:pStyle w:val="12"/>
              <w:bidi w:val="0"/>
              <w:rPr>
                <w:rFonts w:hint="eastAsia"/>
                <w:highlight w:val="none"/>
              </w:rPr>
            </w:pPr>
          </w:p>
        </w:tc>
        <w:tc>
          <w:tcPr>
            <w:tcW w:w="118"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rPr>
              <w:t>二级</w:t>
            </w:r>
          </w:p>
        </w:tc>
        <w:tc>
          <w:tcPr>
            <w:tcW w:w="559"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default"/>
                <w:highlight w:val="none"/>
                <w:lang w:eastAsia="zh-CN"/>
              </w:rPr>
              <w:t>一级保护区上边界上溯2000米，下边界下溯200米河流正常水位线以下的全部水域。</w:t>
            </w:r>
          </w:p>
        </w:tc>
        <w:tc>
          <w:tcPr>
            <w:tcW w:w="491"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default"/>
                <w:highlight w:val="none"/>
                <w:lang w:eastAsia="zh-CN"/>
              </w:rPr>
              <w:t>相应二级保护区水域边界分别向两岸纵深至堤围迎水坡堤肩线。</w:t>
            </w:r>
          </w:p>
        </w:tc>
        <w:tc>
          <w:tcPr>
            <w:tcW w:w="239"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0.355</w:t>
            </w:r>
          </w:p>
        </w:tc>
        <w:tc>
          <w:tcPr>
            <w:tcW w:w="771"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lang w:val="en-US" w:eastAsia="zh-CN"/>
              </w:rPr>
              <w:t>一级保护区上边界上溯2000m的水域范围；京港澳高速穿越潖江处中心线两侧各50m对应的水域范围。</w:t>
            </w:r>
          </w:p>
        </w:tc>
        <w:tc>
          <w:tcPr>
            <w:tcW w:w="735"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eastAsia"/>
                <w:highlight w:val="none"/>
              </w:rPr>
            </w:pPr>
            <w:r>
              <w:rPr>
                <w:rFonts w:hint="eastAsia"/>
                <w:highlight w:val="none"/>
                <w:lang w:val="en-US" w:eastAsia="zh-CN"/>
              </w:rPr>
              <w:t>相应二级保护区水域边界分别向两岸纵深至堤围迎水坡堤肩线</w:t>
            </w:r>
            <w:r>
              <w:rPr>
                <w:rFonts w:hint="eastAsia"/>
                <w:lang w:val="en-US" w:eastAsia="zh-CN"/>
              </w:rPr>
              <w:t>的陆域范围</w:t>
            </w:r>
            <w:r>
              <w:rPr>
                <w:rFonts w:hint="eastAsia"/>
                <w:highlight w:val="none"/>
                <w:lang w:val="en-US" w:eastAsia="zh-CN"/>
              </w:rPr>
              <w:t>。</w:t>
            </w:r>
          </w:p>
        </w:tc>
        <w:tc>
          <w:tcPr>
            <w:tcW w:w="354" w:type="pct"/>
            <w:tcBorders>
              <w:top w:val="single" w:color="000000" w:sz="4" w:space="0"/>
              <w:left w:val="single" w:color="000000" w:sz="4" w:space="0"/>
              <w:bottom w:val="single" w:color="000000" w:sz="4" w:space="0"/>
              <w:right w:val="single" w:color="000000" w:sz="4" w:space="0"/>
            </w:tcBorders>
            <w:vAlign w:val="center"/>
          </w:tcPr>
          <w:p>
            <w:pPr>
              <w:pStyle w:val="12"/>
              <w:bidi w:val="0"/>
              <w:rPr>
                <w:rFonts w:hint="default" w:eastAsia="宋体"/>
                <w:highlight w:val="none"/>
                <w:lang w:val="en-US" w:eastAsia="zh-CN"/>
              </w:rPr>
            </w:pPr>
            <w:r>
              <w:rPr>
                <w:rFonts w:hint="eastAsia" w:eastAsia="宋体"/>
                <w:highlight w:val="none"/>
                <w:lang w:val="en-US" w:eastAsia="zh-CN"/>
              </w:rPr>
              <w:t>0.323</w:t>
            </w:r>
          </w:p>
        </w:tc>
        <w:tc>
          <w:tcPr>
            <w:tcW w:w="530" w:type="pct"/>
            <w:vMerge w:val="continue"/>
            <w:tcBorders>
              <w:left w:val="single" w:color="000000" w:sz="4" w:space="0"/>
              <w:bottom w:val="single" w:color="000000" w:sz="4" w:space="0"/>
              <w:right w:val="single" w:color="000000" w:sz="4" w:space="0"/>
            </w:tcBorders>
            <w:vAlign w:val="center"/>
          </w:tcPr>
          <w:p>
            <w:pPr>
              <w:pStyle w:val="12"/>
              <w:bidi w:val="0"/>
              <w:rPr>
                <w:rFonts w:hint="eastAsia"/>
                <w:highlight w:val="none"/>
              </w:rPr>
            </w:pPr>
          </w:p>
        </w:tc>
      </w:tr>
    </w:tbl>
    <w:p>
      <w:pPr>
        <w:sectPr>
          <w:pgSz w:w="16838" w:h="11906" w:orient="landscape"/>
          <w:pgMar w:top="1800" w:right="1440" w:bottom="1800" w:left="1440" w:header="851" w:footer="992" w:gutter="0"/>
          <w:cols w:space="425" w:num="1"/>
          <w:docGrid w:type="lines" w:linePitch="312" w:charSpace="0"/>
        </w:sectPr>
      </w:pPr>
    </w:p>
    <w:p>
      <w:pPr>
        <w:pStyle w:val="13"/>
        <w:bidi w:val="0"/>
        <w:rPr>
          <w:rFonts w:hint="eastAsia"/>
          <w:lang w:val="en-US" w:eastAsia="zh-CN"/>
        </w:rPr>
      </w:pPr>
      <w:r>
        <w:rPr>
          <w:rFonts w:hint="eastAsia"/>
          <w:lang w:val="en-US" w:eastAsia="zh-CN"/>
        </w:rPr>
        <w:drawing>
          <wp:inline distT="0" distB="0" distL="114300" distR="114300">
            <wp:extent cx="8399780" cy="5943600"/>
            <wp:effectExtent l="0" t="0" r="1270" b="0"/>
            <wp:docPr id="15" name="图片 15" descr="坝仔坑保护区现状(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坝仔坑保护区现状(4)"/>
                    <pic:cNvPicPr>
                      <a:picLocks noChangeAspect="1"/>
                    </pic:cNvPicPr>
                  </pic:nvPicPr>
                  <pic:blipFill>
                    <a:blip r:embed="rId7"/>
                    <a:stretch>
                      <a:fillRect/>
                    </a:stretch>
                  </pic:blipFill>
                  <pic:spPr>
                    <a:xfrm>
                      <a:off x="0" y="0"/>
                      <a:ext cx="8399780" cy="5943600"/>
                    </a:xfrm>
                    <a:prstGeom prst="rect">
                      <a:avLst/>
                    </a:prstGeom>
                  </pic:spPr>
                </pic:pic>
              </a:graphicData>
            </a:graphic>
          </wp:inline>
        </w:drawing>
      </w:r>
    </w:p>
    <w:p>
      <w:pPr>
        <w:pStyle w:val="13"/>
        <w:bidi w:val="0"/>
        <w:rPr>
          <w:rFonts w:hint="eastAsia"/>
          <w:lang w:val="en-US" w:eastAsia="zh-CN"/>
        </w:rPr>
      </w:pPr>
      <w:r>
        <w:rPr>
          <w:rFonts w:hint="eastAsia"/>
          <w:lang w:val="en-US" w:eastAsia="zh-CN"/>
        </w:rPr>
        <w:t>图1佛冈县潖江石角镇段饮用水水源保护区（调整前）</w:t>
      </w:r>
    </w:p>
    <w:p>
      <w:pPr>
        <w:pStyle w:val="13"/>
        <w:bidi w:val="0"/>
        <w:rPr>
          <w:rFonts w:hint="eastAsia"/>
          <w:lang w:val="en-US" w:eastAsia="zh-CN"/>
        </w:rPr>
      </w:pPr>
    </w:p>
    <w:p>
      <w:pPr>
        <w:pStyle w:val="13"/>
        <w:bidi w:val="0"/>
        <w:rPr>
          <w:rFonts w:hint="eastAsia"/>
          <w:lang w:val="en-US" w:eastAsia="zh-CN"/>
        </w:rPr>
      </w:pPr>
      <w:r>
        <w:rPr>
          <w:rFonts w:hint="eastAsia"/>
          <w:lang w:val="en-US" w:eastAsia="zh-CN"/>
        </w:rPr>
        <w:drawing>
          <wp:inline distT="0" distB="0" distL="114300" distR="114300">
            <wp:extent cx="8399780" cy="5943600"/>
            <wp:effectExtent l="0" t="0" r="1270" b="0"/>
            <wp:docPr id="18" name="图片 18" descr="坝仔坑保护区调整方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坝仔坑保护区调整方案(3)"/>
                    <pic:cNvPicPr>
                      <a:picLocks noChangeAspect="1"/>
                    </pic:cNvPicPr>
                  </pic:nvPicPr>
                  <pic:blipFill>
                    <a:blip r:embed="rId8"/>
                    <a:stretch>
                      <a:fillRect/>
                    </a:stretch>
                  </pic:blipFill>
                  <pic:spPr>
                    <a:xfrm>
                      <a:off x="0" y="0"/>
                      <a:ext cx="8399780" cy="5943600"/>
                    </a:xfrm>
                    <a:prstGeom prst="rect">
                      <a:avLst/>
                    </a:prstGeom>
                  </pic:spPr>
                </pic:pic>
              </a:graphicData>
            </a:graphic>
          </wp:inline>
        </w:drawing>
      </w:r>
    </w:p>
    <w:p>
      <w:pPr>
        <w:pStyle w:val="13"/>
        <w:bidi w:val="0"/>
      </w:pPr>
      <w:r>
        <w:rPr>
          <w:rFonts w:hint="eastAsia"/>
          <w:highlight w:val="none"/>
          <w:lang w:val="en-US" w:eastAsia="zh-CN"/>
        </w:rPr>
        <w:t>图2</w:t>
      </w:r>
      <w:r>
        <w:rPr>
          <w:rFonts w:hint="eastAsia"/>
          <w:lang w:val="en-US" w:eastAsia="zh-CN"/>
        </w:rPr>
        <w:t>佛冈县潖江石角镇段</w:t>
      </w:r>
      <w:r>
        <w:rPr>
          <w:rFonts w:hint="eastAsia"/>
          <w:highlight w:val="none"/>
          <w:lang w:val="en-US" w:eastAsia="zh-CN"/>
        </w:rPr>
        <w:t>饮用水水源保护区（调整后）</w:t>
      </w:r>
    </w:p>
    <w:p/>
    <w:sectPr>
      <w:pgSz w:w="16838" w:h="23811"/>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_GBK">
    <w:panose1 w:val="03000502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ime">
    <w:altName w:val="Courier New"/>
    <w:panose1 w:val="00000000000000000000"/>
    <w:charset w:val="00"/>
    <w:family w:val="auto"/>
    <w:pitch w:val="default"/>
    <w:sig w:usb0="00000000" w:usb1="00000000" w:usb2="00000000" w:usb3="00000000" w:csb0="00000000" w:csb1="00000000"/>
  </w:font>
  <w:font w:name="方正仿宋_GB2312">
    <w:panose1 w:val="02000000000000000000"/>
    <w:charset w:val="86"/>
    <w:family w:val="auto"/>
    <w:pitch w:val="default"/>
    <w:sig w:usb0="A00002BF" w:usb1="184F6CFA" w:usb2="00000012" w:usb3="00000000" w:csb0="00040001" w:csb1="00000000"/>
  </w:font>
  <w:font w:name="Courier New">
    <w:panose1 w:val="02070309020205020404"/>
    <w:charset w:val="00"/>
    <w:family w:val="auto"/>
    <w:pitch w:val="default"/>
    <w:sig w:usb0="E0002AFF" w:usb1="C0007843" w:usb2="00000009" w:usb3="00000000" w:csb0="400001FF" w:csb1="FFFF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642A83"/>
    <w:multiLevelType w:val="multilevel"/>
    <w:tmpl w:val="7E642A83"/>
    <w:lvl w:ilvl="0" w:tentative="0">
      <w:start w:val="2"/>
      <w:numFmt w:val="decimal"/>
      <w:pStyle w:val="3"/>
      <w:suff w:val="space"/>
      <w:lvlText w:val="第%1章 "/>
      <w:lvlJc w:val="center"/>
      <w:pPr>
        <w:tabs>
          <w:tab w:val="left" w:pos="0"/>
        </w:tabs>
        <w:ind w:left="0" w:firstLine="0"/>
      </w:pPr>
      <w:rPr>
        <w:rFonts w:hint="default" w:ascii="Times New Roman" w:hAnsi="Times New Roman" w:eastAsia="黑体" w:cs="宋体"/>
        <w:sz w:val="44"/>
      </w:rPr>
    </w:lvl>
    <w:lvl w:ilvl="1" w:tentative="0">
      <w:start w:val="1"/>
      <w:numFmt w:val="decimal"/>
      <w:pStyle w:val="4"/>
      <w:isLgl/>
      <w:suff w:val="space"/>
      <w:lvlText w:val="%1.%2"/>
      <w:lvlJc w:val="left"/>
      <w:pPr>
        <w:tabs>
          <w:tab w:val="left" w:pos="0"/>
        </w:tabs>
        <w:ind w:left="0" w:firstLine="0"/>
      </w:pPr>
      <w:rPr>
        <w:rFonts w:hint="default" w:ascii="Times New Roman" w:hAnsi="Times New Roman" w:eastAsia="宋体" w:cs="宋体"/>
        <w:b/>
        <w:sz w:val="32"/>
      </w:rPr>
    </w:lvl>
    <w:lvl w:ilvl="2" w:tentative="0">
      <w:start w:val="1"/>
      <w:numFmt w:val="decimal"/>
      <w:pStyle w:val="2"/>
      <w:isLgl/>
      <w:suff w:val="space"/>
      <w:lvlText w:val="%1.%2.%3"/>
      <w:lvlJc w:val="left"/>
      <w:pPr>
        <w:tabs>
          <w:tab w:val="left" w:pos="0"/>
        </w:tabs>
        <w:ind w:left="0" w:firstLine="0"/>
      </w:pPr>
      <w:rPr>
        <w:rFonts w:hint="default" w:ascii="Times New Roman" w:hAnsi="Times New Roman" w:eastAsia="宋体" w:cs="宋体"/>
        <w:b/>
        <w:sz w:val="30"/>
      </w:rPr>
    </w:lvl>
    <w:lvl w:ilvl="3" w:tentative="0">
      <w:start w:val="1"/>
      <w:numFmt w:val="decimal"/>
      <w:pStyle w:val="5"/>
      <w:isLgl/>
      <w:suff w:val="space"/>
      <w:lvlText w:val="%1.%2.%3.%4"/>
      <w:lvlJc w:val="left"/>
      <w:pPr>
        <w:tabs>
          <w:tab w:val="left" w:pos="0"/>
        </w:tabs>
        <w:ind w:left="0" w:firstLine="0"/>
      </w:pPr>
      <w:rPr>
        <w:rFonts w:hint="default" w:ascii="Times New Roman" w:hAnsi="Times New Roman" w:eastAsia="宋体" w:cs="宋体"/>
        <w:b/>
        <w:sz w:val="28"/>
      </w:rPr>
    </w:lvl>
    <w:lvl w:ilvl="4" w:tentative="0">
      <w:start w:val="1"/>
      <w:numFmt w:val="decimal"/>
      <w:pStyle w:val="6"/>
      <w:isLgl/>
      <w:suff w:val="space"/>
      <w:lvlText w:val="%1.%2.%3.%4.%5"/>
      <w:lvlJc w:val="left"/>
      <w:pPr>
        <w:tabs>
          <w:tab w:val="left" w:pos="420"/>
        </w:tabs>
        <w:ind w:left="0" w:firstLine="0"/>
      </w:pPr>
      <w:rPr>
        <w:rFonts w:hint="default" w:ascii="Times New Roman" w:hAnsi="Times New Roman" w:eastAsia="宋体" w:cs="宋体"/>
        <w:b/>
        <w:sz w:val="24"/>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1ZjVkZDg3MzU5ZjY3NDM0OTQyMTk2ZjU4ZTYxZDgifQ=="/>
  </w:docVars>
  <w:rsids>
    <w:rsidRoot w:val="00000000"/>
    <w:rsid w:val="2B371652"/>
    <w:rsid w:val="3F920319"/>
    <w:rsid w:val="3FA63174"/>
    <w:rsid w:val="65AB6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2" w:firstLineChars="200"/>
      <w:jc w:val="both"/>
    </w:pPr>
    <w:rPr>
      <w:rFonts w:ascii="Times New Roman" w:hAnsi="Times New Roman" w:eastAsia="宋体" w:cs="Times New Roman"/>
      <w:sz w:val="24"/>
      <w:lang w:val="en-US" w:eastAsia="zh-CN" w:bidi="ar-SA"/>
    </w:rPr>
  </w:style>
  <w:style w:type="paragraph" w:styleId="3">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b/>
      <w:kern w:val="44"/>
      <w:sz w:val="44"/>
    </w:rPr>
  </w:style>
  <w:style w:type="paragraph" w:styleId="4">
    <w:name w:val="heading 2"/>
    <w:basedOn w:val="1"/>
    <w:next w:val="1"/>
    <w:semiHidden/>
    <w:unhideWhenUsed/>
    <w:qFormat/>
    <w:uiPriority w:val="0"/>
    <w:pPr>
      <w:keepNext/>
      <w:keepLines/>
      <w:numPr>
        <w:ilvl w:val="1"/>
        <w:numId w:val="1"/>
      </w:numPr>
      <w:ind w:firstLineChars="0"/>
      <w:outlineLvl w:val="1"/>
    </w:pPr>
    <w:rPr>
      <w:rFonts w:ascii="Times New Roman" w:hAnsi="Times New Roman" w:eastAsia="宋体"/>
      <w:b/>
      <w:sz w:val="32"/>
    </w:rPr>
  </w:style>
  <w:style w:type="paragraph" w:styleId="2">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outlineLvl w:val="4"/>
    </w:pPr>
    <w:rPr>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Normal Indent"/>
    <w:basedOn w:val="1"/>
    <w:next w:val="1"/>
    <w:qFormat/>
    <w:uiPriority w:val="0"/>
    <w:pPr>
      <w:ind w:firstLine="200"/>
    </w:pPr>
    <w:rPr>
      <w:szCs w:val="24"/>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Normal (Web)"/>
    <w:basedOn w:val="1"/>
    <w:qFormat/>
    <w:uiPriority w:val="0"/>
    <w:pPr>
      <w:spacing w:beforeAutospacing="1" w:afterAutospacing="1"/>
      <w:jc w:val="left"/>
    </w:pPr>
  </w:style>
  <w:style w:type="paragraph" w:customStyle="1" w:styleId="12">
    <w:name w:val="表格字体"/>
    <w:basedOn w:val="1"/>
    <w:unhideWhenUsed/>
    <w:qFormat/>
    <w:uiPriority w:val="0"/>
    <w:pPr>
      <w:spacing w:line="240" w:lineRule="auto"/>
      <w:ind w:firstLine="0" w:firstLineChars="0"/>
      <w:jc w:val="center"/>
    </w:pPr>
    <w:rPr>
      <w:rFonts w:ascii="Times New Roman" w:hAnsi="Times New Roman" w:eastAsia="time"/>
      <w:sz w:val="21"/>
      <w:szCs w:val="24"/>
    </w:rPr>
  </w:style>
  <w:style w:type="paragraph" w:customStyle="1" w:styleId="13">
    <w:name w:val="图表标题"/>
    <w:basedOn w:val="1"/>
    <w:qFormat/>
    <w:uiPriority w:val="0"/>
    <w:pPr>
      <w:ind w:firstLine="0" w:firstLineChars="0"/>
      <w:jc w:val="center"/>
    </w:pPr>
    <w:rPr>
      <w:rFonts w:ascii="Times New Roman" w:hAnsi="Times New Roman" w:eastAsia="宋体"/>
      <w:b/>
      <w:sz w:val="21"/>
    </w:rPr>
  </w:style>
  <w:style w:type="paragraph" w:customStyle="1" w:styleId="14">
    <w:name w:val="括号标题"/>
    <w:basedOn w:val="1"/>
    <w:next w:val="1"/>
    <w:qFormat/>
    <w:uiPriority w:val="0"/>
    <w:pPr>
      <w:ind w:firstLine="360" w:firstLineChars="150"/>
    </w:pPr>
  </w:style>
  <w:style w:type="paragraph" w:customStyle="1" w:styleId="15">
    <w:name w:val="报告正文"/>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1922</Words>
  <Characters>2106</Characters>
  <Lines>0</Lines>
  <Paragraphs>0</Paragraphs>
  <TotalTime>4</TotalTime>
  <ScaleCrop>false</ScaleCrop>
  <LinksUpToDate>false</LinksUpToDate>
  <CharactersWithSpaces>2112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2022-12-01T06:16:00Z</dcterms:created>
  <dc:creator>dell</dc:creator>
  <cp:lastModifiedBy>梁卓健</cp:lastModifiedBy>
  <cp:lastPrinted>2023-08-25T08:45:43Z</cp:lastPrinted>
  <dcterms:modified xsi:type="dcterms:W3CDTF">2023-08-25T08:55:45Z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4B375E6FA0424A9291DC65252D32C9F2</vt:lpwstr>
  </property>
</Properties>
</file>