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佛冈县市场监督管理局箱包鞋类产品质量监督抽查实施细则（2023年）</w:t>
      </w:r>
    </w:p>
    <w:p>
      <w:pPr>
        <w:spacing w:line="500" w:lineRule="exact"/>
        <w:ind w:firstLine="420" w:firstLineChars="200"/>
        <w:rPr>
          <w:rFonts w:ascii="黑体" w:hAnsi="黑体" w:eastAsia="黑体" w:cs="黑体"/>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一、抽样方法</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以随机抽样的方式在生产者、被抽样经营者的待销产品中抽取。</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随机数一般可使用随机数表等方法产生。</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抽查数量：每款产品抽取2组样本，第1组用于检验，第2组用于备样。具体抽样数量如下：</w:t>
      </w:r>
    </w:p>
    <w:tbl>
      <w:tblPr>
        <w:tblStyle w:val="6"/>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755"/>
        <w:gridCol w:w="1418"/>
        <w:gridCol w:w="141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63" w:type="dxa"/>
            <w:tcBorders>
              <w:bottom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755" w:type="dxa"/>
            <w:tcBorders>
              <w:bottom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418" w:type="dxa"/>
            <w:tcBorders>
              <w:bottom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417" w:type="dxa"/>
            <w:tcBorders>
              <w:bottom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2490" w:type="dxa"/>
            <w:tcBorders>
              <w:bottom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童鞋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2双</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1双</w:t>
            </w:r>
          </w:p>
        </w:tc>
        <w:tc>
          <w:tcPr>
            <w:tcW w:w="2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r>
    </w:tbl>
    <w:p>
      <w:pPr>
        <w:spacing w:line="600" w:lineRule="exact"/>
        <w:ind w:firstLine="640" w:firstLineChars="200"/>
        <w:rPr>
          <w:rFonts w:ascii="仿宋_GB2312" w:hAnsi="仿宋_GB2312" w:eastAsia="仿宋_GB2312" w:cs="仿宋_GB2312"/>
          <w:spacing w:val="-6"/>
          <w:kern w:val="0"/>
          <w:sz w:val="32"/>
          <w:szCs w:val="32"/>
        </w:rPr>
      </w:pPr>
      <w:r>
        <w:rPr>
          <w:rFonts w:hint="eastAsia" w:ascii="黑体" w:hAnsi="黑体" w:eastAsia="黑体" w:cs="黑体"/>
          <w:sz w:val="32"/>
          <w:szCs w:val="32"/>
        </w:rPr>
        <w:t>二、主要检验项目及检验项目属性划分</w:t>
      </w:r>
    </w:p>
    <w:tbl>
      <w:tblPr>
        <w:tblStyle w:val="6"/>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9"/>
        <w:gridCol w:w="2049"/>
        <w:gridCol w:w="776"/>
        <w:gridCol w:w="751"/>
        <w:gridCol w:w="779"/>
        <w:gridCol w:w="70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标识</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QB/T2673-2013</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相应产品标准</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剥离强度或帮底剥离强度或底墙与帮面剥离强度</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3903.3-2011</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耐折性能</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3903.1-2008</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耐磨性能</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3903.2-2008</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外底硬度</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3903.4-2008</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鞋帮拉出强度或帮带拉出强度或帮带拔出力</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HG/T 2877-1997</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QB/T 2880-2016</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相应产品标准</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可分解有害芳香胺染料</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17592-2011</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19942-2019</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甲醛含量</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2912.1-2009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GB/T19941.1-2019</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重金属总量</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QB/T 4340-2012</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10</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邻苯二甲酸酯</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ISO 16181.1-2021</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11</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橡胶部件中的N-亚硝基胺</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24153-2009</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12</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皮革和毛皮中的六价铬</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22807-2019</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13</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富马酸二甲酯</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26713-2011</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14</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物理机械安全性能（除钢勾心）</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30585-2014</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 6675.2-2014</w:t>
            </w:r>
          </w:p>
        </w:tc>
        <w:tc>
          <w:tcPr>
            <w:tcW w:w="77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1" w:type="dxa"/>
            <w:vAlign w:val="center"/>
          </w:tcPr>
          <w:p>
            <w:pPr>
              <w:adjustRightInd w:val="0"/>
              <w:snapToGrid w:val="0"/>
              <w:spacing w:line="288" w:lineRule="auto"/>
              <w:jc w:val="center"/>
              <w:rPr>
                <w:rFonts w:ascii="仿宋" w:hAnsi="仿宋" w:eastAsia="仿宋" w:cs="仿宋"/>
                <w:sz w:val="24"/>
                <w:szCs w:val="24"/>
              </w:rPr>
            </w:pPr>
          </w:p>
        </w:tc>
        <w:tc>
          <w:tcPr>
            <w:tcW w:w="77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07" w:type="dxa"/>
            <w:vAlign w:val="center"/>
          </w:tcPr>
          <w:p>
            <w:pPr>
              <w:adjustRightInd w:val="0"/>
              <w:snapToGrid w:val="0"/>
              <w:spacing w:line="288" w:lineRule="auto"/>
              <w:jc w:val="center"/>
              <w:rPr>
                <w:rFonts w:ascii="仿宋" w:hAnsi="仿宋" w:eastAsia="仿宋" w:cs="仿宋"/>
                <w:sz w:val="24"/>
                <w:szCs w:val="24"/>
              </w:rPr>
            </w:pP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15</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勾心纵向刚度</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GB/T3903.34-2019</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QB/T 1813-2000</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16</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勾心硬度</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230.1-2018</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17</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勾心弯曲性能</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28011-2021</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28011-2011</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18</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勾心尺寸（勾心长度下限值）</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28011-2021</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GB/T 28011-2011</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19</w:t>
            </w:r>
          </w:p>
        </w:tc>
        <w:tc>
          <w:tcPr>
            <w:tcW w:w="192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衬里和内垫摩擦色牢度</w:t>
            </w:r>
          </w:p>
        </w:tc>
        <w:tc>
          <w:tcPr>
            <w:tcW w:w="204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QB/T 2882-2007</w:t>
            </w:r>
          </w:p>
        </w:tc>
        <w:tc>
          <w:tcPr>
            <w:tcW w:w="776" w:type="dxa"/>
            <w:vAlign w:val="center"/>
          </w:tcPr>
          <w:p>
            <w:pPr>
              <w:adjustRightInd w:val="0"/>
              <w:snapToGrid w:val="0"/>
              <w:spacing w:line="288" w:lineRule="auto"/>
              <w:jc w:val="center"/>
              <w:rPr>
                <w:rFonts w:ascii="仿宋" w:hAnsi="仿宋" w:eastAsia="仿宋" w:cs="仿宋"/>
                <w:sz w:val="24"/>
                <w:szCs w:val="24"/>
              </w:rPr>
            </w:pPr>
          </w:p>
        </w:tc>
        <w:tc>
          <w:tcPr>
            <w:tcW w:w="751"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79" w:type="dxa"/>
            <w:vAlign w:val="center"/>
          </w:tcPr>
          <w:p>
            <w:pPr>
              <w:adjustRightInd w:val="0"/>
              <w:snapToGrid w:val="0"/>
              <w:spacing w:line="288" w:lineRule="auto"/>
              <w:jc w:val="center"/>
              <w:rPr>
                <w:rFonts w:ascii="仿宋" w:hAnsi="仿宋" w:eastAsia="仿宋" w:cs="仿宋"/>
                <w:sz w:val="24"/>
                <w:szCs w:val="24"/>
              </w:rPr>
            </w:pPr>
          </w:p>
        </w:tc>
        <w:tc>
          <w:tcPr>
            <w:tcW w:w="70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757" w:type="dxa"/>
            <w:vAlign w:val="center"/>
          </w:tcPr>
          <w:p>
            <w:pPr>
              <w:adjustRightInd w:val="0"/>
              <w:snapToGrid w:val="0"/>
              <w:spacing w:line="288" w:lineRule="auto"/>
              <w:jc w:val="center"/>
              <w:rPr>
                <w:rFonts w:ascii="仿宋" w:hAnsi="仿宋" w:eastAsia="仿宋" w:cs="仿宋"/>
                <w:sz w:val="24"/>
                <w:szCs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pStyle w:val="5"/>
        <w:snapToGrid w:val="0"/>
        <w:spacing w:before="0" w:beforeAutospacing="0" w:after="0" w:afterAutospacing="0" w:line="500" w:lineRule="exact"/>
        <w:ind w:firstLine="640" w:firstLineChars="200"/>
        <w:rPr>
          <w:rFonts w:ascii="仿宋_GB2312" w:eastAsia="仿宋_GB2312"/>
          <w:sz w:val="32"/>
          <w:szCs w:val="32"/>
        </w:rPr>
      </w:pPr>
      <w:r>
        <w:rPr>
          <w:rFonts w:hint="eastAsia" w:ascii="仿宋_GB2312" w:eastAsia="仿宋_GB2312"/>
          <w:sz w:val="32"/>
          <w:szCs w:val="32"/>
        </w:rPr>
        <w:t>GB 30585-2014《儿童鞋安全技术规范》</w:t>
      </w:r>
    </w:p>
    <w:p>
      <w:pPr>
        <w:pStyle w:val="5"/>
        <w:snapToGrid w:val="0"/>
        <w:spacing w:before="0" w:beforeAutospacing="0" w:after="0" w:afterAutospacing="0" w:line="500" w:lineRule="exact"/>
        <w:ind w:firstLine="640" w:firstLineChars="200"/>
        <w:rPr>
          <w:rFonts w:ascii="仿宋_GB2312" w:eastAsia="仿宋_GB2312"/>
          <w:sz w:val="32"/>
          <w:szCs w:val="32"/>
        </w:rPr>
      </w:pPr>
      <w:r>
        <w:rPr>
          <w:rFonts w:hint="eastAsia" w:ascii="仿宋_GB2312" w:eastAsia="仿宋_GB2312"/>
          <w:sz w:val="32"/>
          <w:szCs w:val="32"/>
        </w:rPr>
        <w:t>QB/T 2880-2016《儿童皮鞋》</w:t>
      </w:r>
    </w:p>
    <w:p>
      <w:pPr>
        <w:pStyle w:val="5"/>
        <w:snapToGrid w:val="0"/>
        <w:spacing w:before="0" w:beforeAutospacing="0" w:after="0" w:afterAutospacing="0" w:line="500" w:lineRule="exact"/>
        <w:ind w:firstLine="640" w:firstLineChars="200"/>
        <w:rPr>
          <w:rFonts w:ascii="仿宋_GB2312" w:eastAsia="仿宋_GB2312"/>
          <w:sz w:val="32"/>
          <w:szCs w:val="32"/>
        </w:rPr>
      </w:pPr>
      <w:r>
        <w:rPr>
          <w:rFonts w:hint="eastAsia" w:ascii="仿宋_GB2312" w:eastAsia="仿宋_GB2312"/>
          <w:sz w:val="32"/>
          <w:szCs w:val="32"/>
        </w:rPr>
        <w:t>QB/T 4331-2021《儿童旅游鞋》</w:t>
      </w:r>
    </w:p>
    <w:p>
      <w:pPr>
        <w:pStyle w:val="5"/>
        <w:snapToGrid w:val="0"/>
        <w:spacing w:before="0" w:beforeAutospacing="0" w:after="0" w:afterAutospacing="0" w:line="500" w:lineRule="exact"/>
        <w:ind w:firstLine="640" w:firstLineChars="200"/>
        <w:rPr>
          <w:rFonts w:ascii="仿宋_GB2312" w:eastAsia="仿宋_GB2312"/>
          <w:sz w:val="32"/>
          <w:szCs w:val="32"/>
        </w:rPr>
      </w:pPr>
      <w:r>
        <w:rPr>
          <w:rFonts w:hint="eastAsia" w:ascii="仿宋_GB2312" w:eastAsia="仿宋_GB2312"/>
          <w:sz w:val="32"/>
          <w:szCs w:val="32"/>
        </w:rPr>
        <w:t>QB/T 4546-2021《儿童皮凉鞋》</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ascii="Times New Roman" w:hAnsi="Times New Roman" w:eastAsia="仿宋_GB2312"/>
          <w:sz w:val="32"/>
          <w:szCs w:val="32"/>
        </w:rPr>
        <w:t>不合格；检验项目中任一项或一项以上不合格，判定为被抽查产品不合格。</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当被检样品明示的质量要求优于监督抽查实施细则中依据的标准要求时，应按被检样品明示的质量要求判定；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0"/>
        <w:widowControl w:val="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按照产品质量相关法律法规的规定判定。</w:t>
      </w:r>
    </w:p>
    <w:p>
      <w:pPr>
        <w:pStyle w:val="10"/>
        <w:tabs>
          <w:tab w:val="clear" w:pos="4201"/>
          <w:tab w:val="clear" w:pos="9298"/>
        </w:tabs>
        <w:spacing w:line="520" w:lineRule="exact"/>
        <w:ind w:firstLine="640"/>
        <w:rPr>
          <w:rFonts w:hint="default" w:eastAsia="方正小标宋简体" w:cs="方正小标宋简体"/>
          <w:spacing w:val="-6"/>
          <w:sz w:val="28"/>
          <w:szCs w:val="28"/>
          <w:lang w:val="en-US" w:eastAsia="zh-CN"/>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1CE87F00"/>
    <w:rsid w:val="1FDA3B00"/>
    <w:rsid w:val="27A716A9"/>
    <w:rsid w:val="2E6D109C"/>
    <w:rsid w:val="452B71E0"/>
    <w:rsid w:val="549472B7"/>
    <w:rsid w:val="55AC677E"/>
    <w:rsid w:val="5E8D62DA"/>
    <w:rsid w:val="5FF3057C"/>
    <w:rsid w:val="6DE83610"/>
    <w:rsid w:val="719B6E13"/>
    <w:rsid w:val="72234E85"/>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jc w:val="left"/>
    </w:pPr>
    <w:rPr>
      <w:rFonts w:ascii="宋体" w:hAnsi="Courier New" w:eastAsia="宋体" w:cs="宋体"/>
      <w:szCs w:val="21"/>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2023-07-27T03:14:05Z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