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附件</w:t>
      </w:r>
      <w:r>
        <w:rPr>
          <w:rFonts w:hint="eastAsia" w:ascii="仿宋_GB2312" w:hAnsi="仿宋_GB2312" w:eastAsia="仿宋_GB2312" w:cs="仿宋_GB2312"/>
          <w:spacing w:val="-6"/>
          <w:kern w:val="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佛冈县市场监督管理局文体用品质量监督抽查实施细则（2023年）</w:t>
      </w:r>
    </w:p>
    <w:p/>
    <w:p>
      <w:pPr>
        <w:spacing w:line="480" w:lineRule="auto"/>
        <w:ind w:left="420"/>
        <w:rPr>
          <w:rFonts w:ascii="黑体" w:hAnsi="黑体" w:eastAsia="黑体" w:cs="黑体"/>
          <w:sz w:val="32"/>
          <w:szCs w:val="32"/>
        </w:rPr>
      </w:pPr>
      <w:r>
        <w:rPr>
          <w:rFonts w:hint="eastAsia" w:ascii="黑体" w:hAnsi="黑体" w:eastAsia="黑体" w:cs="黑体"/>
          <w:sz w:val="32"/>
          <w:szCs w:val="32"/>
        </w:rPr>
        <w:t>一、抽样方法</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以随机抽样的方式在生产者、被抽样经营者的待销产品中抽取。</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随机数一般可使用随机数表等方法产生。</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抽查数量：每款产品抽取2组样本，第1组用于检验，第2组用于备样。具体抽样数量如下：</w:t>
      </w:r>
    </w:p>
    <w:tbl>
      <w:tblPr>
        <w:tblStyle w:val="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82"/>
        <w:gridCol w:w="2000"/>
        <w:gridCol w:w="1942"/>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703" w:type="dxa"/>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382" w:type="dxa"/>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产品名称</w:t>
            </w:r>
          </w:p>
        </w:tc>
        <w:tc>
          <w:tcPr>
            <w:tcW w:w="2000" w:type="dxa"/>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第1组数量</w:t>
            </w:r>
          </w:p>
        </w:tc>
        <w:tc>
          <w:tcPr>
            <w:tcW w:w="1942" w:type="dxa"/>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第2组数量</w:t>
            </w:r>
          </w:p>
        </w:tc>
        <w:tc>
          <w:tcPr>
            <w:tcW w:w="2613" w:type="dxa"/>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8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美术用品</w:t>
            </w: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2套</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1套</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水彩笔、水彩画颜料、油画棒、蜡笔、橡皮泥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82" w:type="dxa"/>
            <w:vMerge w:val="restart"/>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胶粘剂</w:t>
            </w: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8支（以20g/支计）</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6支（以20g/支计）</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固体胶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300ml</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200ml</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液体胶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300ml</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200ml</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浆糊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82" w:type="dxa"/>
            <w:vMerge w:val="restart"/>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笔及笔芯</w:t>
            </w: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25支</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25支</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铅笔（石墨铅笔）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2套</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1套</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铅笔（彩色铅笔）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2支</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1支</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活动铅笔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2套</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1套</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考试用涂卡笔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2盒</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1盒</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铅芯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12支</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10支</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自来水笔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12支</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12支</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油墨圆珠笔和笔芯、中性墨水圆珠和笔芯、水性墨水圆珠笔和笔芯、考试用圆珠笔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12支</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2X支</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记号笔、白板笔、荧光笔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382" w:type="dxa"/>
            <w:vMerge w:val="restart"/>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涂改制品</w:t>
            </w: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6支（以8ml/支计）</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4支（以8ml/支计）</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修正液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6个（以10m/个计）</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4个（以10m/个计）</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修正带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12支（以6ml/支计）</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6支（以6ml/支计）</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修正笔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382" w:type="dxa"/>
            <w:vMerge w:val="continue"/>
            <w:vAlign w:val="center"/>
          </w:tcPr>
          <w:p>
            <w:pPr>
              <w:pStyle w:val="9"/>
              <w:spacing w:line="300" w:lineRule="exact"/>
              <w:jc w:val="center"/>
              <w:rPr>
                <w:rFonts w:ascii="仿宋_GB2312" w:hAnsi="仿宋_GB2312" w:eastAsia="仿宋_GB2312" w:cs="仿宋_GB2312"/>
                <w:sz w:val="24"/>
                <w:szCs w:val="24"/>
              </w:rPr>
            </w:pP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5本</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5本</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修正贴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38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橡皮擦</w:t>
            </w: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2个</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1个</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橡皮擦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38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本册</w:t>
            </w: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2本</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1本</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田字簿、拼音簿、数学簿、英语本、错题本、语文本、作文本、作业登记本等学生用课业簿册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38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卷削类文具</w:t>
            </w:r>
          </w:p>
        </w:tc>
        <w:tc>
          <w:tcPr>
            <w:tcW w:w="2000"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2个</w:t>
            </w:r>
          </w:p>
        </w:tc>
        <w:tc>
          <w:tcPr>
            <w:tcW w:w="1942"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1个</w:t>
            </w:r>
          </w:p>
        </w:tc>
        <w:tc>
          <w:tcPr>
            <w:tcW w:w="2613" w:type="dxa"/>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卷笔刀、手动削笔机、文具剪刀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40" w:type="dxa"/>
            <w:gridSpan w:val="5"/>
            <w:vAlign w:val="center"/>
          </w:tcPr>
          <w:p>
            <w:pPr>
              <w:pStyle w:val="9"/>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注：</w:t>
            </w:r>
          </w:p>
          <w:p>
            <w:pPr>
              <w:pStyle w:val="9"/>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1.水彩笔一套不少于12支；</w:t>
            </w:r>
          </w:p>
          <w:p>
            <w:pPr>
              <w:pStyle w:val="9"/>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2.油墨圆珠笔和笔芯、中性墨水圆珠和笔芯、水性墨水圆珠笔和笔芯抽样数量仅针对单色样品。若为多色混装样品，抽样数量需乘以墨水颜色数。</w:t>
            </w:r>
          </w:p>
          <w:p>
            <w:pPr>
              <w:pStyle w:val="9"/>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3.记号笔、白板笔、荧光笔，备样数量为墨水颜色数的2倍。</w:t>
            </w:r>
          </w:p>
          <w:p>
            <w:pPr>
              <w:pStyle w:val="9"/>
              <w:spacing w:line="300" w:lineRule="exact"/>
              <w:jc w:val="left"/>
              <w:rPr>
                <w:rFonts w:ascii="仿宋_GB2312" w:hAnsi="仿宋_GB2312" w:cs="仿宋_GB2312"/>
                <w:bCs/>
                <w:color w:val="000000" w:themeColor="text1"/>
                <w:sz w:val="24"/>
                <w14:textFill>
                  <w14:solidFill>
                    <w14:schemeClr w14:val="tx1"/>
                  </w14:solidFill>
                </w14:textFill>
              </w:rPr>
            </w:pPr>
            <w:r>
              <w:rPr>
                <w:rFonts w:hint="eastAsia" w:ascii="仿宋_GB2312" w:hAnsi="仿宋_GB2312" w:eastAsia="仿宋_GB2312" w:cs="仿宋_GB2312"/>
                <w:sz w:val="24"/>
                <w:szCs w:val="24"/>
              </w:rPr>
              <w:t>4.橡皮擦的抽查数量仅针对单色样品，若为多色混装样品，抽样数量需乘以颜色数。5.固体胶、修正液、修正带、修正笔如单支样品的规格少于表中规定，则以总量换算成相应样品数量（即支数或个数）抽取。</w:t>
            </w:r>
          </w:p>
        </w:tc>
      </w:tr>
    </w:tbl>
    <w:p>
      <w:pPr>
        <w:spacing w:line="480" w:lineRule="auto"/>
        <w:ind w:left="420"/>
        <w:rPr>
          <w:rFonts w:ascii="仿宋_GB2312" w:hAnsi="仿宋_GB2312" w:cs="仿宋_GB2312"/>
          <w:bCs/>
          <w:sz w:val="28"/>
          <w:szCs w:val="28"/>
        </w:rPr>
      </w:pPr>
      <w:r>
        <w:rPr>
          <w:rFonts w:hint="eastAsia" w:ascii="黑体" w:hAnsi="黑体" w:eastAsia="黑体" w:cs="黑体"/>
          <w:sz w:val="32"/>
          <w:szCs w:val="32"/>
        </w:rPr>
        <w:t>二、主要检验项目及检验项目属性划分</w:t>
      </w:r>
    </w:p>
    <w:tbl>
      <w:tblPr>
        <w:tblStyle w:val="6"/>
        <w:tblW w:w="8495" w:type="dxa"/>
        <w:jc w:val="center"/>
        <w:tblLayout w:type="fixed"/>
        <w:tblCellMar>
          <w:top w:w="0" w:type="dxa"/>
          <w:left w:w="108" w:type="dxa"/>
          <w:bottom w:w="0" w:type="dxa"/>
          <w:right w:w="108" w:type="dxa"/>
        </w:tblCellMar>
      </w:tblPr>
      <w:tblGrid>
        <w:gridCol w:w="866"/>
        <w:gridCol w:w="471"/>
        <w:gridCol w:w="1411"/>
        <w:gridCol w:w="1706"/>
        <w:gridCol w:w="811"/>
        <w:gridCol w:w="811"/>
        <w:gridCol w:w="811"/>
        <w:gridCol w:w="820"/>
        <w:gridCol w:w="788"/>
      </w:tblGrid>
      <w:tr>
        <w:tblPrEx>
          <w:tblCellMar>
            <w:top w:w="0" w:type="dxa"/>
            <w:left w:w="108" w:type="dxa"/>
            <w:bottom w:w="0" w:type="dxa"/>
            <w:right w:w="108" w:type="dxa"/>
          </w:tblCellMar>
        </w:tblPrEx>
        <w:trPr>
          <w:cantSplit/>
          <w:trHeight w:val="737" w:hRule="atLeast"/>
          <w:tblHeader/>
          <w:jc w:val="center"/>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产品类别</w:t>
            </w:r>
          </w:p>
        </w:tc>
        <w:tc>
          <w:tcPr>
            <w:tcW w:w="471"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11"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检验项目</w:t>
            </w:r>
          </w:p>
        </w:tc>
        <w:tc>
          <w:tcPr>
            <w:tcW w:w="1706"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检验方法</w:t>
            </w:r>
          </w:p>
        </w:tc>
        <w:tc>
          <w:tcPr>
            <w:tcW w:w="811"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强制性</w:t>
            </w:r>
          </w:p>
        </w:tc>
        <w:tc>
          <w:tcPr>
            <w:tcW w:w="811"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非强制性</w:t>
            </w:r>
          </w:p>
        </w:tc>
        <w:tc>
          <w:tcPr>
            <w:tcW w:w="811"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重要项</w:t>
            </w:r>
          </w:p>
        </w:tc>
        <w:tc>
          <w:tcPr>
            <w:tcW w:w="820"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较重要项</w:t>
            </w:r>
          </w:p>
        </w:tc>
        <w:tc>
          <w:tcPr>
            <w:tcW w:w="788"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次要项</w:t>
            </w:r>
          </w:p>
        </w:tc>
      </w:tr>
      <w:tr>
        <w:tblPrEx>
          <w:tblCellMar>
            <w:top w:w="0" w:type="dxa"/>
            <w:left w:w="108" w:type="dxa"/>
            <w:bottom w:w="0" w:type="dxa"/>
            <w:right w:w="108" w:type="dxa"/>
          </w:tblCellMar>
        </w:tblPrEx>
        <w:trPr>
          <w:cantSplit/>
          <w:trHeight w:val="285" w:hRule="atLeast"/>
          <w:jc w:val="center"/>
        </w:trPr>
        <w:tc>
          <w:tcPr>
            <w:tcW w:w="866" w:type="dxa"/>
            <w:vMerge w:val="restart"/>
            <w:tcBorders>
              <w:top w:val="nil"/>
              <w:left w:val="single" w:color="auto" w:sz="4" w:space="0"/>
              <w:bottom w:val="nil"/>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胶粘剂</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可迁移元素的限量</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6675.4-2014</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continue"/>
            <w:tcBorders>
              <w:top w:val="nil"/>
              <w:left w:val="single" w:color="auto" w:sz="4" w:space="0"/>
              <w:bottom w:val="nil"/>
              <w:right w:val="single" w:color="auto" w:sz="4" w:space="0"/>
            </w:tcBorders>
            <w:vAlign w:val="center"/>
          </w:tcPr>
          <w:p>
            <w:pPr>
              <w:pStyle w:val="9"/>
              <w:spacing w:line="300" w:lineRule="exact"/>
              <w:jc w:val="center"/>
              <w:rPr>
                <w:rFonts w:ascii="仿宋_GB2312" w:hAnsi="仿宋_GB2312" w:eastAsia="仿宋_GB2312" w:cs="仿宋_GB2312"/>
                <w:sz w:val="24"/>
                <w:szCs w:val="24"/>
              </w:rPr>
            </w:pP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苯</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21027-2020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continue"/>
            <w:tcBorders>
              <w:top w:val="nil"/>
              <w:left w:val="single" w:color="auto" w:sz="4" w:space="0"/>
              <w:bottom w:val="single" w:color="auto" w:sz="4" w:space="0"/>
              <w:right w:val="single" w:color="auto" w:sz="4" w:space="0"/>
            </w:tcBorders>
            <w:vAlign w:val="center"/>
          </w:tcPr>
          <w:p>
            <w:pPr>
              <w:pStyle w:val="9"/>
              <w:spacing w:line="300" w:lineRule="exact"/>
              <w:jc w:val="center"/>
              <w:rPr>
                <w:rFonts w:ascii="仿宋_GB2312" w:hAnsi="仿宋_GB2312" w:eastAsia="仿宋_GB2312" w:cs="仿宋_GB2312"/>
                <w:sz w:val="24"/>
                <w:szCs w:val="24"/>
              </w:rPr>
            </w:pP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3</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甲苯+二甲苯</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21027-2020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continue"/>
            <w:tcBorders>
              <w:top w:val="single" w:color="auto" w:sz="4" w:space="0"/>
              <w:left w:val="single" w:color="auto" w:sz="4" w:space="0"/>
              <w:bottom w:val="nil"/>
              <w:right w:val="single" w:color="auto" w:sz="4" w:space="0"/>
            </w:tcBorders>
            <w:vAlign w:val="center"/>
          </w:tcPr>
          <w:p>
            <w:pPr>
              <w:pStyle w:val="9"/>
              <w:spacing w:line="300" w:lineRule="exact"/>
              <w:jc w:val="center"/>
              <w:rPr>
                <w:rFonts w:ascii="仿宋_GB2312" w:hAnsi="仿宋_GB2312" w:eastAsia="仿宋_GB2312" w:cs="仿宋_GB2312"/>
                <w:sz w:val="24"/>
                <w:szCs w:val="24"/>
              </w:rPr>
            </w:pPr>
          </w:p>
        </w:tc>
        <w:tc>
          <w:tcPr>
            <w:tcW w:w="4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4</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总挥发性有机物</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21027-2020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continue"/>
            <w:tcBorders>
              <w:top w:val="nil"/>
              <w:left w:val="single" w:color="auto" w:sz="4" w:space="0"/>
              <w:bottom w:val="nil"/>
              <w:right w:val="single" w:color="auto" w:sz="4" w:space="0"/>
            </w:tcBorders>
            <w:vAlign w:val="center"/>
          </w:tcPr>
          <w:p>
            <w:pPr>
              <w:pStyle w:val="9"/>
              <w:spacing w:line="300" w:lineRule="exact"/>
              <w:jc w:val="center"/>
              <w:rPr>
                <w:rFonts w:ascii="仿宋_GB2312" w:hAnsi="仿宋_GB2312" w:eastAsia="仿宋_GB2312" w:cs="仿宋_GB2312"/>
                <w:sz w:val="24"/>
                <w:szCs w:val="24"/>
              </w:rPr>
            </w:pP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5</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游离甲醛</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GB/T 32606-2016</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美术用品</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可迁移元素的限量</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6675.4-2014</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pStyle w:val="9"/>
              <w:spacing w:line="300" w:lineRule="exact"/>
              <w:jc w:val="center"/>
              <w:rPr>
                <w:rFonts w:ascii="仿宋_GB2312" w:hAnsi="仿宋_GB2312" w:eastAsia="仿宋_GB2312" w:cs="仿宋_GB2312"/>
                <w:sz w:val="24"/>
                <w:szCs w:val="24"/>
              </w:rPr>
            </w:pPr>
          </w:p>
        </w:tc>
        <w:tc>
          <w:tcPr>
            <w:tcW w:w="4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w:t>
            </w:r>
          </w:p>
        </w:tc>
        <w:tc>
          <w:tcPr>
            <w:tcW w:w="1411"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笔套安全</w:t>
            </w:r>
          </w:p>
        </w:tc>
        <w:tc>
          <w:tcPr>
            <w:tcW w:w="1706"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21027-2020</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笔及笔芯（黑色）</w:t>
            </w:r>
          </w:p>
        </w:tc>
        <w:tc>
          <w:tcPr>
            <w:tcW w:w="4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1411"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可迁移元素的限量</w:t>
            </w:r>
          </w:p>
        </w:tc>
        <w:tc>
          <w:tcPr>
            <w:tcW w:w="1706"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6675.4-2014</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s="宋体"/>
                <w:color w:val="000000"/>
                <w:kern w:val="0"/>
                <w:sz w:val="24"/>
                <w:szCs w:val="24"/>
              </w:rPr>
            </w:pP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笔套安全</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21027-2020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restart"/>
            <w:tcBorders>
              <w:top w:val="nil"/>
              <w:left w:val="single" w:color="auto" w:sz="4" w:space="0"/>
              <w:bottom w:val="single" w:color="000000"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笔及笔芯（彩色）</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可迁移元素的限量</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6675.4-2014</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continue"/>
            <w:tcBorders>
              <w:top w:val="nil"/>
              <w:left w:val="single" w:color="auto" w:sz="4" w:space="0"/>
              <w:bottom w:val="single" w:color="000000" w:sz="4" w:space="0"/>
              <w:right w:val="single" w:color="auto" w:sz="4" w:space="0"/>
            </w:tcBorders>
            <w:vAlign w:val="center"/>
          </w:tcPr>
          <w:p>
            <w:pPr>
              <w:pStyle w:val="9"/>
              <w:spacing w:line="300" w:lineRule="exact"/>
              <w:jc w:val="center"/>
              <w:rPr>
                <w:rFonts w:ascii="仿宋_GB2312" w:hAnsi="仿宋_GB2312" w:eastAsia="仿宋_GB2312" w:cs="仿宋_GB2312"/>
                <w:sz w:val="24"/>
                <w:szCs w:val="24"/>
              </w:rPr>
            </w:pP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笔套安全</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21027-2020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tcBorders>
              <w:top w:val="nil"/>
              <w:left w:val="single" w:color="auto" w:sz="4" w:space="0"/>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橡皮擦</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可迁移元素的限量</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6675.4-2014</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涂改制品</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可迁移元素的限量</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6675.4-2014</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493"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pStyle w:val="9"/>
              <w:spacing w:line="300" w:lineRule="exact"/>
              <w:jc w:val="center"/>
              <w:rPr>
                <w:rFonts w:ascii="仿宋_GB2312" w:hAnsi="仿宋_GB2312" w:eastAsia="仿宋_GB2312" w:cs="仿宋_GB2312"/>
                <w:sz w:val="24"/>
                <w:szCs w:val="24"/>
              </w:rPr>
            </w:pP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苯</w:t>
            </w:r>
          </w:p>
        </w:tc>
        <w:tc>
          <w:tcPr>
            <w:tcW w:w="1706"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宋体" w:cs="宋体"/>
                <w:sz w:val="22"/>
              </w:rPr>
            </w:pPr>
            <w:r>
              <w:rPr>
                <w:rFonts w:hint="eastAsia" w:ascii="仿宋_GB2312" w:hAnsi="宋体" w:cs="宋体"/>
                <w:sz w:val="22"/>
              </w:rPr>
              <w:t>GB 21027-2020</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pStyle w:val="9"/>
              <w:spacing w:line="300" w:lineRule="exact"/>
              <w:jc w:val="center"/>
              <w:rPr>
                <w:rFonts w:ascii="仿宋_GB2312" w:hAnsi="仿宋_GB2312" w:eastAsia="仿宋_GB2312" w:cs="仿宋_GB2312"/>
                <w:sz w:val="24"/>
                <w:szCs w:val="24"/>
              </w:rPr>
            </w:pPr>
          </w:p>
        </w:tc>
        <w:tc>
          <w:tcPr>
            <w:tcW w:w="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3</w:t>
            </w:r>
          </w:p>
        </w:tc>
        <w:tc>
          <w:tcPr>
            <w:tcW w:w="1411" w:type="dxa"/>
            <w:tcBorders>
              <w:top w:val="nil"/>
              <w:left w:val="single" w:color="auto" w:sz="4" w:space="0"/>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氯代烃</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2"/>
              </w:rPr>
            </w:pPr>
            <w:r>
              <w:rPr>
                <w:rFonts w:hint="eastAsia" w:ascii="仿宋_GB2312" w:hAnsi="宋体" w:cs="宋体"/>
                <w:color w:val="000000" w:themeColor="text1"/>
                <w:kern w:val="0"/>
                <w:sz w:val="22"/>
                <w14:textFill>
                  <w14:solidFill>
                    <w14:schemeClr w14:val="tx1"/>
                  </w14:solidFill>
                </w14:textFill>
              </w:rPr>
              <w:t>GB/T 32613-2016</w:t>
            </w:r>
          </w:p>
        </w:tc>
        <w:tc>
          <w:tcPr>
            <w:tcW w:w="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卷削类文具</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1411" w:type="dxa"/>
            <w:tcBorders>
              <w:top w:val="nil"/>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可迁移元素的限量</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2"/>
              </w:rPr>
            </w:pPr>
            <w:r>
              <w:rPr>
                <w:rFonts w:hint="eastAsia" w:ascii="仿宋_GB2312" w:hAnsi="宋体" w:cs="宋体"/>
                <w:color w:val="000000" w:themeColor="text1"/>
                <w:kern w:val="0"/>
                <w:sz w:val="22"/>
                <w14:textFill>
                  <w14:solidFill>
                    <w14:schemeClr w14:val="tx1"/>
                  </w14:solidFill>
                </w14:textFill>
              </w:rPr>
              <w:t>GB 6675.4-2014</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285" w:hRule="atLeast"/>
          <w:jc w:val="center"/>
        </w:trPr>
        <w:tc>
          <w:tcPr>
            <w:tcW w:w="8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仿宋_GB2312" w:eastAsia="仿宋_GB2312" w:cs="仿宋_GB2312"/>
                <w:sz w:val="24"/>
                <w:szCs w:val="24"/>
              </w:rPr>
              <w:t>本册</w:t>
            </w:r>
          </w:p>
        </w:tc>
        <w:tc>
          <w:tcPr>
            <w:tcW w:w="471"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1411" w:type="dxa"/>
            <w:tcBorders>
              <w:top w:val="single" w:color="auto" w:sz="4" w:space="0"/>
              <w:left w:val="nil"/>
              <w:bottom w:val="nil"/>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可迁移元素的限量</w:t>
            </w:r>
          </w:p>
        </w:tc>
        <w:tc>
          <w:tcPr>
            <w:tcW w:w="17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2"/>
              </w:rPr>
            </w:pPr>
            <w:r>
              <w:rPr>
                <w:rFonts w:hint="eastAsia" w:ascii="仿宋_GB2312" w:hAnsi="宋体" w:cs="宋体"/>
                <w:color w:val="000000" w:themeColor="text1"/>
                <w:kern w:val="0"/>
                <w:sz w:val="22"/>
                <w14:textFill>
                  <w14:solidFill>
                    <w14:schemeClr w14:val="tx1"/>
                  </w14:solidFill>
                </w14:textFill>
              </w:rPr>
              <w:t>GB 6675.4-2014</w:t>
            </w:r>
          </w:p>
        </w:tc>
        <w:tc>
          <w:tcPr>
            <w:tcW w:w="811"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r>
        <w:tblPrEx>
          <w:tblCellMar>
            <w:top w:w="0" w:type="dxa"/>
            <w:left w:w="108" w:type="dxa"/>
            <w:bottom w:w="0" w:type="dxa"/>
            <w:right w:w="108" w:type="dxa"/>
          </w:tblCellMar>
        </w:tblPrEx>
        <w:trPr>
          <w:cantSplit/>
          <w:trHeight w:val="570" w:hRule="atLeast"/>
          <w:jc w:val="center"/>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cs="宋体"/>
                <w:color w:val="000000"/>
                <w:kern w:val="0"/>
                <w:sz w:val="24"/>
                <w:szCs w:val="24"/>
              </w:rPr>
            </w:pPr>
          </w:p>
        </w:tc>
        <w:tc>
          <w:tcPr>
            <w:tcW w:w="4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w:t>
            </w:r>
          </w:p>
        </w:tc>
        <w:tc>
          <w:tcPr>
            <w:tcW w:w="1411" w:type="dxa"/>
            <w:tcBorders>
              <w:top w:val="single" w:color="auto" w:sz="4" w:space="0"/>
              <w:left w:val="nil"/>
              <w:bottom w:val="single" w:color="auto" w:sz="4" w:space="0"/>
              <w:right w:val="single" w:color="auto" w:sz="4" w:space="0"/>
            </w:tcBorders>
            <w:shd w:val="clear" w:color="auto" w:fill="auto"/>
            <w:vAlign w:val="center"/>
          </w:tcPr>
          <w:p>
            <w:pPr>
              <w:pStyle w:val="9"/>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亮度（白度）</w:t>
            </w:r>
          </w:p>
        </w:tc>
        <w:tc>
          <w:tcPr>
            <w:tcW w:w="170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2"/>
              </w:rPr>
            </w:pPr>
            <w:r>
              <w:rPr>
                <w:rFonts w:hint="eastAsia" w:ascii="仿宋_GB2312" w:hAnsi="宋体" w:cs="宋体"/>
                <w:color w:val="000000" w:themeColor="text1"/>
                <w:kern w:val="0"/>
                <w:sz w:val="22"/>
                <w14:textFill>
                  <w14:solidFill>
                    <w14:schemeClr w14:val="tx1"/>
                  </w14:solidFill>
                </w14:textFill>
              </w:rPr>
              <w:t>GB/T 7974-2013</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c>
          <w:tcPr>
            <w:tcW w:w="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p>
        </w:tc>
      </w:tr>
    </w:tbl>
    <w:tbl>
      <w:tblPr>
        <w:tblStyle w:val="7"/>
        <w:tblpPr w:leftFromText="180" w:rightFromText="180" w:vertAnchor="text" w:tblpX="12228" w:tblpY="-6986"/>
        <w:tblOverlap w:val="never"/>
        <w:tblW w:w="1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32" w:type="dxa"/>
          </w:tcPr>
          <w:p>
            <w:pPr>
              <w:pStyle w:val="4"/>
            </w:pPr>
          </w:p>
        </w:tc>
      </w:tr>
    </w:tbl>
    <w:tbl>
      <w:tblPr>
        <w:tblStyle w:val="7"/>
        <w:tblpPr w:leftFromText="180" w:rightFromText="180" w:vertAnchor="text" w:tblpX="12228" w:tblpY="-7045"/>
        <w:tblOverlap w:val="never"/>
        <w:tblW w:w="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23" w:type="dxa"/>
          </w:tcPr>
          <w:p>
            <w:pPr>
              <w:pStyle w:val="4"/>
            </w:pPr>
          </w:p>
        </w:tc>
      </w:tr>
    </w:tbl>
    <w:p>
      <w:pPr>
        <w:spacing w:line="480" w:lineRule="auto"/>
        <w:ind w:left="420"/>
        <w:rPr>
          <w:rFonts w:ascii="黑体" w:hAnsi="黑体" w:eastAsia="黑体" w:cs="黑体"/>
          <w:sz w:val="32"/>
          <w:szCs w:val="32"/>
        </w:rPr>
      </w:pPr>
      <w:r>
        <w:rPr>
          <w:rFonts w:hint="eastAsia" w:ascii="黑体" w:hAnsi="黑体" w:eastAsia="黑体" w:cs="黑体"/>
          <w:sz w:val="32"/>
          <w:szCs w:val="32"/>
        </w:rPr>
        <w:t>三、判定规则</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（一）依据标准</w:t>
      </w:r>
    </w:p>
    <w:p>
      <w:pPr>
        <w:pStyle w:val="5"/>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21027-2020《学生用品的安全通用要求》</w:t>
      </w:r>
    </w:p>
    <w:p>
      <w:pPr>
        <w:pStyle w:val="5"/>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（二）判定原则</w:t>
      </w:r>
    </w:p>
    <w:p>
      <w:pPr>
        <w:pStyle w:val="1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经检验，检验项目全部合格，判定为抽取的样本所检项目未</w:t>
      </w:r>
      <w:r>
        <w:rPr>
          <w:rFonts w:hint="eastAsia" w:ascii="Times New Roman" w:hAnsi="Times New Roman" w:eastAsia="仿宋_GB2312"/>
          <w:sz w:val="32"/>
          <w:szCs w:val="32"/>
        </w:rPr>
        <w:t>发现</w:t>
      </w:r>
      <w:r>
        <w:rPr>
          <w:rFonts w:hint="eastAsia" w:ascii="仿宋_GB2312" w:hAnsi="仿宋_GB2312" w:eastAsia="仿宋_GB2312" w:cs="仿宋_GB2312"/>
          <w:sz w:val="32"/>
          <w:szCs w:val="32"/>
        </w:rPr>
        <w:t>不合格；检验项目中任一项或一项以上不合格，判定为被抽查产品不合格。</w:t>
      </w:r>
    </w:p>
    <w:p>
      <w:pPr>
        <w:pStyle w:val="1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仅限产品明示的质量要求中检测方法与本细则一致时，才进行上述判定原则的比较；</w:t>
      </w:r>
    </w:p>
    <w:p>
      <w:pPr>
        <w:pStyle w:val="1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w:t>
      </w:r>
      <w:r>
        <w:rPr>
          <w:rFonts w:ascii="仿宋_GB2312" w:hAnsi="仿宋_GB2312" w:eastAsia="仿宋_GB2312" w:cs="仿宋_GB2312"/>
          <w:sz w:val="32"/>
          <w:szCs w:val="32"/>
        </w:rPr>
        <w:t>（企业无法提供或在企业标准信息公共服务平台无法获取及企业标准标识错误的情况视为未能提供有效企业标准）</w:t>
      </w:r>
      <w:r>
        <w:rPr>
          <w:rFonts w:hint="eastAsia" w:ascii="仿宋_GB2312" w:hAnsi="仿宋_GB2312" w:eastAsia="仿宋_GB2312" w:cs="仿宋_GB2312"/>
          <w:sz w:val="32"/>
          <w:szCs w:val="32"/>
        </w:rPr>
        <w:t>，按相关国家或行业标准进行判定；</w:t>
      </w:r>
    </w:p>
    <w:p>
      <w:pPr>
        <w:pStyle w:val="1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0"/>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p>
      <w:pPr>
        <w:pStyle w:val="10"/>
        <w:tabs>
          <w:tab w:val="clear" w:pos="4201"/>
          <w:tab w:val="clear" w:pos="9298"/>
        </w:tabs>
        <w:spacing w:line="520" w:lineRule="exact"/>
        <w:ind w:firstLine="640"/>
        <w:rPr>
          <w:rFonts w:ascii="仿宋_GB2312" w:hAnsi="仿宋_GB2312" w:eastAsia="仿宋_GB2312" w:cs="仿宋_GB2312"/>
          <w:sz w:val="32"/>
          <w:szCs w:val="32"/>
        </w:rPr>
      </w:pPr>
      <w:bookmarkStart w:id="0" w:name="_GoBack"/>
      <w:bookmarkEnd w:id="0"/>
    </w:p>
    <w:p>
      <w:pPr>
        <w:adjustRightInd w:val="0"/>
        <w:snapToGrid w:val="0"/>
        <w:spacing w:line="500" w:lineRule="exact"/>
        <w:ind w:firstLine="640"/>
        <w:rPr>
          <w:rFonts w:ascii="Times New Roman" w:hAnsi="Times New Roman" w:eastAsia="仿宋_GB2312" w:cs="Times New Roman"/>
          <w:sz w:val="32"/>
          <w:szCs w:val="32"/>
        </w:rPr>
      </w:pPr>
    </w:p>
    <w:p>
      <w:pPr>
        <w:rPr>
          <w:rFonts w:hint="default" w:eastAsia="方正小标宋简体" w:cs="方正小标宋简体"/>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56"/>
    <w:rsid w:val="004E0056"/>
    <w:rsid w:val="078E6B7F"/>
    <w:rsid w:val="094B7D84"/>
    <w:rsid w:val="0BA15517"/>
    <w:rsid w:val="0E785AE5"/>
    <w:rsid w:val="1FDA3B00"/>
    <w:rsid w:val="2E6D109C"/>
    <w:rsid w:val="452B71E0"/>
    <w:rsid w:val="549472B7"/>
    <w:rsid w:val="55AC677E"/>
    <w:rsid w:val="5E8D62DA"/>
    <w:rsid w:val="6DE83610"/>
    <w:rsid w:val="719B6E13"/>
    <w:rsid w:val="73286AD9"/>
    <w:rsid w:val="74131BD3"/>
    <w:rsid w:val="7571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200" w:line="579" w:lineRule="auto"/>
      <w:jc w:val="center"/>
      <w:outlineLvl w:val="0"/>
    </w:pPr>
    <w:rPr>
      <w:rFonts w:eastAsia="宋体"/>
      <w:b/>
      <w:bCs/>
      <w:kern w:val="44"/>
      <w:sz w:val="36"/>
      <w:szCs w:val="44"/>
    </w:rPr>
  </w:style>
  <w:style w:type="paragraph" w:styleId="3">
    <w:name w:val="heading 3"/>
    <w:basedOn w:val="1"/>
    <w:next w:val="1"/>
    <w:unhideWhenUsed/>
    <w:qFormat/>
    <w:uiPriority w:val="0"/>
    <w:pPr>
      <w:keepNext/>
      <w:keepLines/>
      <w:numPr>
        <w:ilvl w:val="0"/>
        <w:numId w:val="1"/>
      </w:numPr>
      <w:outlineLvl w:val="2"/>
    </w:pPr>
    <w:rPr>
      <w:rFonts w:ascii="Calibri" w:hAnsi="Calibri" w:eastAsia="仿宋" w:cs="Times New Roman"/>
      <w:b/>
      <w:bCs/>
      <w:sz w:val="30"/>
      <w:szCs w:val="32"/>
      <w:lang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jc w:val="left"/>
    </w:pPr>
    <w:rPr>
      <w:rFonts w:ascii="宋体" w:hAnsi="Courier New" w:eastAsia="宋体" w:cs="宋体"/>
      <w:szCs w:val="21"/>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何万里</dc:creator>
  <cp:lastModifiedBy>何万里</cp:lastModifiedBy>
  <dcterms:modified xsi:type="dcterms:W3CDTF">2023-07-27T03:11:51Z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