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佛冈县市场监督管理局儿童用品质量监督抽查实施细则（2023年）</w:t>
      </w:r>
    </w:p>
    <w:p/>
    <w:p>
      <w:pPr>
        <w:spacing w:line="480" w:lineRule="auto"/>
        <w:ind w:left="420"/>
        <w:rPr>
          <w:rFonts w:ascii="黑体" w:hAnsi="黑体" w:eastAsia="黑体" w:cs="黑体"/>
          <w:sz w:val="32"/>
          <w:szCs w:val="32"/>
        </w:rPr>
      </w:pPr>
      <w:r>
        <w:rPr>
          <w:rFonts w:hint="eastAsia" w:ascii="黑体" w:hAnsi="黑体" w:eastAsia="黑体" w:cs="黑体"/>
          <w:sz w:val="32"/>
          <w:szCs w:val="32"/>
        </w:rPr>
        <w:t>一、抽样方法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以随机抽样的方式在生产者、被抽样经营者的待销产品中抽取。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759"/>
        <w:gridCol w:w="1567"/>
        <w:gridCol w:w="144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759"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567"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1447"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1966"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9"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759"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玩具</w:t>
            </w:r>
          </w:p>
        </w:tc>
        <w:tc>
          <w:tcPr>
            <w:tcW w:w="1567"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2个</w:t>
            </w:r>
          </w:p>
        </w:tc>
        <w:tc>
          <w:tcPr>
            <w:tcW w:w="1447"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1个</w:t>
            </w:r>
          </w:p>
        </w:tc>
        <w:tc>
          <w:tcPr>
            <w:tcW w:w="1966" w:type="dxa"/>
            <w:vAlign w:val="center"/>
          </w:tcPr>
          <w:p>
            <w:pPr>
              <w:pStyle w:val="7"/>
              <w:spacing w:line="300" w:lineRule="exact"/>
              <w:jc w:val="center"/>
              <w:rPr>
                <w:rFonts w:ascii="仿宋_GB2312" w:hAnsi="仿宋_GB2312" w:eastAsia="仿宋_GB2312" w:cs="仿宋_GB2312"/>
                <w:sz w:val="24"/>
                <w:szCs w:val="24"/>
              </w:rPr>
            </w:pPr>
          </w:p>
        </w:tc>
      </w:tr>
    </w:tbl>
    <w:p>
      <w:pPr>
        <w:spacing w:line="480" w:lineRule="auto"/>
        <w:ind w:left="420"/>
        <w:rPr>
          <w:rFonts w:ascii="仿宋_GB2312" w:hAnsi="仿宋_GB2312" w:cs="仿宋_GB2312"/>
          <w:bCs/>
          <w:sz w:val="28"/>
          <w:szCs w:val="28"/>
        </w:rPr>
      </w:pPr>
      <w:r>
        <w:rPr>
          <w:rFonts w:hint="eastAsia" w:ascii="黑体" w:hAnsi="黑体" w:eastAsia="黑体" w:cs="黑体"/>
          <w:sz w:val="32"/>
          <w:szCs w:val="32"/>
        </w:rPr>
        <w:t>二、主要检验项目及检验项目属性划分</w:t>
      </w:r>
    </w:p>
    <w:tbl>
      <w:tblPr>
        <w:tblStyle w:val="5"/>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603"/>
        <w:gridCol w:w="2328"/>
        <w:gridCol w:w="868"/>
        <w:gridCol w:w="867"/>
        <w:gridCol w:w="794"/>
        <w:gridCol w:w="736"/>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6" w:type="dxa"/>
            <w:vAlign w:val="center"/>
          </w:tcPr>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bCs/>
                <w:sz w:val="24"/>
                <w:szCs w:val="24"/>
              </w:rPr>
              <w:t>1</w:t>
            </w:r>
          </w:p>
        </w:tc>
        <w:tc>
          <w:tcPr>
            <w:tcW w:w="1603"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机械与物理性能</w:t>
            </w:r>
          </w:p>
        </w:tc>
        <w:tc>
          <w:tcPr>
            <w:tcW w:w="2328" w:type="dxa"/>
            <w:vAlign w:val="center"/>
          </w:tcPr>
          <w:p>
            <w:pPr>
              <w:pStyle w:val="7"/>
              <w:spacing w:line="300" w:lineRule="exact"/>
              <w:jc w:val="center"/>
              <w:rPr>
                <w:rFonts w:ascii="仿宋_GB2312" w:hAnsi="宋体" w:cs="宋体"/>
                <w:sz w:val="24"/>
                <w:szCs w:val="24"/>
              </w:rPr>
            </w:pPr>
            <w:r>
              <w:rPr>
                <w:rFonts w:hint="eastAsia" w:ascii="仿宋_GB2312" w:hAnsi="宋体" w:cs="宋体"/>
                <w:sz w:val="24"/>
                <w:szCs w:val="24"/>
              </w:rPr>
              <w:t xml:space="preserve">GB 6675.2-2014 </w:t>
            </w:r>
          </w:p>
        </w:tc>
        <w:tc>
          <w:tcPr>
            <w:tcW w:w="868" w:type="dxa"/>
            <w:vAlign w:val="center"/>
          </w:tcPr>
          <w:p>
            <w:pPr>
              <w:adjustRightInd w:val="0"/>
              <w:snapToGrid w:val="0"/>
              <w:spacing w:line="400" w:lineRule="atLeast"/>
              <w:jc w:val="center"/>
              <w:rPr>
                <w:rFonts w:ascii="仿宋_GB2312" w:hAnsi="仿宋_GB2312" w:cs="仿宋_GB2312"/>
                <w:bCs/>
                <w:kern w:val="0"/>
                <w:sz w:val="24"/>
                <w:szCs w:val="24"/>
              </w:rPr>
            </w:pPr>
            <w:r>
              <w:rPr>
                <w:rFonts w:hint="eastAsia" w:ascii="仿宋_GB2312" w:hAnsi="仿宋_GB2312" w:cs="仿宋_GB2312"/>
                <w:sz w:val="24"/>
                <w:szCs w:val="24"/>
              </w:rPr>
              <w:t>●</w:t>
            </w:r>
          </w:p>
        </w:tc>
        <w:tc>
          <w:tcPr>
            <w:tcW w:w="867" w:type="dxa"/>
            <w:vAlign w:val="center"/>
          </w:tcPr>
          <w:p>
            <w:pPr>
              <w:adjustRightInd w:val="0"/>
              <w:snapToGrid w:val="0"/>
              <w:spacing w:line="400" w:lineRule="exact"/>
              <w:ind w:left="-53" w:leftChars="-25" w:right="-69" w:rightChars="-33"/>
              <w:jc w:val="center"/>
              <w:rPr>
                <w:rFonts w:ascii="仿宋_GB2312" w:hAnsi="仿宋_GB2312" w:cs="仿宋_GB2312"/>
                <w:bCs/>
                <w:kern w:val="0"/>
                <w:sz w:val="24"/>
                <w:szCs w:val="24"/>
              </w:rPr>
            </w:pPr>
          </w:p>
        </w:tc>
        <w:tc>
          <w:tcPr>
            <w:tcW w:w="794" w:type="dxa"/>
            <w:vAlign w:val="center"/>
          </w:tcPr>
          <w:p>
            <w:pPr>
              <w:adjustRightInd w:val="0"/>
              <w:snapToGrid w:val="0"/>
              <w:spacing w:line="400" w:lineRule="atLeast"/>
              <w:jc w:val="center"/>
              <w:rPr>
                <w:rFonts w:ascii="仿宋_GB2312" w:hAnsi="仿宋_GB2312" w:cs="仿宋_GB2312"/>
                <w:bCs/>
                <w:kern w:val="0"/>
                <w:sz w:val="24"/>
                <w:szCs w:val="24"/>
              </w:rPr>
            </w:pPr>
            <w:r>
              <w:rPr>
                <w:rFonts w:hint="eastAsia" w:ascii="仿宋_GB2312" w:hAnsi="仿宋_GB2312" w:cs="仿宋_GB2312"/>
                <w:sz w:val="24"/>
                <w:szCs w:val="24"/>
              </w:rPr>
              <w:t>●</w:t>
            </w:r>
          </w:p>
        </w:tc>
        <w:tc>
          <w:tcPr>
            <w:tcW w:w="736" w:type="dxa"/>
            <w:vAlign w:val="center"/>
          </w:tcPr>
          <w:p>
            <w:pPr>
              <w:adjustRightInd w:val="0"/>
              <w:snapToGrid w:val="0"/>
              <w:spacing w:line="400" w:lineRule="exact"/>
              <w:ind w:left="-53" w:leftChars="-25" w:right="-69" w:rightChars="-33"/>
              <w:jc w:val="center"/>
              <w:rPr>
                <w:rFonts w:ascii="仿宋_GB2312" w:hAnsi="仿宋_GB2312" w:cs="仿宋_GB2312"/>
                <w:bCs/>
                <w:kern w:val="0"/>
                <w:sz w:val="24"/>
                <w:szCs w:val="24"/>
              </w:rPr>
            </w:pPr>
          </w:p>
        </w:tc>
        <w:tc>
          <w:tcPr>
            <w:tcW w:w="701" w:type="dxa"/>
            <w:vAlign w:val="center"/>
          </w:tcPr>
          <w:p>
            <w:pPr>
              <w:adjustRightInd w:val="0"/>
              <w:snapToGrid w:val="0"/>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6" w:type="dxa"/>
            <w:vAlign w:val="center"/>
          </w:tcPr>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bCs/>
                <w:sz w:val="24"/>
                <w:szCs w:val="24"/>
              </w:rPr>
              <w:t>2</w:t>
            </w:r>
          </w:p>
        </w:tc>
        <w:tc>
          <w:tcPr>
            <w:tcW w:w="1603"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易燃性能</w:t>
            </w:r>
          </w:p>
        </w:tc>
        <w:tc>
          <w:tcPr>
            <w:tcW w:w="2328" w:type="dxa"/>
            <w:vAlign w:val="center"/>
          </w:tcPr>
          <w:p>
            <w:pPr>
              <w:pStyle w:val="7"/>
              <w:spacing w:line="300" w:lineRule="exact"/>
              <w:jc w:val="center"/>
              <w:rPr>
                <w:rFonts w:ascii="仿宋_GB2312" w:hAnsi="宋体" w:cs="宋体"/>
                <w:sz w:val="24"/>
                <w:szCs w:val="24"/>
              </w:rPr>
            </w:pPr>
            <w:r>
              <w:rPr>
                <w:rFonts w:hint="eastAsia" w:ascii="仿宋_GB2312" w:hAnsi="宋体" w:cs="宋体"/>
                <w:sz w:val="24"/>
                <w:szCs w:val="24"/>
              </w:rPr>
              <w:t>GB 6675.3-2014</w:t>
            </w:r>
          </w:p>
        </w:tc>
        <w:tc>
          <w:tcPr>
            <w:tcW w:w="868" w:type="dxa"/>
            <w:vAlign w:val="center"/>
          </w:tcPr>
          <w:p>
            <w:pPr>
              <w:adjustRightInd w:val="0"/>
              <w:snapToGrid w:val="0"/>
              <w:spacing w:line="400" w:lineRule="atLeast"/>
              <w:jc w:val="center"/>
              <w:rPr>
                <w:rFonts w:ascii="仿宋_GB2312" w:hAnsi="仿宋_GB2312" w:cs="仿宋_GB2312"/>
                <w:sz w:val="24"/>
                <w:szCs w:val="24"/>
              </w:rPr>
            </w:pPr>
            <w:r>
              <w:rPr>
                <w:rFonts w:hint="eastAsia" w:ascii="仿宋_GB2312" w:hAnsi="仿宋_GB2312" w:cs="仿宋_GB2312"/>
                <w:sz w:val="24"/>
                <w:szCs w:val="24"/>
              </w:rPr>
              <w:t>●</w:t>
            </w:r>
          </w:p>
        </w:tc>
        <w:tc>
          <w:tcPr>
            <w:tcW w:w="867" w:type="dxa"/>
            <w:vAlign w:val="center"/>
          </w:tcPr>
          <w:p>
            <w:pPr>
              <w:adjustRightInd w:val="0"/>
              <w:snapToGrid w:val="0"/>
              <w:spacing w:line="400" w:lineRule="exact"/>
              <w:jc w:val="center"/>
              <w:rPr>
                <w:rFonts w:ascii="仿宋_GB2312" w:hAnsi="仿宋_GB2312" w:cs="仿宋_GB2312"/>
                <w:sz w:val="24"/>
                <w:szCs w:val="24"/>
              </w:rPr>
            </w:pPr>
          </w:p>
        </w:tc>
        <w:tc>
          <w:tcPr>
            <w:tcW w:w="794" w:type="dxa"/>
            <w:vAlign w:val="center"/>
          </w:tcPr>
          <w:p>
            <w:pPr>
              <w:adjustRightInd w:val="0"/>
              <w:snapToGrid w:val="0"/>
              <w:spacing w:line="400" w:lineRule="atLeast"/>
              <w:jc w:val="center"/>
              <w:rPr>
                <w:rFonts w:ascii="仿宋_GB2312" w:hAnsi="仿宋_GB2312" w:cs="仿宋_GB2312"/>
                <w:sz w:val="24"/>
                <w:szCs w:val="24"/>
              </w:rPr>
            </w:pPr>
            <w:r>
              <w:rPr>
                <w:rFonts w:hint="eastAsia" w:ascii="仿宋_GB2312" w:hAnsi="仿宋_GB2312" w:cs="仿宋_GB2312"/>
                <w:sz w:val="24"/>
                <w:szCs w:val="24"/>
              </w:rPr>
              <w:t>●</w:t>
            </w:r>
          </w:p>
        </w:tc>
        <w:tc>
          <w:tcPr>
            <w:tcW w:w="736" w:type="dxa"/>
            <w:vAlign w:val="center"/>
          </w:tcPr>
          <w:p>
            <w:pPr>
              <w:adjustRightInd w:val="0"/>
              <w:snapToGrid w:val="0"/>
              <w:spacing w:line="400" w:lineRule="exact"/>
              <w:jc w:val="center"/>
              <w:rPr>
                <w:rFonts w:ascii="仿宋_GB2312" w:hAnsi="仿宋_GB2312" w:cs="仿宋_GB2312"/>
                <w:sz w:val="24"/>
                <w:szCs w:val="24"/>
              </w:rPr>
            </w:pPr>
          </w:p>
        </w:tc>
        <w:tc>
          <w:tcPr>
            <w:tcW w:w="701" w:type="dxa"/>
            <w:vAlign w:val="center"/>
          </w:tcPr>
          <w:p>
            <w:pPr>
              <w:adjustRightInd w:val="0"/>
              <w:snapToGrid w:val="0"/>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6" w:type="dxa"/>
            <w:vAlign w:val="center"/>
          </w:tcPr>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bCs/>
                <w:sz w:val="24"/>
                <w:szCs w:val="24"/>
              </w:rPr>
              <w:t>3</w:t>
            </w:r>
          </w:p>
        </w:tc>
        <w:tc>
          <w:tcPr>
            <w:tcW w:w="1603"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特定元素的迁移</w:t>
            </w:r>
          </w:p>
        </w:tc>
        <w:tc>
          <w:tcPr>
            <w:tcW w:w="2328" w:type="dxa"/>
            <w:vAlign w:val="center"/>
          </w:tcPr>
          <w:p>
            <w:pPr>
              <w:pStyle w:val="7"/>
              <w:spacing w:line="300" w:lineRule="exact"/>
              <w:jc w:val="center"/>
              <w:rPr>
                <w:rFonts w:ascii="仿宋_GB2312" w:hAnsi="宋体" w:cs="宋体"/>
                <w:sz w:val="24"/>
                <w:szCs w:val="24"/>
              </w:rPr>
            </w:pPr>
            <w:r>
              <w:rPr>
                <w:rFonts w:hint="eastAsia" w:ascii="仿宋_GB2312" w:hAnsi="宋体" w:cs="宋体"/>
                <w:sz w:val="24"/>
                <w:szCs w:val="24"/>
              </w:rPr>
              <w:t xml:space="preserve">GB 6675.4-2014 </w:t>
            </w:r>
          </w:p>
        </w:tc>
        <w:tc>
          <w:tcPr>
            <w:tcW w:w="868" w:type="dxa"/>
            <w:vAlign w:val="center"/>
          </w:tcPr>
          <w:p>
            <w:pPr>
              <w:adjustRightInd w:val="0"/>
              <w:snapToGrid w:val="0"/>
              <w:spacing w:line="400" w:lineRule="atLeast"/>
              <w:jc w:val="center"/>
              <w:rPr>
                <w:rFonts w:ascii="仿宋_GB2312" w:hAnsi="仿宋_GB2312" w:cs="仿宋_GB2312"/>
                <w:sz w:val="24"/>
                <w:szCs w:val="24"/>
              </w:rPr>
            </w:pPr>
            <w:r>
              <w:rPr>
                <w:rFonts w:hint="eastAsia" w:ascii="仿宋_GB2312" w:hAnsi="仿宋_GB2312" w:cs="仿宋_GB2312"/>
                <w:sz w:val="24"/>
                <w:szCs w:val="24"/>
              </w:rPr>
              <w:t>●</w:t>
            </w:r>
          </w:p>
        </w:tc>
        <w:tc>
          <w:tcPr>
            <w:tcW w:w="867" w:type="dxa"/>
            <w:vAlign w:val="center"/>
          </w:tcPr>
          <w:p>
            <w:pPr>
              <w:adjustRightInd w:val="0"/>
              <w:snapToGrid w:val="0"/>
              <w:spacing w:line="400" w:lineRule="exact"/>
              <w:jc w:val="center"/>
              <w:rPr>
                <w:rFonts w:ascii="仿宋_GB2312" w:hAnsi="仿宋_GB2312" w:cs="仿宋_GB2312"/>
                <w:sz w:val="24"/>
                <w:szCs w:val="24"/>
              </w:rPr>
            </w:pPr>
          </w:p>
        </w:tc>
        <w:tc>
          <w:tcPr>
            <w:tcW w:w="794" w:type="dxa"/>
            <w:vAlign w:val="center"/>
          </w:tcPr>
          <w:p>
            <w:pPr>
              <w:adjustRightInd w:val="0"/>
              <w:snapToGrid w:val="0"/>
              <w:spacing w:line="400" w:lineRule="atLeast"/>
              <w:jc w:val="center"/>
              <w:rPr>
                <w:rFonts w:ascii="仿宋_GB2312" w:hAnsi="仿宋_GB2312" w:cs="仿宋_GB2312"/>
                <w:sz w:val="24"/>
                <w:szCs w:val="24"/>
              </w:rPr>
            </w:pPr>
            <w:r>
              <w:rPr>
                <w:rFonts w:hint="eastAsia" w:ascii="仿宋_GB2312" w:hAnsi="仿宋_GB2312" w:cs="仿宋_GB2312"/>
                <w:sz w:val="24"/>
                <w:szCs w:val="24"/>
              </w:rPr>
              <w:t>●</w:t>
            </w:r>
          </w:p>
        </w:tc>
        <w:tc>
          <w:tcPr>
            <w:tcW w:w="736" w:type="dxa"/>
            <w:vAlign w:val="center"/>
          </w:tcPr>
          <w:p>
            <w:pPr>
              <w:adjustRightInd w:val="0"/>
              <w:snapToGrid w:val="0"/>
              <w:spacing w:line="400" w:lineRule="exact"/>
              <w:jc w:val="center"/>
              <w:rPr>
                <w:rFonts w:ascii="仿宋_GB2312" w:hAnsi="仿宋_GB2312" w:cs="仿宋_GB2312"/>
                <w:sz w:val="24"/>
                <w:szCs w:val="24"/>
              </w:rPr>
            </w:pPr>
          </w:p>
        </w:tc>
        <w:tc>
          <w:tcPr>
            <w:tcW w:w="701" w:type="dxa"/>
            <w:vAlign w:val="center"/>
          </w:tcPr>
          <w:p>
            <w:pPr>
              <w:adjustRightInd w:val="0"/>
              <w:snapToGrid w:val="0"/>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6" w:type="dxa"/>
            <w:vAlign w:val="center"/>
          </w:tcPr>
          <w:p>
            <w:pPr>
              <w:adjustRightInd w:val="0"/>
              <w:snapToGrid w:val="0"/>
              <w:spacing w:line="400" w:lineRule="exact"/>
              <w:jc w:val="center"/>
              <w:rPr>
                <w:rFonts w:ascii="仿宋_GB2312" w:hAnsi="仿宋_GB2312" w:cs="仿宋_GB2312"/>
                <w:bCs/>
                <w:sz w:val="24"/>
                <w:szCs w:val="24"/>
              </w:rPr>
            </w:pPr>
            <w:r>
              <w:rPr>
                <w:rFonts w:hint="eastAsia" w:ascii="仿宋_GB2312" w:hAnsi="仿宋_GB2312" w:cs="仿宋_GB2312"/>
                <w:bCs/>
                <w:sz w:val="24"/>
                <w:szCs w:val="24"/>
              </w:rPr>
              <w:t>4</w:t>
            </w:r>
          </w:p>
        </w:tc>
        <w:tc>
          <w:tcPr>
            <w:tcW w:w="1603" w:type="dxa"/>
            <w:vAlign w:val="center"/>
          </w:tcPr>
          <w:p>
            <w:pPr>
              <w:pStyle w:val="7"/>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增塑剂</w:t>
            </w:r>
            <w:r>
              <w:rPr>
                <w:rFonts w:hint="eastAsia" w:ascii="仿宋_GB2312" w:hAnsi="仿宋_GB2312" w:eastAsia="仿宋_GB2312" w:cs="仿宋_GB2312"/>
                <w:sz w:val="24"/>
                <w:szCs w:val="24"/>
                <w:vertAlign w:val="superscript"/>
              </w:rPr>
              <w:t>1</w:t>
            </w:r>
          </w:p>
        </w:tc>
        <w:tc>
          <w:tcPr>
            <w:tcW w:w="2328" w:type="dxa"/>
            <w:vAlign w:val="center"/>
          </w:tcPr>
          <w:p>
            <w:pPr>
              <w:pStyle w:val="7"/>
              <w:spacing w:line="300" w:lineRule="exact"/>
              <w:jc w:val="center"/>
              <w:rPr>
                <w:rFonts w:ascii="仿宋_GB2312" w:hAnsi="宋体" w:cs="宋体"/>
                <w:sz w:val="24"/>
                <w:szCs w:val="24"/>
              </w:rPr>
            </w:pPr>
            <w:r>
              <w:rPr>
                <w:rFonts w:hint="eastAsia" w:ascii="仿宋_GB2312" w:hAnsi="宋体" w:cs="宋体"/>
                <w:sz w:val="24"/>
                <w:szCs w:val="24"/>
              </w:rPr>
              <w:t>GB/T 22048-2015或GB/T 22048-2022</w:t>
            </w:r>
          </w:p>
        </w:tc>
        <w:tc>
          <w:tcPr>
            <w:tcW w:w="868" w:type="dxa"/>
            <w:vAlign w:val="center"/>
          </w:tcPr>
          <w:p>
            <w:pPr>
              <w:adjustRightInd w:val="0"/>
              <w:snapToGrid w:val="0"/>
              <w:spacing w:line="400" w:lineRule="atLeast"/>
              <w:jc w:val="center"/>
              <w:rPr>
                <w:rFonts w:ascii="仿宋_GB2312" w:hAnsi="仿宋_GB2312" w:cs="仿宋_GB2312"/>
                <w:sz w:val="24"/>
                <w:szCs w:val="24"/>
              </w:rPr>
            </w:pPr>
            <w:r>
              <w:rPr>
                <w:rFonts w:hint="eastAsia" w:ascii="仿宋_GB2312" w:hAnsi="仿宋_GB2312" w:cs="仿宋_GB2312"/>
                <w:sz w:val="24"/>
                <w:szCs w:val="24"/>
              </w:rPr>
              <w:t>●</w:t>
            </w:r>
          </w:p>
        </w:tc>
        <w:tc>
          <w:tcPr>
            <w:tcW w:w="867" w:type="dxa"/>
            <w:vAlign w:val="center"/>
          </w:tcPr>
          <w:p>
            <w:pPr>
              <w:adjustRightInd w:val="0"/>
              <w:snapToGrid w:val="0"/>
              <w:spacing w:line="400" w:lineRule="exact"/>
              <w:jc w:val="center"/>
              <w:rPr>
                <w:rFonts w:ascii="仿宋_GB2312" w:hAnsi="仿宋_GB2312" w:cs="仿宋_GB2312"/>
                <w:sz w:val="24"/>
                <w:szCs w:val="24"/>
              </w:rPr>
            </w:pPr>
          </w:p>
        </w:tc>
        <w:tc>
          <w:tcPr>
            <w:tcW w:w="794" w:type="dxa"/>
            <w:vAlign w:val="center"/>
          </w:tcPr>
          <w:p>
            <w:pPr>
              <w:adjustRightInd w:val="0"/>
              <w:snapToGrid w:val="0"/>
              <w:spacing w:line="400" w:lineRule="atLeast"/>
              <w:jc w:val="center"/>
              <w:rPr>
                <w:rFonts w:ascii="仿宋_GB2312" w:hAnsi="仿宋_GB2312" w:cs="仿宋_GB2312"/>
                <w:sz w:val="24"/>
                <w:szCs w:val="24"/>
              </w:rPr>
            </w:pPr>
            <w:r>
              <w:rPr>
                <w:rFonts w:hint="eastAsia" w:ascii="仿宋_GB2312" w:hAnsi="仿宋_GB2312" w:cs="仿宋_GB2312"/>
                <w:sz w:val="24"/>
                <w:szCs w:val="24"/>
              </w:rPr>
              <w:t>●</w:t>
            </w:r>
          </w:p>
        </w:tc>
        <w:tc>
          <w:tcPr>
            <w:tcW w:w="736" w:type="dxa"/>
            <w:vAlign w:val="center"/>
          </w:tcPr>
          <w:p>
            <w:pPr>
              <w:adjustRightInd w:val="0"/>
              <w:snapToGrid w:val="0"/>
              <w:spacing w:line="400" w:lineRule="exact"/>
              <w:jc w:val="center"/>
              <w:rPr>
                <w:rFonts w:ascii="仿宋_GB2312" w:hAnsi="仿宋_GB2312" w:cs="仿宋_GB2312"/>
                <w:sz w:val="24"/>
                <w:szCs w:val="24"/>
              </w:rPr>
            </w:pPr>
          </w:p>
        </w:tc>
        <w:tc>
          <w:tcPr>
            <w:tcW w:w="701" w:type="dxa"/>
            <w:vAlign w:val="center"/>
          </w:tcPr>
          <w:p>
            <w:pPr>
              <w:adjustRightInd w:val="0"/>
              <w:snapToGrid w:val="0"/>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93" w:type="dxa"/>
            <w:gridSpan w:val="8"/>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eastAsia="仿宋_GB2312" w:cs="仿宋_GB2312"/>
                <w:sz w:val="24"/>
                <w:szCs w:val="24"/>
              </w:rPr>
              <w:t>注1：增塑剂项目的检测方法，测试日期在2023年8月1日前，使用GB/T 22048-2015；测试日期在2023年8月1日后，使用GB/T 22048-2022；复检时，应采用初检检测方法。</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6675.1-2014 《玩具安全第1部分：基本规范》</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6675.2-2014 《玩具安全第2部分：机械与物理性能》（含第1号修改单）</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6675.3-2014 《玩具安全第3部分：易燃性能》</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6675.4-2014 《玩具安全第4部分：特定元素的迁移》</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经检验，检验项目全部合格，判定为抽取的样本所检项目未</w:t>
      </w:r>
      <w:r>
        <w:rPr>
          <w:rFonts w:hint="eastAsia" w:ascii="Times New Roman" w:hAnsi="Times New Roman" w:eastAsia="仿宋_GB2312"/>
          <w:sz w:val="32"/>
          <w:szCs w:val="32"/>
        </w:rPr>
        <w:t>发现</w:t>
      </w:r>
      <w:r>
        <w:rPr>
          <w:rFonts w:hint="eastAsia" w:ascii="仿宋_GB2312" w:hAnsi="仿宋_GB2312" w:eastAsia="仿宋_GB2312" w:cs="仿宋_GB2312"/>
          <w:sz w:val="32"/>
          <w:szCs w:val="32"/>
        </w:rPr>
        <w:t>不合格；检验项目中任一项或一项以上不合格，判定为被抽查产品不合格。</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8"/>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pPr>
        <w:adjustRightInd w:val="0"/>
        <w:snapToGrid w:val="0"/>
        <w:spacing w:line="500" w:lineRule="exact"/>
        <w:ind w:firstLine="640"/>
        <w:rPr>
          <w:rFonts w:ascii="Times New Roman" w:hAnsi="Times New Roman" w:eastAsia="仿宋_GB2312" w:cs="Times New Roman"/>
          <w:sz w:val="32"/>
          <w:szCs w:val="32"/>
        </w:rPr>
      </w:pPr>
      <w:bookmarkStart w:id="0" w:name="_GoBack"/>
      <w:bookmarkEnd w:id="0"/>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094B7D84"/>
    <w:rsid w:val="0BA15517"/>
    <w:rsid w:val="0E785AE5"/>
    <w:rsid w:val="2E6D109C"/>
    <w:rsid w:val="452B71E0"/>
    <w:rsid w:val="549472B7"/>
    <w:rsid w:val="5E8D62DA"/>
    <w:rsid w:val="6DE83610"/>
    <w:rsid w:val="719B6E13"/>
    <w:rsid w:val="73286AD9"/>
    <w:rsid w:val="74131BD3"/>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2023-07-27T03:11:00Z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