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eastAsia="zh-CN"/>
        </w:rPr>
        <w:t>附件</w:t>
      </w:r>
      <w:r>
        <w:rPr>
          <w:rFonts w:hint="eastAsia" w:ascii="仿宋_GB2312" w:hAnsi="仿宋_GB2312" w:eastAsia="仿宋_GB2312" w:cs="仿宋_GB2312"/>
          <w:spacing w:val="-6"/>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佛冈县市场监督管理局家用电器质量监督抽查实施细则（2023年）</w:t>
      </w:r>
    </w:p>
    <w:p/>
    <w:p>
      <w:pPr>
        <w:spacing w:line="480" w:lineRule="auto"/>
        <w:ind w:left="420"/>
        <w:rPr>
          <w:rFonts w:ascii="黑体" w:hAnsi="黑体" w:eastAsia="黑体" w:cs="黑体"/>
          <w:sz w:val="32"/>
          <w:szCs w:val="32"/>
        </w:rPr>
      </w:pPr>
      <w:r>
        <w:rPr>
          <w:rFonts w:hint="eastAsia" w:ascii="黑体" w:hAnsi="黑体" w:eastAsia="黑体" w:cs="黑体"/>
          <w:sz w:val="32"/>
          <w:szCs w:val="32"/>
        </w:rPr>
        <w:t>一、抽样方法</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以随机抽样的方式在被抽样经营者的待销产品中抽取。</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随机数一般可使用随机数表等方法产生。</w:t>
      </w:r>
    </w:p>
    <w:p>
      <w:pPr>
        <w:widowControl/>
        <w:spacing w:line="520"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抽查数量：每款产品抽取2组样本，第1组用于检验，第2组用于备样。具体抽样数量如下：</w:t>
      </w:r>
    </w:p>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04"/>
        <w:gridCol w:w="1985"/>
        <w:gridCol w:w="1922"/>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46"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704"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产品名称</w:t>
            </w:r>
          </w:p>
        </w:tc>
        <w:tc>
          <w:tcPr>
            <w:tcW w:w="1985"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第1组数量</w:t>
            </w:r>
          </w:p>
        </w:tc>
        <w:tc>
          <w:tcPr>
            <w:tcW w:w="1922"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第2组数量</w:t>
            </w:r>
          </w:p>
        </w:tc>
        <w:tc>
          <w:tcPr>
            <w:tcW w:w="1185" w:type="dxa"/>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w:t>
            </w:r>
          </w:p>
        </w:tc>
        <w:tc>
          <w:tcPr>
            <w:tcW w:w="2704"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电磁灶</w:t>
            </w:r>
          </w:p>
        </w:tc>
        <w:tc>
          <w:tcPr>
            <w:tcW w:w="1985"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1台</w:t>
            </w:r>
          </w:p>
        </w:tc>
        <w:tc>
          <w:tcPr>
            <w:tcW w:w="1922" w:type="dxa"/>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1台</w:t>
            </w:r>
          </w:p>
        </w:tc>
        <w:tc>
          <w:tcPr>
            <w:tcW w:w="1185" w:type="dxa"/>
          </w:tcPr>
          <w:p>
            <w:pPr>
              <w:adjustRightInd w:val="0"/>
              <w:snapToGrid w:val="0"/>
              <w:spacing w:line="288" w:lineRule="auto"/>
              <w:jc w:val="center"/>
              <w:rPr>
                <w:rFonts w:ascii="仿宋" w:hAnsi="仿宋" w:eastAsia="仿宋" w:cs="仿宋"/>
                <w:sz w:val="24"/>
                <w:szCs w:val="24"/>
              </w:rPr>
            </w:pPr>
          </w:p>
        </w:tc>
      </w:tr>
    </w:tbl>
    <w:p>
      <w:pPr>
        <w:spacing w:line="480" w:lineRule="auto"/>
        <w:ind w:left="420"/>
        <w:rPr>
          <w:rFonts w:ascii="黑体" w:hAnsi="黑体" w:eastAsia="黑体" w:cs="黑体"/>
          <w:sz w:val="32"/>
          <w:szCs w:val="32"/>
        </w:rPr>
      </w:pPr>
      <w:r>
        <w:rPr>
          <w:rFonts w:hint="eastAsia" w:ascii="黑体" w:hAnsi="黑体" w:eastAsia="黑体" w:cs="黑体"/>
          <w:sz w:val="32"/>
          <w:szCs w:val="32"/>
        </w:rPr>
        <w:t>二、主要检验项目及检验项目属性划分</w:t>
      </w:r>
    </w:p>
    <w:tbl>
      <w:tblPr>
        <w:tblStyle w:val="5"/>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983"/>
        <w:gridCol w:w="2072"/>
        <w:gridCol w:w="766"/>
        <w:gridCol w:w="714"/>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检验项目</w:t>
            </w:r>
          </w:p>
        </w:tc>
        <w:tc>
          <w:tcPr>
            <w:tcW w:w="2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检验方法</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强制性</w:t>
            </w:r>
          </w:p>
        </w:tc>
        <w:tc>
          <w:tcPr>
            <w:tcW w:w="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较重</w:t>
            </w:r>
          </w:p>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b/>
                <w:bCs/>
                <w:sz w:val="24"/>
                <w:szCs w:val="24"/>
              </w:rPr>
            </w:pPr>
            <w:r>
              <w:rPr>
                <w:rFonts w:hint="eastAsia" w:ascii="仿宋" w:hAnsi="仿宋" w:eastAsia="仿宋" w:cs="仿宋"/>
                <w:b/>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标志和说明</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ind w:left="-53" w:leftChars="-25" w:right="-69" w:rightChars="-33"/>
              <w:jc w:val="center"/>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ind w:left="-53" w:leftChars="-25" w:right="-69" w:rightChars="-33"/>
              <w:jc w:val="center"/>
              <w:rPr>
                <w:rFonts w:ascii="仿宋_GB2312" w:hAnsi="仿宋_GB2312" w:cs="仿宋_GB2312"/>
                <w:bCs/>
                <w:sz w:val="24"/>
              </w:rPr>
            </w:pPr>
          </w:p>
        </w:tc>
        <w:tc>
          <w:tcPr>
            <w:tcW w:w="900" w:type="dxa"/>
            <w:vAlign w:val="center"/>
          </w:tcPr>
          <w:p>
            <w:pPr>
              <w:adjustRightInd w:val="0"/>
              <w:snapToGrid w:val="0"/>
              <w:ind w:left="-53" w:leftChars="-25" w:right="-69" w:rightChars="-33"/>
              <w:jc w:val="center"/>
              <w:rPr>
                <w:rFonts w:ascii="仿宋_GB2312" w:hAnsi="仿宋_GB2312" w:cs="仿宋_GB2312"/>
                <w:bCs/>
                <w:sz w:val="24"/>
              </w:rPr>
            </w:pPr>
          </w:p>
        </w:tc>
        <w:tc>
          <w:tcPr>
            <w:tcW w:w="792" w:type="dxa"/>
            <w:vAlign w:val="center"/>
          </w:tcPr>
          <w:p>
            <w:pPr>
              <w:adjustRightInd w:val="0"/>
              <w:snapToGrid w:val="0"/>
              <w:ind w:left="-53" w:leftChars="-25" w:right="-69" w:rightChars="-33"/>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2</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对触及带电部件的防护</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3</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输入功率和电流</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4</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工作温度下的泄漏电流和电气强度</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5</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耐潮湿</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6</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泄漏电流和电气强度</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7</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非正常工作（不包括19.11.4）</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8</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机械强度</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9</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结构（不包括22.46）</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接地措施</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03" w:type="dxa"/>
            <w:vAlign w:val="center"/>
          </w:tcPr>
          <w:p>
            <w:pPr>
              <w:adjustRightInd w:val="0"/>
              <w:snapToGrid w:val="0"/>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983" w:type="dxa"/>
            <w:vAlign w:val="center"/>
          </w:tcPr>
          <w:p>
            <w:pPr>
              <w:pStyle w:val="7"/>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电气间隙、爬电距离和固体绝缘</w:t>
            </w:r>
          </w:p>
        </w:tc>
        <w:tc>
          <w:tcPr>
            <w:tcW w:w="2072" w:type="dxa"/>
            <w:vAlign w:val="center"/>
          </w:tcPr>
          <w:p>
            <w:pPr>
              <w:textAlignment w:val="baseline"/>
              <w:rPr>
                <w:rFonts w:ascii="仿宋_GB2312" w:hAnsi="仿宋_GB2312" w:cs="仿宋_GB2312"/>
                <w:bCs/>
                <w:sz w:val="24"/>
              </w:rPr>
            </w:pPr>
            <w:r>
              <w:rPr>
                <w:rFonts w:ascii="仿宋_GB2312" w:hAnsi="仿宋_GB2312" w:cs="仿宋_GB2312"/>
                <w:bCs/>
                <w:sz w:val="24"/>
              </w:rPr>
              <w:t>GB 4706.1-2005</w:t>
            </w:r>
          </w:p>
          <w:p>
            <w:pPr>
              <w:textAlignment w:val="baseline"/>
              <w:rPr>
                <w:rFonts w:ascii="仿宋_GB2312" w:hAnsi="仿宋_GB2312" w:cs="仿宋_GB2312"/>
                <w:bCs/>
                <w:sz w:val="24"/>
              </w:rPr>
            </w:pPr>
            <w:r>
              <w:rPr>
                <w:rFonts w:ascii="仿宋_GB2312" w:hAnsi="仿宋_GB2312" w:cs="仿宋_GB2312"/>
                <w:bCs/>
                <w:sz w:val="24"/>
              </w:rPr>
              <w:t>GB 4706.29-2008</w:t>
            </w:r>
          </w:p>
          <w:p>
            <w:pPr>
              <w:textAlignment w:val="baseline"/>
              <w:rPr>
                <w:rFonts w:ascii="仿宋_GB2312" w:hAnsi="仿宋_GB2312" w:cs="仿宋_GB2312"/>
                <w:bCs/>
                <w:sz w:val="24"/>
              </w:rPr>
            </w:pPr>
            <w:r>
              <w:rPr>
                <w:rFonts w:ascii="仿宋_GB2312" w:hAnsi="仿宋_GB2312" w:cs="仿宋_GB2312"/>
                <w:bCs/>
                <w:sz w:val="24"/>
              </w:rPr>
              <w:t>GB 4706.14-2008</w:t>
            </w:r>
          </w:p>
          <w:p>
            <w:pPr>
              <w:adjustRightInd w:val="0"/>
              <w:snapToGrid w:val="0"/>
              <w:rPr>
                <w:rFonts w:ascii="仿宋_GB2312" w:hAnsi="仿宋_GB2312" w:cs="仿宋_GB2312"/>
                <w:bCs/>
                <w:sz w:val="24"/>
              </w:rPr>
            </w:pPr>
            <w:r>
              <w:rPr>
                <w:rFonts w:ascii="仿宋_GB2312" w:hAnsi="仿宋_GB2312" w:cs="仿宋_GB2312"/>
                <w:bCs/>
                <w:sz w:val="24"/>
              </w:rPr>
              <w:t>GB 4706.22-2008</w:t>
            </w:r>
          </w:p>
        </w:tc>
        <w:tc>
          <w:tcPr>
            <w:tcW w:w="766"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14" w:type="dxa"/>
            <w:vAlign w:val="center"/>
          </w:tcPr>
          <w:p>
            <w:pPr>
              <w:adjustRightInd w:val="0"/>
              <w:snapToGrid w:val="0"/>
              <w:jc w:val="center"/>
              <w:rPr>
                <w:rFonts w:ascii="仿宋_GB2312" w:hAnsi="仿宋_GB2312" w:cs="仿宋_GB2312"/>
                <w:bCs/>
                <w:sz w:val="24"/>
              </w:rPr>
            </w:pPr>
          </w:p>
        </w:tc>
        <w:tc>
          <w:tcPr>
            <w:tcW w:w="900" w:type="dxa"/>
            <w:vAlign w:val="center"/>
          </w:tcPr>
          <w:p>
            <w:pPr>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jc w:val="center"/>
              <w:rPr>
                <w:rFonts w:ascii="仿宋_GB2312" w:hAnsi="仿宋_GB2312" w:cs="仿宋_GB2312"/>
                <w:bCs/>
                <w:sz w:val="24"/>
              </w:rPr>
            </w:pPr>
          </w:p>
        </w:tc>
        <w:tc>
          <w:tcPr>
            <w:tcW w:w="792" w:type="dxa"/>
            <w:vAlign w:val="center"/>
          </w:tcPr>
          <w:p>
            <w:pPr>
              <w:adjustRightInd w:val="0"/>
              <w:snapToGrid w:val="0"/>
              <w:jc w:val="center"/>
              <w:rPr>
                <w:rFonts w:ascii="仿宋_GB2312" w:hAnsi="仿宋_GB2312" w:cs="仿宋_GB2312"/>
                <w:bCs/>
                <w:sz w:val="24"/>
              </w:rPr>
            </w:pPr>
          </w:p>
        </w:tc>
      </w:tr>
    </w:tbl>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三、判定规则</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（一）依据标准</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GB4706.1-2005《家用和类似用途电器的安全 第1部分：通用要求》</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4706.29-2008《家用和类似用途电器的安全 便携式电磁灶的特殊要求》</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4706.14-2008《家用和类似用途电器的安全 烤架、面包片烘烤器及类似用途便携式烹饪器具的特殊要求》</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4706.22-2008《家用和类似用途电器的安全 驻立式电灶、灶台、烤箱及类似用途器具的特殊要求》</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adjustRightInd w:val="0"/>
        <w:snapToGrid w:val="0"/>
        <w:spacing w:line="500" w:lineRule="exact"/>
        <w:ind w:firstLine="643" w:firstLineChars="200"/>
        <w:rPr>
          <w:rFonts w:ascii="Times New Roman" w:hAnsi="Times New Roman" w:eastAsia="楷体_GB2312" w:cs="Times New Roman"/>
          <w:b/>
          <w:bCs/>
          <w:color w:val="000000"/>
          <w:sz w:val="32"/>
          <w:szCs w:val="32"/>
        </w:rPr>
      </w:pPr>
      <w:r>
        <w:rPr>
          <w:rFonts w:hint="eastAsia" w:ascii="Times New Roman" w:hAnsi="Times New Roman" w:eastAsia="楷体_GB2312" w:cs="Times New Roman"/>
          <w:b/>
          <w:bCs/>
          <w:color w:val="000000"/>
          <w:sz w:val="32"/>
          <w:szCs w:val="32"/>
        </w:rPr>
        <w:t>（二）判定原则</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经检验，检验项目全部合格，判定为抽取的样本所检项目未</w:t>
      </w:r>
      <w:r>
        <w:rPr>
          <w:rFonts w:hint="eastAsia" w:ascii="Times New Roman" w:hAnsi="Times New Roman" w:eastAsia="仿宋_GB2312"/>
          <w:sz w:val="32"/>
          <w:szCs w:val="32"/>
        </w:rPr>
        <w:t>发现</w:t>
      </w:r>
      <w:r>
        <w:rPr>
          <w:rFonts w:hint="eastAsia" w:ascii="仿宋_GB2312" w:hAnsi="仿宋_GB2312" w:eastAsia="仿宋_GB2312" w:cs="仿宋_GB2312"/>
          <w:sz w:val="32"/>
          <w:szCs w:val="32"/>
        </w:rPr>
        <w:t>不合格；检验项目中任一项或一项以上不合格，判定为被抽查产品不合格。</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8"/>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8"/>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p>
      <w:pPr>
        <w:adjustRightInd w:val="0"/>
        <w:snapToGrid w:val="0"/>
        <w:spacing w:line="500" w:lineRule="exact"/>
        <w:ind w:firstLine="640"/>
        <w:rPr>
          <w:rFonts w:ascii="Times New Roman" w:hAnsi="Times New Roman" w:eastAsia="仿宋_GB2312" w:cs="Times New Roman"/>
          <w:sz w:val="32"/>
          <w:szCs w:val="32"/>
        </w:rPr>
      </w:pPr>
      <w:bookmarkStart w:id="0" w:name="_GoBack"/>
      <w:bookmarkEnd w:id="0"/>
    </w:p>
    <w:p>
      <w:pPr>
        <w:rPr>
          <w:rFonts w:hint="default" w:eastAsia="方正小标宋简体" w:cs="方正小标宋简体"/>
          <w:spacing w:val="-6"/>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056"/>
    <w:rsid w:val="004E0056"/>
    <w:rsid w:val="078E6B7F"/>
    <w:rsid w:val="0BA15517"/>
    <w:rsid w:val="0E785AE5"/>
    <w:rsid w:val="2E6D109C"/>
    <w:rsid w:val="452B71E0"/>
    <w:rsid w:val="549472B7"/>
    <w:rsid w:val="5E8D62DA"/>
    <w:rsid w:val="6DE83610"/>
    <w:rsid w:val="719B6E13"/>
    <w:rsid w:val="73286AD9"/>
    <w:rsid w:val="7571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200" w:line="579" w:lineRule="auto"/>
      <w:jc w:val="center"/>
      <w:outlineLvl w:val="0"/>
    </w:pPr>
    <w:rPr>
      <w:rFonts w:eastAsia="宋体"/>
      <w:b/>
      <w:bCs/>
      <w:kern w:val="44"/>
      <w:sz w:val="36"/>
      <w:szCs w:val="44"/>
    </w:rPr>
  </w:style>
  <w:style w:type="paragraph" w:styleId="3">
    <w:name w:val="heading 3"/>
    <w:basedOn w:val="1"/>
    <w:next w:val="1"/>
    <w:unhideWhenUsed/>
    <w:qFormat/>
    <w:uiPriority w:val="0"/>
    <w:pPr>
      <w:keepNext/>
      <w:keepLines/>
      <w:numPr>
        <w:ilvl w:val="0"/>
        <w:numId w:val="1"/>
      </w:numPr>
      <w:outlineLvl w:val="2"/>
    </w:pPr>
    <w:rPr>
      <w:rFonts w:ascii="Calibri" w:hAnsi="Calibri" w:eastAsia="仿宋" w:cs="Times New Roman"/>
      <w:b/>
      <w:bCs/>
      <w:sz w:val="30"/>
      <w:szCs w:val="32"/>
      <w:lang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2023-07-27T03:01:00Z</dcterms:created>
  <dc:creator>何万里</dc:creator>
  <cp:lastModifiedBy>何万里</cp:lastModifiedBy>
  <dcterms:modified xsi:type="dcterms:W3CDTF">2023-07-27T03:10:06Z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