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佛冈县市场监督管理局燃气用具质量监督抽查实施细则（2023年）</w:t>
      </w:r>
    </w:p>
    <w:p/>
    <w:p>
      <w:pPr>
        <w:spacing w:line="480" w:lineRule="auto"/>
        <w:ind w:left="420"/>
        <w:rPr>
          <w:rFonts w:ascii="黑体" w:hAnsi="黑体" w:eastAsia="黑体" w:cs="黑体"/>
          <w:sz w:val="28"/>
          <w:szCs w:val="28"/>
        </w:rPr>
      </w:pPr>
      <w:r>
        <w:rPr>
          <w:rFonts w:hint="eastAsia" w:ascii="黑体" w:hAnsi="黑体" w:eastAsia="黑体" w:cs="黑体"/>
          <w:sz w:val="28"/>
          <w:szCs w:val="28"/>
        </w:rPr>
        <w:t>一、抽样方法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759"/>
        <w:gridCol w:w="1567"/>
        <w:gridCol w:w="144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759"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567"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447"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1966"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27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家用燃气快速热水器</w:t>
            </w:r>
          </w:p>
        </w:tc>
        <w:tc>
          <w:tcPr>
            <w:tcW w:w="156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1台</w:t>
            </w:r>
          </w:p>
        </w:tc>
        <w:tc>
          <w:tcPr>
            <w:tcW w:w="144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1台</w:t>
            </w:r>
          </w:p>
        </w:tc>
        <w:tc>
          <w:tcPr>
            <w:tcW w:w="196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Q：强制排气式</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G：强制给排气式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27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家用瓶装液化石油气调压阀</w:t>
            </w:r>
          </w:p>
        </w:tc>
        <w:tc>
          <w:tcPr>
            <w:tcW w:w="156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4个</w:t>
            </w:r>
          </w:p>
        </w:tc>
        <w:tc>
          <w:tcPr>
            <w:tcW w:w="144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2个</w:t>
            </w:r>
          </w:p>
        </w:tc>
        <w:tc>
          <w:tcPr>
            <w:tcW w:w="1966" w:type="dxa"/>
            <w:vAlign w:val="center"/>
          </w:tcPr>
          <w:p>
            <w:pPr>
              <w:adjustRightInd w:val="0"/>
              <w:snapToGrid w:val="0"/>
              <w:spacing w:line="288"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2759"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家用燃气灶</w:t>
            </w:r>
          </w:p>
        </w:tc>
        <w:tc>
          <w:tcPr>
            <w:tcW w:w="156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1台</w:t>
            </w:r>
          </w:p>
        </w:tc>
        <w:tc>
          <w:tcPr>
            <w:tcW w:w="1447"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1台</w:t>
            </w:r>
          </w:p>
        </w:tc>
        <w:tc>
          <w:tcPr>
            <w:tcW w:w="1966" w:type="dxa"/>
            <w:vAlign w:val="center"/>
          </w:tcPr>
          <w:p>
            <w:pPr>
              <w:adjustRightInd w:val="0"/>
              <w:snapToGrid w:val="0"/>
              <w:spacing w:line="288" w:lineRule="auto"/>
              <w:jc w:val="center"/>
              <w:rPr>
                <w:rFonts w:ascii="仿宋" w:hAnsi="仿宋" w:eastAsia="仿宋" w:cs="仿宋"/>
                <w:sz w:val="24"/>
                <w:szCs w:val="24"/>
              </w:rPr>
            </w:pPr>
          </w:p>
        </w:tc>
      </w:tr>
    </w:tbl>
    <w:p>
      <w:pPr>
        <w:tabs>
          <w:tab w:val="left" w:pos="0"/>
        </w:tabs>
        <w:spacing w:line="360" w:lineRule="auto"/>
        <w:ind w:left="420"/>
        <w:rPr>
          <w:rFonts w:ascii="黑体" w:hAnsi="黑体" w:eastAsia="黑体" w:cs="黑体"/>
          <w:sz w:val="28"/>
          <w:szCs w:val="28"/>
        </w:rPr>
      </w:pPr>
      <w:r>
        <w:rPr>
          <w:rFonts w:hint="eastAsia" w:ascii="黑体" w:hAnsi="黑体" w:eastAsia="黑体" w:cs="黑体"/>
          <w:sz w:val="28"/>
          <w:szCs w:val="28"/>
        </w:rPr>
        <w:t>二、主要检验项目及检验项目属性划分</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（1）家用燃气快速热水器</w:t>
      </w:r>
    </w:p>
    <w:tbl>
      <w:tblPr>
        <w:tblStyle w:val="5"/>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889"/>
        <w:gridCol w:w="1768"/>
        <w:gridCol w:w="811"/>
        <w:gridCol w:w="716"/>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检验项目</w:t>
            </w:r>
          </w:p>
        </w:tc>
        <w:tc>
          <w:tcPr>
            <w:tcW w:w="1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检验方法</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强制性</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较重</w:t>
            </w:r>
          </w:p>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1</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燃气系统气密性</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2</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火焰稳定性</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3</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无风状态烟气中一氧化碳含量</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4</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烟道堵塞安全装置（强制排气式）</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6932-2015中6.1、5.2.3.4.1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5</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风压过大安全装置（强制排气式）</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6932-2015中6.1、5.2.3.4.1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6</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防干烧安全装置</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6932-2015中6.1、5.2.3.2.1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7</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热水产率</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6932-2015中6.1</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8</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电气强度</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6932-2015中附录C.9.3</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9</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泄漏电流</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6932-2015中附录C.9.1、C.9.2</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64"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1</w:t>
            </w:r>
            <w:r>
              <w:rPr>
                <w:rFonts w:ascii="仿宋_GB2312" w:hAnsi="仿宋_GB2312" w:cs="仿宋_GB2312"/>
                <w:bCs/>
                <w:sz w:val="24"/>
                <w:szCs w:val="24"/>
              </w:rPr>
              <w:t>0</w:t>
            </w:r>
          </w:p>
        </w:tc>
        <w:tc>
          <w:tcPr>
            <w:tcW w:w="1889" w:type="dxa"/>
            <w:vAlign w:val="center"/>
          </w:tcPr>
          <w:p>
            <w:pPr>
              <w:pStyle w:val="7"/>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接地措施</w:t>
            </w:r>
          </w:p>
        </w:tc>
        <w:tc>
          <w:tcPr>
            <w:tcW w:w="1768" w:type="dxa"/>
            <w:vAlign w:val="center"/>
          </w:tcPr>
          <w:p>
            <w:pPr>
              <w:pStyle w:val="7"/>
              <w:jc w:val="center"/>
              <w:rPr>
                <w:rFonts w:ascii="仿宋_GB2312" w:hAnsi="仿宋_GB2312" w:eastAsia="仿宋_GB2312" w:cs="仿宋_GB2312"/>
                <w:bCs/>
                <w:sz w:val="22"/>
              </w:rPr>
            </w:pPr>
            <w:r>
              <w:rPr>
                <w:rFonts w:hint="eastAsia" w:ascii="仿宋_GB2312" w:hAnsi="仿宋_GB2312" w:eastAsia="仿宋_GB2312" w:cs="仿宋_GB2312"/>
                <w:bCs/>
                <w:sz w:val="22"/>
              </w:rPr>
              <w:t>GB 6932-2015中附录C.14</w:t>
            </w:r>
          </w:p>
        </w:tc>
        <w:tc>
          <w:tcPr>
            <w:tcW w:w="811" w:type="dxa"/>
            <w:vAlign w:val="center"/>
          </w:tcPr>
          <w:p>
            <w:pPr>
              <w:jc w:val="center"/>
              <w:rPr>
                <w:sz w:val="24"/>
                <w:szCs w:val="24"/>
              </w:rPr>
            </w:pPr>
            <w:r>
              <w:rPr>
                <w:rFonts w:ascii="仿宋_GB2312" w:hAnsi="仿宋_GB2312" w:cs="仿宋_GB2312"/>
                <w:bCs/>
                <w:sz w:val="24"/>
                <w:szCs w:val="24"/>
              </w:rPr>
              <w:t>●</w:t>
            </w:r>
          </w:p>
        </w:tc>
        <w:tc>
          <w:tcPr>
            <w:tcW w:w="716" w:type="dxa"/>
            <w:vAlign w:val="center"/>
          </w:tcPr>
          <w:p>
            <w:pPr>
              <w:adjustRightInd w:val="0"/>
              <w:snapToGrid w:val="0"/>
              <w:jc w:val="center"/>
              <w:rPr>
                <w:rFonts w:ascii="仿宋_GB2312" w:hAnsi="仿宋_GB2312" w:cs="仿宋_GB2312"/>
                <w:bCs/>
                <w:sz w:val="24"/>
                <w:szCs w:val="24"/>
              </w:rPr>
            </w:pPr>
          </w:p>
        </w:tc>
        <w:tc>
          <w:tcPr>
            <w:tcW w:w="900" w:type="dxa"/>
            <w:vAlign w:val="center"/>
          </w:tcPr>
          <w:p>
            <w:pPr>
              <w:jc w:val="center"/>
              <w:rPr>
                <w:sz w:val="24"/>
                <w:szCs w:val="24"/>
              </w:rPr>
            </w:pPr>
            <w:r>
              <w:rPr>
                <w:rFonts w:ascii="仿宋_GB2312" w:hAnsi="仿宋_GB2312" w:cs="仿宋_GB2312"/>
                <w:bCs/>
                <w:sz w:val="24"/>
                <w:szCs w:val="24"/>
              </w:rPr>
              <w:t>●</w:t>
            </w:r>
          </w:p>
        </w:tc>
        <w:tc>
          <w:tcPr>
            <w:tcW w:w="792" w:type="dxa"/>
            <w:vAlign w:val="center"/>
          </w:tcPr>
          <w:p>
            <w:pPr>
              <w:adjustRightInd w:val="0"/>
              <w:snapToGrid w:val="0"/>
              <w:jc w:val="center"/>
              <w:rPr>
                <w:rFonts w:ascii="仿宋_GB2312" w:hAnsi="仿宋_GB2312" w:cs="仿宋_GB2312"/>
                <w:bCs/>
                <w:sz w:val="24"/>
                <w:szCs w:val="24"/>
              </w:rPr>
            </w:pPr>
          </w:p>
        </w:tc>
        <w:tc>
          <w:tcPr>
            <w:tcW w:w="792"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8332" w:type="dxa"/>
            <w:gridSpan w:val="8"/>
            <w:vAlign w:val="center"/>
          </w:tcPr>
          <w:p>
            <w:pPr>
              <w:pStyle w:val="7"/>
              <w:widowControl/>
              <w:spacing w:line="300" w:lineRule="exact"/>
              <w:ind w:firstLine="480" w:firstLineChars="200"/>
              <w:jc w:val="left"/>
              <w:rPr>
                <w:rFonts w:ascii="仿宋_GB2312" w:hAnsi="仿宋_GB2312" w:cs="仿宋_GB2312"/>
                <w:bCs/>
                <w:sz w:val="24"/>
                <w:szCs w:val="24"/>
              </w:rPr>
            </w:pPr>
            <w:bookmarkStart w:id="0" w:name="_Hlk29911322"/>
            <w:r>
              <w:rPr>
                <w:rFonts w:ascii="仿宋_GB2312" w:hAnsi="宋体" w:eastAsia="仿宋_GB2312" w:cs="宋体"/>
                <w:kern w:val="0"/>
                <w:sz w:val="24"/>
                <w:szCs w:val="24"/>
              </w:rPr>
              <w:t>注</w:t>
            </w:r>
            <w:bookmarkEnd w:id="0"/>
            <w:r>
              <w:rPr>
                <w:rFonts w:ascii="仿宋_GB2312" w:hAnsi="宋体" w:eastAsia="仿宋_GB2312" w:cs="宋体"/>
                <w:kern w:val="0"/>
                <w:sz w:val="24"/>
                <w:szCs w:val="24"/>
              </w:rPr>
              <w:t>：重要质量项目是指直接涉及人体健康、使用安全的指标；较重要质量项目是指产品涉及环保、能效、关键性能或特征值的指标。</w:t>
            </w:r>
          </w:p>
        </w:tc>
      </w:tr>
    </w:tbl>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（2）家用瓶装液化石油气调压阀</w:t>
      </w:r>
    </w:p>
    <w:tbl>
      <w:tblPr>
        <w:tblStyle w:val="5"/>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721"/>
        <w:gridCol w:w="2154"/>
        <w:gridCol w:w="808"/>
        <w:gridCol w:w="817"/>
        <w:gridCol w:w="786"/>
        <w:gridCol w:w="76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blHeader/>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序号</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检验项目</w:t>
            </w:r>
          </w:p>
        </w:tc>
        <w:tc>
          <w:tcPr>
            <w:tcW w:w="2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检验方法</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强制性</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非强制性</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重要项</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较重要项</w:t>
            </w: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1</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eastAsia="仿宋_GB2312" w:cs="仿宋_GB2312"/>
                <w:bCs/>
                <w:sz w:val="24"/>
                <w:szCs w:val="24"/>
              </w:rPr>
              <w:t>塑料件耐液化石油气性能</w:t>
            </w:r>
          </w:p>
        </w:tc>
        <w:tc>
          <w:tcPr>
            <w:tcW w:w="21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35844-2018 5.1.3.3</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2</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调压器的接头组件</w:t>
            </w:r>
          </w:p>
        </w:tc>
        <w:tc>
          <w:tcPr>
            <w:tcW w:w="21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35844-2018 5.2.5</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3</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气密性</w:t>
            </w:r>
          </w:p>
        </w:tc>
        <w:tc>
          <w:tcPr>
            <w:tcW w:w="21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35844-2018 5.3.3</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4</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关闭压力</w:t>
            </w:r>
          </w:p>
        </w:tc>
        <w:tc>
          <w:tcPr>
            <w:tcW w:w="21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35844-2018 5.3.4</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5</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出口压力</w:t>
            </w:r>
          </w:p>
        </w:tc>
        <w:tc>
          <w:tcPr>
            <w:tcW w:w="21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35844-2018 5.3.5</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6</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连接接头机械强度</w:t>
            </w:r>
          </w:p>
        </w:tc>
        <w:tc>
          <w:tcPr>
            <w:tcW w:w="21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35844-2018 5.3.7.3</w:t>
            </w:r>
          </w:p>
        </w:tc>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45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jc w:val="left"/>
              <w:rPr>
                <w:rFonts w:ascii="仿宋_GB2312" w:hAnsi="仿宋_GB2312" w:cs="仿宋_GB2312"/>
                <w:bCs/>
                <w:sz w:val="24"/>
                <w:szCs w:val="24"/>
              </w:rPr>
            </w:pPr>
            <w:r>
              <w:rPr>
                <w:rFonts w:hint="eastAsia" w:ascii="仿宋_GB2312" w:hAnsi="仿宋_GB2312" w:eastAsia="仿宋_GB2312" w:cs="仿宋_GB2312"/>
                <w:bCs/>
                <w:sz w:val="24"/>
                <w:szCs w:val="24"/>
              </w:rPr>
              <w:t>注：仅抽取2019年3月1日后生产的或明示使用GB 35844-2018标准的家用瓶装液化石油气调压器。</w:t>
            </w:r>
          </w:p>
        </w:tc>
      </w:tr>
    </w:tbl>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（3）家用燃气灶</w:t>
      </w:r>
    </w:p>
    <w:tbl>
      <w:tblPr>
        <w:tblStyle w:val="5"/>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41"/>
        <w:gridCol w:w="2309"/>
        <w:gridCol w:w="868"/>
        <w:gridCol w:w="859"/>
        <w:gridCol w:w="770"/>
        <w:gridCol w:w="73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序号</w:t>
            </w:r>
          </w:p>
        </w:tc>
        <w:tc>
          <w:tcPr>
            <w:tcW w:w="16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检验项目</w:t>
            </w:r>
          </w:p>
        </w:tc>
        <w:tc>
          <w:tcPr>
            <w:tcW w:w="2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检验方法</w:t>
            </w:r>
          </w:p>
        </w:tc>
        <w:tc>
          <w:tcPr>
            <w:tcW w:w="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强制性</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非强制性</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重要项</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较重</w:t>
            </w:r>
          </w:p>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要项</w:t>
            </w: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1</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气密性</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16410-2020中5.2.1</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adjustRightInd w:val="0"/>
              <w:snapToGrid w:val="0"/>
              <w:jc w:val="center"/>
              <w:rPr>
                <w:rFonts w:ascii="仿宋_GB2312" w:hAnsi="仿宋_GB2312" w:cs="仿宋_GB2312"/>
                <w:bCs/>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2</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热负荷偏差</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16410-2020中5.2.2 a) b）c)</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adjustRightInd w:val="0"/>
              <w:snapToGrid w:val="0"/>
              <w:jc w:val="center"/>
              <w:rPr>
                <w:rFonts w:ascii="仿宋_GB2312" w:hAnsi="仿宋_GB2312" w:cs="仿宋_GB2312"/>
                <w:bCs/>
                <w:sz w:val="24"/>
                <w:szCs w:val="24"/>
              </w:rPr>
            </w:pPr>
          </w:p>
        </w:tc>
        <w:tc>
          <w:tcPr>
            <w:tcW w:w="735" w:type="dxa"/>
            <w:vAlign w:val="center"/>
          </w:tcPr>
          <w:p>
            <w:pPr>
              <w:adjustRightInd w:val="0"/>
              <w:snapToGrid w:val="0"/>
              <w:jc w:val="center"/>
              <w:rPr>
                <w:rFonts w:ascii="仿宋_GB2312" w:hAnsi="仿宋_GB2312" w:cs="仿宋_GB2312"/>
                <w:bCs/>
                <w:sz w:val="24"/>
                <w:szCs w:val="24"/>
              </w:rPr>
            </w:pPr>
            <w:r>
              <w:rPr>
                <w:rFonts w:ascii="仿宋_GB2312" w:hAnsi="仿宋_GB2312" w:cs="仿宋_GB2312"/>
                <w:bCs/>
                <w:sz w:val="24"/>
                <w:szCs w:val="24"/>
              </w:rPr>
              <w:t>●</w:t>
            </w: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3</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离焰</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16410-2020中5.2.3</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4</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熄火</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GB 16410-2020中5.2.3</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5</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回火</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16410-2020中5.2.3</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6</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干烟气中一氧化碳浓度</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16410-2020中5.2.3</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7</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温升（操作时手必需接触部位）</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16410-2020中5.2.4表3中1</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8</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熄火保护装置</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 16410-2020中5.2.8.1、5.3.1.9</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9</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燃气导管</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GB 16410-2020中5.3.1.8</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1" w:type="dxa"/>
            <w:vAlign w:val="center"/>
          </w:tcPr>
          <w:p>
            <w:pPr>
              <w:adjustRightInd w:val="0"/>
              <w:snapToGrid w:val="0"/>
              <w:jc w:val="center"/>
              <w:rPr>
                <w:rFonts w:ascii="仿宋_GB2312" w:hAnsi="仿宋_GB2312" w:cs="仿宋_GB2312"/>
                <w:bCs/>
                <w:sz w:val="24"/>
                <w:szCs w:val="24"/>
              </w:rPr>
            </w:pPr>
            <w:r>
              <w:rPr>
                <w:rFonts w:hint="eastAsia" w:ascii="仿宋_GB2312" w:hAnsi="仿宋_GB2312" w:cs="仿宋_GB2312"/>
                <w:bCs/>
                <w:sz w:val="24"/>
                <w:szCs w:val="24"/>
              </w:rPr>
              <w:t>1</w:t>
            </w:r>
            <w:r>
              <w:rPr>
                <w:rFonts w:ascii="仿宋_GB2312" w:hAnsi="仿宋_GB2312" w:cs="仿宋_GB2312"/>
                <w:bCs/>
                <w:sz w:val="24"/>
                <w:szCs w:val="24"/>
              </w:rPr>
              <w:t>0</w:t>
            </w:r>
          </w:p>
        </w:tc>
        <w:tc>
          <w:tcPr>
            <w:tcW w:w="1641" w:type="dxa"/>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电点火装置</w:t>
            </w:r>
          </w:p>
        </w:tc>
        <w:tc>
          <w:tcPr>
            <w:tcW w:w="2309"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GB 16410-2020中5.2.9</w:t>
            </w:r>
          </w:p>
        </w:tc>
        <w:tc>
          <w:tcPr>
            <w:tcW w:w="868" w:type="dxa"/>
            <w:vAlign w:val="center"/>
          </w:tcPr>
          <w:p>
            <w:pPr>
              <w:jc w:val="center"/>
              <w:rPr>
                <w:sz w:val="24"/>
                <w:szCs w:val="24"/>
              </w:rPr>
            </w:pPr>
            <w:r>
              <w:rPr>
                <w:rFonts w:ascii="仿宋_GB2312" w:hAnsi="仿宋_GB2312" w:cs="仿宋_GB2312"/>
                <w:bCs/>
                <w:sz w:val="24"/>
                <w:szCs w:val="24"/>
              </w:rPr>
              <w:t>●</w:t>
            </w:r>
          </w:p>
        </w:tc>
        <w:tc>
          <w:tcPr>
            <w:tcW w:w="859" w:type="dxa"/>
            <w:vAlign w:val="center"/>
          </w:tcPr>
          <w:p>
            <w:pPr>
              <w:adjustRightInd w:val="0"/>
              <w:snapToGrid w:val="0"/>
              <w:jc w:val="center"/>
              <w:rPr>
                <w:rFonts w:ascii="仿宋_GB2312" w:hAnsi="仿宋_GB2312" w:cs="仿宋_GB2312"/>
                <w:bCs/>
                <w:sz w:val="24"/>
                <w:szCs w:val="24"/>
              </w:rPr>
            </w:pPr>
          </w:p>
        </w:tc>
        <w:tc>
          <w:tcPr>
            <w:tcW w:w="770" w:type="dxa"/>
            <w:vAlign w:val="center"/>
          </w:tcPr>
          <w:p>
            <w:pPr>
              <w:jc w:val="center"/>
              <w:rPr>
                <w:sz w:val="24"/>
                <w:szCs w:val="24"/>
              </w:rPr>
            </w:pPr>
            <w:r>
              <w:rPr>
                <w:rFonts w:ascii="仿宋_GB2312" w:hAnsi="仿宋_GB2312" w:cs="仿宋_GB2312"/>
                <w:bCs/>
                <w:sz w:val="24"/>
                <w:szCs w:val="24"/>
              </w:rPr>
              <w:t>●</w:t>
            </w:r>
          </w:p>
        </w:tc>
        <w:tc>
          <w:tcPr>
            <w:tcW w:w="735" w:type="dxa"/>
            <w:vAlign w:val="center"/>
          </w:tcPr>
          <w:p>
            <w:pPr>
              <w:adjustRightInd w:val="0"/>
              <w:snapToGrid w:val="0"/>
              <w:jc w:val="center"/>
              <w:rPr>
                <w:rFonts w:ascii="仿宋_GB2312" w:hAnsi="仿宋_GB2312" w:cs="仿宋_GB2312"/>
                <w:bCs/>
                <w:sz w:val="24"/>
                <w:szCs w:val="24"/>
              </w:rPr>
            </w:pPr>
          </w:p>
        </w:tc>
        <w:tc>
          <w:tcPr>
            <w:tcW w:w="768" w:type="dxa"/>
            <w:vAlign w:val="center"/>
          </w:tcPr>
          <w:p>
            <w:pPr>
              <w:adjustRightInd w:val="0"/>
              <w:snapToGrid w:val="0"/>
              <w:jc w:val="center"/>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591" w:type="dxa"/>
            <w:gridSpan w:val="8"/>
            <w:vAlign w:val="center"/>
          </w:tcPr>
          <w:p>
            <w:pPr>
              <w:adjustRightInd w:val="0"/>
              <w:snapToGrid w:val="0"/>
              <w:spacing w:line="400" w:lineRule="exact"/>
              <w:ind w:firstLine="480" w:firstLineChars="200"/>
              <w:jc w:val="left"/>
              <w:rPr>
                <w:rFonts w:ascii="仿宋_GB2312" w:hAnsi="仿宋_GB2312" w:cs="仿宋_GB2312"/>
                <w:bCs/>
                <w:sz w:val="24"/>
                <w:szCs w:val="24"/>
              </w:rPr>
            </w:pPr>
            <w:r>
              <w:rPr>
                <w:rFonts w:hint="eastAsia" w:ascii="仿宋_GB2312" w:hAnsi="仿宋_GB2312" w:eastAsia="仿宋_GB2312" w:cs="仿宋_GB2312"/>
                <w:bCs/>
                <w:sz w:val="24"/>
                <w:szCs w:val="24"/>
              </w:rPr>
              <w:t>注：重要质量项目是指直接涉及人体健康、使用安全的指标；较重要质量项目是指产品涉及环保、能效、关键性能或特征值的指标。</w:t>
            </w:r>
          </w:p>
        </w:tc>
      </w:tr>
    </w:tbl>
    <w:p>
      <w:pPr>
        <w:spacing w:line="600" w:lineRule="exact"/>
        <w:ind w:firstLine="42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6932-2015《家用燃气快速热水器》</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35844-2018《瓶装液化石油气调压器》</w:t>
      </w:r>
    </w:p>
    <w:p>
      <w:pPr>
        <w:pStyle w:val="4"/>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 16410-2020《家用燃气灶具》</w:t>
      </w:r>
    </w:p>
    <w:p>
      <w:pPr>
        <w:pStyle w:val="4"/>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经检验，检验项目全部合格，判定为抽取的样本所检项目未发现不合格；检验项目中任一项或一项以上不合格，判定为被抽查产品不合格。</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当被检样品明示的质量要求优于监督抽查实施细则中依据的标准要求时，应按被检样品明示的质量要求判定；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当被检样品明示的质量要求劣于或不包含监督抽查实施细则中依据的强制性标准要求时，应按照强制性标准要求判定；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当被检样品明示的质量要求不包含监督抽查实施细则中依据的推荐性标准要求时，该指标不参与判定，但应在检验报告中作出说明；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当被检样品未能提供有效的企业标准时，按相关国家或行业标准进行判定；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按照产品质量相关法律法规的规定判定。</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检验中发现因样品失效或者其他原因致使检验无法进行的，检验人员应如实记录，并提供相关证明材料，报送组织监督抽查的市场监管部门。</w:t>
      </w:r>
      <w:bookmarkStart w:id="1" w:name="_GoBack"/>
      <w:bookmarkEnd w:id="1"/>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2E6D109C"/>
    <w:rsid w:val="452B71E0"/>
    <w:rsid w:val="549472B7"/>
    <w:rsid w:val="5E8D62DA"/>
    <w:rsid w:val="6DE83610"/>
    <w:rsid w:val="719B6E13"/>
    <w:rsid w:val="73286AD9"/>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2023-07-27T03:09:09Z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