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eastAsia="zh-CN"/>
        </w:rPr>
        <w:t>附件</w:t>
      </w:r>
      <w:r>
        <w:rPr>
          <w:rFonts w:hint="eastAsia" w:ascii="仿宋_GB2312" w:hAnsi="仿宋_GB2312" w:eastAsia="仿宋_GB2312" w:cs="仿宋_GB2312"/>
          <w:spacing w:val="-6"/>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佛冈县市场监督管理局运载工具质量监督抽查实施细则（2023年）</w:t>
      </w:r>
    </w:p>
    <w:p/>
    <w:p>
      <w:pPr>
        <w:numPr>
          <w:ilvl w:val="0"/>
          <w:numId w:val="2"/>
        </w:numPr>
        <w:spacing w:line="480" w:lineRule="auto"/>
        <w:rPr>
          <w:rFonts w:ascii="黑体" w:hAnsi="黑体" w:eastAsia="黑体" w:cs="黑体"/>
          <w:sz w:val="32"/>
          <w:szCs w:val="32"/>
        </w:rPr>
      </w:pPr>
      <w:r>
        <w:rPr>
          <w:rFonts w:hint="eastAsia" w:ascii="黑体" w:hAnsi="黑体" w:eastAsia="黑体" w:cs="黑体"/>
          <w:sz w:val="32"/>
          <w:szCs w:val="32"/>
        </w:rPr>
        <w:t>抽样方法</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以随机抽样的方式在生产者、被抽样经营者的待销产品中抽取。</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随机数一般可使用随机数表等方法产生。</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抽查数量：每款产品抽取2组样本，第1组用于检验，第2组用于备样。具体抽样数量如下：</w:t>
      </w:r>
    </w:p>
    <w:p/>
    <w:tbl>
      <w:tblPr>
        <w:tblStyle w:val="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594"/>
        <w:gridCol w:w="1705"/>
        <w:gridCol w:w="170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2594"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产品名称</w:t>
            </w:r>
          </w:p>
        </w:tc>
        <w:tc>
          <w:tcPr>
            <w:tcW w:w="1705"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第1组数量</w:t>
            </w:r>
          </w:p>
        </w:tc>
        <w:tc>
          <w:tcPr>
            <w:tcW w:w="1705"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第2组数量</w:t>
            </w:r>
          </w:p>
        </w:tc>
        <w:tc>
          <w:tcPr>
            <w:tcW w:w="1708"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259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电动自行车</w:t>
            </w:r>
          </w:p>
        </w:tc>
        <w:tc>
          <w:tcPr>
            <w:tcW w:w="170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1辆</w:t>
            </w:r>
          </w:p>
        </w:tc>
        <w:tc>
          <w:tcPr>
            <w:tcW w:w="170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1辆</w:t>
            </w:r>
          </w:p>
        </w:tc>
        <w:tc>
          <w:tcPr>
            <w:tcW w:w="1708" w:type="dxa"/>
            <w:vAlign w:val="center"/>
          </w:tcPr>
          <w:p>
            <w:pPr>
              <w:adjustRightInd w:val="0"/>
              <w:snapToGrid w:val="0"/>
              <w:spacing w:line="288" w:lineRule="auto"/>
              <w:jc w:val="center"/>
              <w:rPr>
                <w:rFonts w:ascii="仿宋" w:hAnsi="仿宋" w:eastAsia="仿宋" w:cs="仿宋"/>
                <w:sz w:val="24"/>
                <w:szCs w:val="24"/>
              </w:rPr>
            </w:pPr>
          </w:p>
        </w:tc>
      </w:tr>
    </w:tbl>
    <w:p>
      <w:pPr>
        <w:numPr>
          <w:ilvl w:val="0"/>
          <w:numId w:val="3"/>
        </w:numPr>
        <w:spacing w:line="360" w:lineRule="auto"/>
        <w:rPr>
          <w:rFonts w:ascii="黑体" w:hAnsi="黑体" w:eastAsia="黑体" w:cs="黑体"/>
          <w:sz w:val="32"/>
          <w:szCs w:val="32"/>
        </w:rPr>
      </w:pPr>
      <w:r>
        <w:rPr>
          <w:rFonts w:hint="eastAsia" w:ascii="黑体" w:hAnsi="黑体" w:eastAsia="黑体" w:cs="黑体"/>
          <w:sz w:val="32"/>
          <w:szCs w:val="32"/>
        </w:rPr>
        <w:t>主要检验项目及检验项目属性划分</w:t>
      </w:r>
    </w:p>
    <w:tbl>
      <w:tblPr>
        <w:tblStyle w:val="4"/>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07"/>
        <w:gridCol w:w="1822"/>
        <w:gridCol w:w="776"/>
        <w:gridCol w:w="737"/>
        <w:gridCol w:w="757"/>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9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检验项目</w:t>
            </w:r>
          </w:p>
        </w:tc>
        <w:tc>
          <w:tcPr>
            <w:tcW w:w="1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检验方法</w:t>
            </w: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强制性</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非强制性</w:t>
            </w:r>
          </w:p>
        </w:tc>
        <w:tc>
          <w:tcPr>
            <w:tcW w:w="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较重</w:t>
            </w:r>
          </w:p>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9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车速限值</w:t>
            </w:r>
          </w:p>
        </w:tc>
        <w:tc>
          <w:tcPr>
            <w:tcW w:w="18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17761-2018</w:t>
            </w:r>
          </w:p>
        </w:tc>
        <w:tc>
          <w:tcPr>
            <w:tcW w:w="77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37" w:type="dxa"/>
            <w:vAlign w:val="center"/>
          </w:tcPr>
          <w:p>
            <w:pPr>
              <w:adjustRightInd w:val="0"/>
              <w:snapToGrid w:val="0"/>
              <w:spacing w:line="288" w:lineRule="auto"/>
              <w:jc w:val="center"/>
              <w:rPr>
                <w:rFonts w:ascii="仿宋" w:hAnsi="仿宋" w:eastAsia="仿宋" w:cs="仿宋"/>
                <w:sz w:val="24"/>
                <w:szCs w:val="24"/>
              </w:rPr>
            </w:pPr>
          </w:p>
        </w:tc>
        <w:tc>
          <w:tcPr>
            <w:tcW w:w="75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400" w:lineRule="exact"/>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19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制动性能（干态）</w:t>
            </w:r>
          </w:p>
        </w:tc>
        <w:tc>
          <w:tcPr>
            <w:tcW w:w="18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17761-2018</w:t>
            </w:r>
          </w:p>
        </w:tc>
        <w:tc>
          <w:tcPr>
            <w:tcW w:w="77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37" w:type="dxa"/>
            <w:vAlign w:val="center"/>
          </w:tcPr>
          <w:p>
            <w:pPr>
              <w:adjustRightInd w:val="0"/>
              <w:snapToGrid w:val="0"/>
              <w:spacing w:line="288" w:lineRule="auto"/>
              <w:jc w:val="center"/>
              <w:rPr>
                <w:rFonts w:ascii="仿宋" w:hAnsi="仿宋" w:eastAsia="仿宋" w:cs="仿宋"/>
                <w:sz w:val="24"/>
                <w:szCs w:val="24"/>
              </w:rPr>
            </w:pPr>
          </w:p>
        </w:tc>
        <w:tc>
          <w:tcPr>
            <w:tcW w:w="75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400" w:lineRule="exact"/>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3</w:t>
            </w:r>
          </w:p>
        </w:tc>
        <w:tc>
          <w:tcPr>
            <w:tcW w:w="19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整车质量</w:t>
            </w:r>
          </w:p>
        </w:tc>
        <w:tc>
          <w:tcPr>
            <w:tcW w:w="18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17761-2018</w:t>
            </w:r>
          </w:p>
        </w:tc>
        <w:tc>
          <w:tcPr>
            <w:tcW w:w="77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37" w:type="dxa"/>
            <w:vAlign w:val="center"/>
          </w:tcPr>
          <w:p>
            <w:pPr>
              <w:adjustRightInd w:val="0"/>
              <w:snapToGrid w:val="0"/>
              <w:spacing w:line="288" w:lineRule="auto"/>
              <w:jc w:val="center"/>
              <w:rPr>
                <w:rFonts w:ascii="仿宋" w:hAnsi="仿宋" w:eastAsia="仿宋" w:cs="仿宋"/>
                <w:sz w:val="24"/>
                <w:szCs w:val="24"/>
              </w:rPr>
            </w:pPr>
          </w:p>
        </w:tc>
        <w:tc>
          <w:tcPr>
            <w:tcW w:w="75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400" w:lineRule="exact"/>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4</w:t>
            </w:r>
          </w:p>
        </w:tc>
        <w:tc>
          <w:tcPr>
            <w:tcW w:w="19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结构</w:t>
            </w:r>
          </w:p>
        </w:tc>
        <w:tc>
          <w:tcPr>
            <w:tcW w:w="18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17761-2018</w:t>
            </w:r>
          </w:p>
        </w:tc>
        <w:tc>
          <w:tcPr>
            <w:tcW w:w="77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37" w:type="dxa"/>
            <w:vAlign w:val="center"/>
          </w:tcPr>
          <w:p>
            <w:pPr>
              <w:adjustRightInd w:val="0"/>
              <w:snapToGrid w:val="0"/>
              <w:spacing w:line="288" w:lineRule="auto"/>
              <w:jc w:val="center"/>
              <w:rPr>
                <w:rFonts w:ascii="仿宋" w:hAnsi="仿宋" w:eastAsia="仿宋" w:cs="仿宋"/>
                <w:sz w:val="24"/>
                <w:szCs w:val="24"/>
              </w:rPr>
            </w:pPr>
          </w:p>
        </w:tc>
        <w:tc>
          <w:tcPr>
            <w:tcW w:w="75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400" w:lineRule="exact"/>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5</w:t>
            </w:r>
          </w:p>
        </w:tc>
        <w:tc>
          <w:tcPr>
            <w:tcW w:w="19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车速提示音</w:t>
            </w:r>
          </w:p>
        </w:tc>
        <w:tc>
          <w:tcPr>
            <w:tcW w:w="18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17761-2018</w:t>
            </w:r>
          </w:p>
        </w:tc>
        <w:tc>
          <w:tcPr>
            <w:tcW w:w="77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37" w:type="dxa"/>
            <w:vAlign w:val="center"/>
          </w:tcPr>
          <w:p>
            <w:pPr>
              <w:adjustRightInd w:val="0"/>
              <w:snapToGrid w:val="0"/>
              <w:spacing w:line="288" w:lineRule="auto"/>
              <w:jc w:val="center"/>
              <w:rPr>
                <w:rFonts w:ascii="仿宋" w:hAnsi="仿宋" w:eastAsia="仿宋" w:cs="仿宋"/>
                <w:sz w:val="24"/>
                <w:szCs w:val="24"/>
              </w:rPr>
            </w:pPr>
          </w:p>
        </w:tc>
        <w:tc>
          <w:tcPr>
            <w:tcW w:w="75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400" w:lineRule="exact"/>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6</w:t>
            </w:r>
          </w:p>
        </w:tc>
        <w:tc>
          <w:tcPr>
            <w:tcW w:w="19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淋水涉水性能</w:t>
            </w:r>
          </w:p>
        </w:tc>
        <w:tc>
          <w:tcPr>
            <w:tcW w:w="18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17761-2018</w:t>
            </w:r>
          </w:p>
        </w:tc>
        <w:tc>
          <w:tcPr>
            <w:tcW w:w="77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37" w:type="dxa"/>
            <w:vAlign w:val="center"/>
          </w:tcPr>
          <w:p>
            <w:pPr>
              <w:adjustRightInd w:val="0"/>
              <w:snapToGrid w:val="0"/>
              <w:spacing w:line="288" w:lineRule="auto"/>
              <w:jc w:val="center"/>
              <w:rPr>
                <w:rFonts w:ascii="仿宋" w:hAnsi="仿宋" w:eastAsia="仿宋" w:cs="仿宋"/>
                <w:sz w:val="24"/>
                <w:szCs w:val="24"/>
              </w:rPr>
            </w:pPr>
          </w:p>
        </w:tc>
        <w:tc>
          <w:tcPr>
            <w:tcW w:w="75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400" w:lineRule="exact"/>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7</w:t>
            </w:r>
          </w:p>
        </w:tc>
        <w:tc>
          <w:tcPr>
            <w:tcW w:w="19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电气装置</w:t>
            </w:r>
          </w:p>
        </w:tc>
        <w:tc>
          <w:tcPr>
            <w:tcW w:w="18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17761-2018</w:t>
            </w:r>
          </w:p>
        </w:tc>
        <w:tc>
          <w:tcPr>
            <w:tcW w:w="77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37" w:type="dxa"/>
            <w:vAlign w:val="center"/>
          </w:tcPr>
          <w:p>
            <w:pPr>
              <w:adjustRightInd w:val="0"/>
              <w:snapToGrid w:val="0"/>
              <w:spacing w:line="288" w:lineRule="auto"/>
              <w:jc w:val="center"/>
              <w:rPr>
                <w:rFonts w:ascii="仿宋" w:hAnsi="仿宋" w:eastAsia="仿宋" w:cs="仿宋"/>
                <w:sz w:val="24"/>
                <w:szCs w:val="24"/>
              </w:rPr>
            </w:pPr>
          </w:p>
        </w:tc>
        <w:tc>
          <w:tcPr>
            <w:tcW w:w="75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400" w:lineRule="exact"/>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8</w:t>
            </w:r>
          </w:p>
        </w:tc>
        <w:tc>
          <w:tcPr>
            <w:tcW w:w="19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充电器与蓄电池</w:t>
            </w:r>
          </w:p>
        </w:tc>
        <w:tc>
          <w:tcPr>
            <w:tcW w:w="18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17761-2018</w:t>
            </w:r>
          </w:p>
        </w:tc>
        <w:tc>
          <w:tcPr>
            <w:tcW w:w="77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37" w:type="dxa"/>
            <w:vAlign w:val="center"/>
          </w:tcPr>
          <w:p>
            <w:pPr>
              <w:adjustRightInd w:val="0"/>
              <w:snapToGrid w:val="0"/>
              <w:spacing w:line="288" w:lineRule="auto"/>
              <w:jc w:val="center"/>
              <w:rPr>
                <w:rFonts w:ascii="仿宋" w:hAnsi="仿宋" w:eastAsia="仿宋" w:cs="仿宋"/>
                <w:sz w:val="24"/>
                <w:szCs w:val="24"/>
              </w:rPr>
            </w:pPr>
          </w:p>
        </w:tc>
        <w:tc>
          <w:tcPr>
            <w:tcW w:w="75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400" w:lineRule="exact"/>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287" w:type="dxa"/>
            <w:gridSpan w:val="8"/>
            <w:vAlign w:val="center"/>
          </w:tcPr>
          <w:p>
            <w:pPr>
              <w:adjustRightInd w:val="0"/>
              <w:snapToGrid w:val="0"/>
              <w:spacing w:line="288" w:lineRule="auto"/>
              <w:jc w:val="center"/>
              <w:rPr>
                <w:rFonts w:ascii="仿宋_GB2312" w:hAnsi="仿宋_GB2312" w:cs="仿宋_GB2312"/>
                <w:bCs/>
                <w:sz w:val="24"/>
                <w:szCs w:val="24"/>
              </w:rPr>
            </w:pPr>
            <w:r>
              <w:rPr>
                <w:rFonts w:hint="eastAsia" w:ascii="仿宋" w:hAnsi="仿宋" w:eastAsia="仿宋" w:cs="仿宋"/>
                <w:sz w:val="24"/>
                <w:szCs w:val="24"/>
              </w:rPr>
              <w:t>注：电动自行车样品应包含其合格证、说明书、充电器、畜电池。</w:t>
            </w:r>
          </w:p>
        </w:tc>
      </w:tr>
    </w:tbl>
    <w:p>
      <w:pPr>
        <w:spacing w:line="600" w:lineRule="exact"/>
        <w:ind w:firstLine="420"/>
        <w:rPr>
          <w:rFonts w:ascii="黑体" w:hAnsi="黑体" w:eastAsia="黑体" w:cs="黑体"/>
          <w:sz w:val="32"/>
          <w:szCs w:val="32"/>
        </w:rPr>
      </w:pPr>
      <w:r>
        <w:rPr>
          <w:rFonts w:hint="eastAsia" w:ascii="黑体" w:hAnsi="黑体" w:eastAsia="黑体" w:cs="黑体"/>
          <w:sz w:val="32"/>
          <w:szCs w:val="32"/>
        </w:rPr>
        <w:t>三、判定规则</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（一）依据标准</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GB 17761-2018《电动自行车安全技术规范》</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（二）判定原则</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经检验，检验项目全部合格，判定为抽取的样本所检项目未发现不合格；检验项目中任一项或一项以上不合格，判定为被抽查产品不合格。</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当被检样品明示的质量要求优于监督抽查实施细则中依据的标准要求时，应按被检样品明示的质量要求判定；</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当被检样品明示的质量要求劣于或不包含监督抽查实施细则中依据的强制性标准要求时，应按照强制性标准要求判定；</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当被检样品明示的质量要求不包含监督抽查实施细则中依据的推荐性标准要求时，该指标不参与判定，但应在检验报告中作出说明；</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当被检样品未能提供有效的企业标准时，按相关国家或行业标准进行判定；</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按照产品质量相关法律法规的规定判定。</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检验中发现因样品失效或者其他原因致使检验无法进行的，检验人员应如实记录，并提供相关证明材料，报送组织监督抽查的市场监管部门。</w:t>
      </w:r>
      <w:bookmarkStart w:id="0" w:name="_GoBack"/>
      <w:bookmarkEnd w:id="0"/>
    </w:p>
    <w:p>
      <w:pPr>
        <w:rPr>
          <w:rFonts w:hint="default" w:eastAsia="方正小标宋简体" w:cs="方正小标宋简体"/>
          <w:spacing w:val="-6"/>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A6451"/>
    <w:multiLevelType w:val="singleLevel"/>
    <w:tmpl w:val="E10A6451"/>
    <w:lvl w:ilvl="0" w:tentative="0">
      <w:start w:val="2"/>
      <w:numFmt w:val="chineseCounting"/>
      <w:suff w:val="nothing"/>
      <w:lvlText w:val="%1、"/>
      <w:lvlJc w:val="left"/>
      <w:pPr>
        <w:tabs>
          <w:tab w:val="left" w:pos="0"/>
        </w:tabs>
        <w:ind w:left="420"/>
      </w:pPr>
      <w:rPr>
        <w:rFonts w:hint="eastAsia"/>
      </w:rPr>
    </w:lvl>
  </w:abstractNum>
  <w:abstractNum w:abstractNumId="1">
    <w:nsid w:val="00000001"/>
    <w:multiLevelType w:val="multilevel"/>
    <w:tmpl w:val="00000001"/>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12C9A30"/>
    <w:multiLevelType w:val="singleLevel"/>
    <w:tmpl w:val="612C9A30"/>
    <w:lvl w:ilvl="0" w:tentative="0">
      <w:start w:val="1"/>
      <w:numFmt w:val="chineseCounting"/>
      <w:suff w:val="nothing"/>
      <w:lvlText w:val="%1、"/>
      <w:lvlJc w:val="left"/>
      <w:pPr>
        <w:ind w:left="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56"/>
    <w:rsid w:val="004E0056"/>
    <w:rsid w:val="078E6B7F"/>
    <w:rsid w:val="549472B7"/>
    <w:rsid w:val="6DE83610"/>
    <w:rsid w:val="719B6E13"/>
    <w:rsid w:val="73286AD9"/>
    <w:rsid w:val="7571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200" w:line="579" w:lineRule="auto"/>
      <w:jc w:val="center"/>
      <w:outlineLvl w:val="0"/>
    </w:pPr>
    <w:rPr>
      <w:rFonts w:eastAsia="宋体"/>
      <w:b/>
      <w:bCs/>
      <w:kern w:val="44"/>
      <w:sz w:val="36"/>
      <w:szCs w:val="44"/>
    </w:rPr>
  </w:style>
  <w:style w:type="paragraph" w:styleId="3">
    <w:name w:val="heading 3"/>
    <w:basedOn w:val="1"/>
    <w:next w:val="1"/>
    <w:unhideWhenUsed/>
    <w:qFormat/>
    <w:uiPriority w:val="0"/>
    <w:pPr>
      <w:keepNext/>
      <w:keepLines/>
      <w:numPr>
        <w:ilvl w:val="0"/>
        <w:numId w:val="1"/>
      </w:numPr>
      <w:outlineLvl w:val="2"/>
    </w:pPr>
    <w:rPr>
      <w:rFonts w:ascii="Calibri" w:hAnsi="Calibri" w:eastAsia="仿宋" w:cs="Times New Roman"/>
      <w:b/>
      <w:bCs/>
      <w:sz w:val="30"/>
      <w:szCs w:val="32"/>
      <w:lang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2023-07-27T03:01:00Z</dcterms:created>
  <dc:creator>何万里</dc:creator>
  <cp:lastModifiedBy>何万里</cp:lastModifiedBy>
  <dcterms:modified xsi:type="dcterms:W3CDTF">2023-07-27T03:07:27Z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