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佛冈县市场监督管理局车辆及相关产品质量监督抽查实施细则（2023年）</w:t>
      </w:r>
    </w:p>
    <w:p/>
    <w:p>
      <w:pPr>
        <w:numPr>
          <w:ilvl w:val="0"/>
          <w:numId w:val="2"/>
        </w:numPr>
        <w:spacing w:line="480" w:lineRule="auto"/>
        <w:rPr>
          <w:rFonts w:ascii="黑体" w:hAnsi="黑体" w:eastAsia="黑体" w:cs="黑体"/>
          <w:sz w:val="32"/>
          <w:szCs w:val="32"/>
        </w:rPr>
      </w:pPr>
      <w:r>
        <w:rPr>
          <w:rFonts w:hint="eastAsia" w:ascii="黑体" w:hAnsi="黑体" w:eastAsia="黑体" w:cs="黑体"/>
          <w:sz w:val="32"/>
          <w:szCs w:val="32"/>
        </w:rPr>
        <w:t>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以随机抽样的方式在生产者、被抽样经营者的待销产品中抽取。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tbl>
      <w:tblPr>
        <w:tblStyle w:val="4"/>
        <w:tblpPr w:leftFromText="180" w:rightFromText="180" w:vertAnchor="text" w:horzAnchor="page" w:tblpX="1963" w:tblpY="1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38"/>
        <w:gridCol w:w="1705"/>
        <w:gridCol w:w="170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2"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638"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705"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1705"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1708"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263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电动自行车充电器</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2个</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1个</w:t>
            </w:r>
          </w:p>
        </w:tc>
        <w:tc>
          <w:tcPr>
            <w:tcW w:w="1708" w:type="dxa"/>
            <w:vAlign w:val="center"/>
          </w:tcPr>
          <w:p>
            <w:pPr>
              <w:adjustRightInd w:val="0"/>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263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电动自行车电池</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2个</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1个</w:t>
            </w:r>
          </w:p>
        </w:tc>
        <w:tc>
          <w:tcPr>
            <w:tcW w:w="1708" w:type="dxa"/>
            <w:vAlign w:val="center"/>
          </w:tcPr>
          <w:p>
            <w:pPr>
              <w:adjustRightInd w:val="0"/>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restart"/>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263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摩托车乘员头盔</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（执行标准为GB 811-2010）</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1顶</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1顶</w:t>
            </w:r>
          </w:p>
        </w:tc>
        <w:tc>
          <w:tcPr>
            <w:tcW w:w="1708" w:type="dxa"/>
            <w:vMerge w:val="restart"/>
            <w:vAlign w:val="center"/>
          </w:tcPr>
          <w:p>
            <w:pPr>
              <w:adjustRightInd w:val="0"/>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2" w:type="dxa"/>
            <w:vMerge w:val="continue"/>
            <w:vAlign w:val="center"/>
          </w:tcPr>
          <w:p>
            <w:pPr>
              <w:adjustRightInd w:val="0"/>
              <w:snapToGrid w:val="0"/>
              <w:spacing w:line="288" w:lineRule="auto"/>
              <w:jc w:val="center"/>
              <w:rPr>
                <w:rFonts w:ascii="仿宋" w:hAnsi="仿宋" w:eastAsia="仿宋" w:cs="仿宋"/>
                <w:sz w:val="24"/>
                <w:szCs w:val="24"/>
              </w:rPr>
            </w:pPr>
          </w:p>
        </w:tc>
        <w:tc>
          <w:tcPr>
            <w:tcW w:w="263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摩托车乘员头盔、电动自行车乘员头盔</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（执行标准为GB 811-2022）</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2顶</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2顶</w:t>
            </w:r>
          </w:p>
        </w:tc>
        <w:tc>
          <w:tcPr>
            <w:tcW w:w="1708" w:type="dxa"/>
            <w:vMerge w:val="continue"/>
            <w:vAlign w:val="center"/>
          </w:tcPr>
          <w:p>
            <w:pPr>
              <w:adjustRightInd w:val="0"/>
              <w:snapToGrid w:val="0"/>
              <w:spacing w:line="288" w:lineRule="auto"/>
              <w:jc w:val="center"/>
              <w:rPr>
                <w:rFonts w:ascii="宋体" w:hAnsi="宋体" w:eastAsia="宋体" w:cs="仿宋_GB2312"/>
                <w:szCs w:val="21"/>
              </w:rPr>
            </w:pPr>
          </w:p>
        </w:tc>
      </w:tr>
    </w:tbl>
    <w:p>
      <w:pPr>
        <w:numPr>
          <w:ilvl w:val="0"/>
          <w:numId w:val="2"/>
        </w:numPr>
        <w:spacing w:line="360" w:lineRule="auto"/>
        <w:rPr>
          <w:rFonts w:ascii="黑体" w:hAnsi="黑体" w:eastAsia="黑体" w:cs="黑体"/>
          <w:sz w:val="32"/>
          <w:szCs w:val="32"/>
        </w:rPr>
      </w:pPr>
      <w:r>
        <w:rPr>
          <w:rFonts w:hint="eastAsia" w:ascii="黑体" w:hAnsi="黑体" w:eastAsia="黑体" w:cs="黑体"/>
          <w:sz w:val="32"/>
          <w:szCs w:val="32"/>
        </w:rPr>
        <w:t>主要检验项目及检验项目属性划分</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（1）电动自行车充电器</w:t>
      </w:r>
    </w:p>
    <w:p>
      <w:pPr>
        <w:spacing w:line="360" w:lineRule="auto"/>
        <w:ind w:left="420" w:firstLine="420"/>
        <w:rPr>
          <w:rFonts w:ascii="宋体" w:hAnsi="宋体" w:eastAsia="宋体" w:cs="宋体"/>
          <w:color w:val="000000"/>
          <w:sz w:val="24"/>
          <w:szCs w:val="24"/>
        </w:rPr>
      </w:pPr>
      <w:r>
        <w:rPr>
          <w:rFonts w:hint="eastAsia" w:ascii="宋体" w:hAnsi="宋体" w:eastAsia="宋体" w:cs="宋体"/>
          <w:color w:val="000000"/>
          <w:sz w:val="24"/>
          <w:szCs w:val="24"/>
        </w:rPr>
        <w:t>1.生产日期为2023年7月1日之前的产品</w:t>
      </w:r>
    </w:p>
    <w:tbl>
      <w:tblPr>
        <w:tblStyle w:val="4"/>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193"/>
        <w:gridCol w:w="1915"/>
        <w:gridCol w:w="696"/>
        <w:gridCol w:w="723"/>
        <w:gridCol w:w="710"/>
        <w:gridCol w:w="833"/>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1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219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对触及带电部件的防护</w:t>
            </w:r>
          </w:p>
        </w:tc>
        <w:tc>
          <w:tcPr>
            <w:tcW w:w="191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 xml:space="preserve">GB4706.1-2005、GB4706.18-2014 </w:t>
            </w:r>
          </w:p>
        </w:tc>
        <w:tc>
          <w:tcPr>
            <w:tcW w:w="69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3" w:type="dxa"/>
            <w:vAlign w:val="center"/>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33"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219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输入功率和电流</w:t>
            </w:r>
          </w:p>
        </w:tc>
        <w:tc>
          <w:tcPr>
            <w:tcW w:w="191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GB4706.1-2005、GB4706.18-2014</w:t>
            </w:r>
          </w:p>
        </w:tc>
        <w:tc>
          <w:tcPr>
            <w:tcW w:w="69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3" w:type="dxa"/>
            <w:vAlign w:val="center"/>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33"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219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发热</w:t>
            </w:r>
          </w:p>
        </w:tc>
        <w:tc>
          <w:tcPr>
            <w:tcW w:w="191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GB4706.1-2005、GB4706.18-2014</w:t>
            </w:r>
          </w:p>
        </w:tc>
        <w:tc>
          <w:tcPr>
            <w:tcW w:w="69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3" w:type="dxa"/>
            <w:vAlign w:val="center"/>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33"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219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工作温度下的泄漏电流和电气强度</w:t>
            </w:r>
          </w:p>
        </w:tc>
        <w:tc>
          <w:tcPr>
            <w:tcW w:w="191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GB4706.1-2005、GB4706.18-2014</w:t>
            </w:r>
          </w:p>
        </w:tc>
        <w:tc>
          <w:tcPr>
            <w:tcW w:w="69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3" w:type="dxa"/>
            <w:vAlign w:val="center"/>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33"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219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结构</w:t>
            </w:r>
          </w:p>
        </w:tc>
        <w:tc>
          <w:tcPr>
            <w:tcW w:w="191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GB4706.1-2005、GB4706.18-2014</w:t>
            </w:r>
          </w:p>
        </w:tc>
        <w:tc>
          <w:tcPr>
            <w:tcW w:w="69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3" w:type="dxa"/>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33"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219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电气间隙、爬电距离和固体绝缘</w:t>
            </w:r>
          </w:p>
        </w:tc>
        <w:tc>
          <w:tcPr>
            <w:tcW w:w="191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GB4706.1-2005、GB4706.18-2014</w:t>
            </w:r>
          </w:p>
        </w:tc>
        <w:tc>
          <w:tcPr>
            <w:tcW w:w="69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3" w:type="dxa"/>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33"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34" w:type="dxa"/>
            <w:gridSpan w:val="8"/>
            <w:vAlign w:val="center"/>
          </w:tcPr>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a) 若明示执行标准为GB 42296-2022，则依据GB 42296-2022标准检测。</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b) 若电源输出为安全特低电压或产品明示符合GB4706.18标准（不论年号），依据GB 4706.18-2014标准检测；否则，只依据GB 4706.1-2005标准检测。</w:t>
            </w:r>
          </w:p>
        </w:tc>
      </w:tr>
    </w:tbl>
    <w:p>
      <w:pPr>
        <w:spacing w:line="360" w:lineRule="auto"/>
        <w:ind w:left="420" w:firstLine="420"/>
        <w:rPr>
          <w:rFonts w:ascii="宋体" w:hAnsi="宋体" w:eastAsia="宋体" w:cs="宋体"/>
          <w:color w:val="000000"/>
          <w:sz w:val="24"/>
          <w:szCs w:val="24"/>
        </w:rPr>
      </w:pPr>
      <w:r>
        <w:rPr>
          <w:rFonts w:hint="eastAsia" w:ascii="宋体" w:hAnsi="宋体" w:eastAsia="宋体" w:cs="宋体"/>
          <w:color w:val="000000"/>
          <w:sz w:val="24"/>
          <w:szCs w:val="24"/>
        </w:rPr>
        <w:t>2.生产日期为2023年7月1日当日及之后的产品</w:t>
      </w:r>
    </w:p>
    <w:tbl>
      <w:tblPr>
        <w:tblStyle w:val="4"/>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35"/>
        <w:gridCol w:w="1947"/>
        <w:gridCol w:w="781"/>
        <w:gridCol w:w="729"/>
        <w:gridCol w:w="911"/>
        <w:gridCol w:w="75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blHeader/>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检验项目</w:t>
            </w:r>
          </w:p>
        </w:tc>
        <w:tc>
          <w:tcPr>
            <w:tcW w:w="1947"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检验方法</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强制性</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非强制性</w:t>
            </w: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重要项</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较重要项</w:t>
            </w: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结构</w:t>
            </w:r>
          </w:p>
        </w:tc>
        <w:tc>
          <w:tcPr>
            <w:tcW w:w="1947" w:type="dxa"/>
            <w:shd w:val="clear" w:color="auto" w:fill="auto"/>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42296-2022第6.1.4条款</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工作温度下的泄漏电流</w:t>
            </w:r>
          </w:p>
        </w:tc>
        <w:tc>
          <w:tcPr>
            <w:tcW w:w="1947" w:type="dxa"/>
            <w:shd w:val="clear" w:color="auto" w:fill="auto"/>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42296-2022第6.2.1条款</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电气强度</w:t>
            </w:r>
          </w:p>
        </w:tc>
        <w:tc>
          <w:tcPr>
            <w:tcW w:w="1947" w:type="dxa"/>
            <w:shd w:val="clear" w:color="auto" w:fill="auto"/>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42296-2022第6.2.2条款</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电气间隙、爬电距离和固体绝缘</w:t>
            </w:r>
          </w:p>
        </w:tc>
        <w:tc>
          <w:tcPr>
            <w:tcW w:w="1947" w:type="dxa"/>
            <w:shd w:val="clear" w:color="auto" w:fill="auto"/>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42296-2022第6.2.3条款</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防触电保护</w:t>
            </w:r>
          </w:p>
        </w:tc>
        <w:tc>
          <w:tcPr>
            <w:tcW w:w="1947" w:type="dxa"/>
            <w:shd w:val="clear" w:color="auto" w:fill="auto"/>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42296-2022第6.2.4条款</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充电参数</w:t>
            </w:r>
          </w:p>
        </w:tc>
        <w:tc>
          <w:tcPr>
            <w:tcW w:w="1947" w:type="dxa"/>
            <w:shd w:val="clear" w:color="auto" w:fill="auto"/>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42296-2022第6.2.7条款</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6"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935"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温升</w:t>
            </w:r>
          </w:p>
        </w:tc>
        <w:tc>
          <w:tcPr>
            <w:tcW w:w="1947" w:type="dxa"/>
            <w:shd w:val="clear" w:color="auto" w:fill="auto"/>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42296-2022第6.4.1条款</w:t>
            </w:r>
          </w:p>
        </w:tc>
        <w:tc>
          <w:tcPr>
            <w:tcW w:w="78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29"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911" w:type="dxa"/>
            <w:shd w:val="clear" w:color="auto" w:fill="auto"/>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0" w:type="dxa"/>
            <w:shd w:val="clear" w:color="auto" w:fill="auto"/>
            <w:vAlign w:val="center"/>
          </w:tcPr>
          <w:p>
            <w:pPr>
              <w:adjustRightInd w:val="0"/>
              <w:snapToGrid w:val="0"/>
              <w:spacing w:line="288" w:lineRule="auto"/>
              <w:jc w:val="center"/>
              <w:rPr>
                <w:rFonts w:ascii="仿宋" w:hAnsi="仿宋" w:eastAsia="仿宋" w:cs="仿宋"/>
                <w:sz w:val="24"/>
                <w:szCs w:val="24"/>
              </w:rPr>
            </w:pPr>
          </w:p>
        </w:tc>
        <w:tc>
          <w:tcPr>
            <w:tcW w:w="733" w:type="dxa"/>
            <w:shd w:val="clear" w:color="auto" w:fill="auto"/>
            <w:vAlign w:val="center"/>
          </w:tcPr>
          <w:p>
            <w:pPr>
              <w:adjustRightInd w:val="0"/>
              <w:snapToGrid w:val="0"/>
              <w:spacing w:line="288" w:lineRule="auto"/>
              <w:jc w:val="center"/>
              <w:rPr>
                <w:rFonts w:ascii="仿宋" w:hAnsi="仿宋" w:eastAsia="仿宋" w:cs="仿宋"/>
                <w:sz w:val="24"/>
                <w:szCs w:val="24"/>
              </w:rPr>
            </w:pPr>
          </w:p>
        </w:tc>
      </w:tr>
    </w:tbl>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（2）电动自行车电池（电动自行车锂离子电池）</w:t>
      </w:r>
    </w:p>
    <w:tbl>
      <w:tblPr>
        <w:tblStyle w:val="4"/>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889"/>
        <w:gridCol w:w="1926"/>
        <w:gridCol w:w="792"/>
        <w:gridCol w:w="785"/>
        <w:gridCol w:w="799"/>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1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8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I2（A）放电</w:t>
            </w:r>
          </w:p>
        </w:tc>
        <w:tc>
          <w:tcPr>
            <w:tcW w:w="192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 xml:space="preserve">GB/T 36972-2018 </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8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1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8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过充电</w:t>
            </w:r>
          </w:p>
        </w:tc>
        <w:tc>
          <w:tcPr>
            <w:tcW w:w="192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 xml:space="preserve">GB/T 36972-2018 </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8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1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88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外部短路</w:t>
            </w:r>
          </w:p>
        </w:tc>
        <w:tc>
          <w:tcPr>
            <w:tcW w:w="192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 xml:space="preserve">GB/T 36972-2018 </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8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bl>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（3）摩托车乘员头盔、电动自行车头盔</w:t>
      </w:r>
    </w:p>
    <w:p>
      <w:pPr>
        <w:spacing w:line="360" w:lineRule="auto"/>
        <w:ind w:left="420" w:firstLine="420"/>
        <w:rPr>
          <w:rFonts w:ascii="宋体" w:hAnsi="宋体" w:eastAsia="宋体" w:cs="宋体"/>
          <w:color w:val="000000"/>
          <w:sz w:val="24"/>
          <w:szCs w:val="24"/>
        </w:rPr>
      </w:pPr>
      <w:r>
        <w:rPr>
          <w:rFonts w:hint="eastAsia" w:ascii="宋体" w:hAnsi="宋体" w:eastAsia="宋体" w:cs="宋体"/>
          <w:color w:val="000000"/>
          <w:sz w:val="24"/>
          <w:szCs w:val="24"/>
        </w:rPr>
        <w:t>1.摩托车头盔（执行标准为GB 811-2010）</w:t>
      </w:r>
    </w:p>
    <w:tbl>
      <w:tblPr>
        <w:tblStyle w:val="4"/>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39"/>
        <w:gridCol w:w="2081"/>
        <w:gridCol w:w="804"/>
        <w:gridCol w:w="736"/>
        <w:gridCol w:w="717"/>
        <w:gridCol w:w="866"/>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2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结构-佩戴装置</w:t>
            </w:r>
          </w:p>
        </w:tc>
        <w:tc>
          <w:tcPr>
            <w:tcW w:w="2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5.2</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头盔视野</w:t>
            </w:r>
          </w:p>
        </w:tc>
        <w:tc>
          <w:tcPr>
            <w:tcW w:w="20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5.4</w:t>
            </w:r>
          </w:p>
        </w:tc>
        <w:tc>
          <w:tcPr>
            <w:tcW w:w="8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vAlign w:val="center"/>
          </w:tcPr>
          <w:p>
            <w:pPr>
              <w:adjustRightInd w:val="0"/>
              <w:snapToGrid w:val="0"/>
              <w:spacing w:line="288" w:lineRule="auto"/>
              <w:jc w:val="center"/>
              <w:rPr>
                <w:rFonts w:ascii="仿宋" w:hAnsi="仿宋" w:eastAsia="仿宋" w:cs="仿宋"/>
                <w:sz w:val="24"/>
                <w:szCs w:val="24"/>
              </w:rPr>
            </w:pPr>
          </w:p>
        </w:tc>
        <w:tc>
          <w:tcPr>
            <w:tcW w:w="71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vAlign w:val="center"/>
          </w:tcPr>
          <w:p>
            <w:pPr>
              <w:adjustRightInd w:val="0"/>
              <w:snapToGrid w:val="0"/>
              <w:spacing w:line="288" w:lineRule="auto"/>
              <w:jc w:val="center"/>
              <w:rPr>
                <w:rFonts w:ascii="仿宋" w:hAnsi="仿宋" w:eastAsia="仿宋" w:cs="仿宋"/>
                <w:sz w:val="24"/>
                <w:szCs w:val="24"/>
              </w:rPr>
            </w:pPr>
          </w:p>
        </w:tc>
        <w:tc>
          <w:tcPr>
            <w:tcW w:w="792" w:type="dxa"/>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8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头盔护目镜-冲击强度</w:t>
            </w:r>
          </w:p>
        </w:tc>
        <w:tc>
          <w:tcPr>
            <w:tcW w:w="20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5.5.1</w:t>
            </w:r>
          </w:p>
        </w:tc>
        <w:tc>
          <w:tcPr>
            <w:tcW w:w="8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vAlign w:val="center"/>
          </w:tcPr>
          <w:p>
            <w:pPr>
              <w:adjustRightInd w:val="0"/>
              <w:snapToGrid w:val="0"/>
              <w:spacing w:line="288" w:lineRule="auto"/>
              <w:jc w:val="center"/>
              <w:rPr>
                <w:rFonts w:ascii="仿宋" w:hAnsi="仿宋" w:eastAsia="仿宋" w:cs="仿宋"/>
                <w:sz w:val="24"/>
                <w:szCs w:val="24"/>
              </w:rPr>
            </w:pPr>
          </w:p>
        </w:tc>
        <w:tc>
          <w:tcPr>
            <w:tcW w:w="71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vAlign w:val="center"/>
          </w:tcPr>
          <w:p>
            <w:pPr>
              <w:adjustRightInd w:val="0"/>
              <w:snapToGrid w:val="0"/>
              <w:spacing w:line="288" w:lineRule="auto"/>
              <w:jc w:val="center"/>
              <w:rPr>
                <w:rFonts w:ascii="仿宋" w:hAnsi="仿宋" w:eastAsia="仿宋" w:cs="仿宋"/>
                <w:sz w:val="24"/>
                <w:szCs w:val="24"/>
              </w:rPr>
            </w:pPr>
          </w:p>
        </w:tc>
        <w:tc>
          <w:tcPr>
            <w:tcW w:w="792" w:type="dxa"/>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8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头盔护目镜-透过率</w:t>
            </w:r>
          </w:p>
        </w:tc>
        <w:tc>
          <w:tcPr>
            <w:tcW w:w="20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5.5.2</w:t>
            </w:r>
          </w:p>
        </w:tc>
        <w:tc>
          <w:tcPr>
            <w:tcW w:w="8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vAlign w:val="center"/>
          </w:tcPr>
          <w:p>
            <w:pPr>
              <w:adjustRightInd w:val="0"/>
              <w:snapToGrid w:val="0"/>
              <w:spacing w:line="288" w:lineRule="auto"/>
              <w:jc w:val="center"/>
              <w:rPr>
                <w:rFonts w:ascii="仿宋" w:hAnsi="仿宋" w:eastAsia="仿宋" w:cs="仿宋"/>
                <w:sz w:val="24"/>
                <w:szCs w:val="24"/>
              </w:rPr>
            </w:pPr>
          </w:p>
        </w:tc>
        <w:tc>
          <w:tcPr>
            <w:tcW w:w="71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vAlign w:val="center"/>
          </w:tcPr>
          <w:p>
            <w:pPr>
              <w:adjustRightInd w:val="0"/>
              <w:snapToGrid w:val="0"/>
              <w:spacing w:line="288" w:lineRule="auto"/>
              <w:jc w:val="center"/>
              <w:rPr>
                <w:rFonts w:ascii="仿宋" w:hAnsi="仿宋" w:eastAsia="仿宋" w:cs="仿宋"/>
                <w:sz w:val="24"/>
                <w:szCs w:val="24"/>
              </w:rPr>
            </w:pPr>
          </w:p>
        </w:tc>
        <w:tc>
          <w:tcPr>
            <w:tcW w:w="792" w:type="dxa"/>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18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固定装置稳定性</w:t>
            </w:r>
          </w:p>
        </w:tc>
        <w:tc>
          <w:tcPr>
            <w:tcW w:w="20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5.7</w:t>
            </w:r>
          </w:p>
        </w:tc>
        <w:tc>
          <w:tcPr>
            <w:tcW w:w="8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vAlign w:val="center"/>
          </w:tcPr>
          <w:p>
            <w:pPr>
              <w:adjustRightInd w:val="0"/>
              <w:snapToGrid w:val="0"/>
              <w:spacing w:line="288" w:lineRule="auto"/>
              <w:jc w:val="center"/>
              <w:rPr>
                <w:rFonts w:ascii="仿宋" w:hAnsi="仿宋" w:eastAsia="仿宋" w:cs="仿宋"/>
                <w:sz w:val="24"/>
                <w:szCs w:val="24"/>
              </w:rPr>
            </w:pPr>
          </w:p>
        </w:tc>
        <w:tc>
          <w:tcPr>
            <w:tcW w:w="71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vAlign w:val="center"/>
          </w:tcPr>
          <w:p>
            <w:pPr>
              <w:adjustRightInd w:val="0"/>
              <w:snapToGrid w:val="0"/>
              <w:spacing w:line="288" w:lineRule="auto"/>
              <w:jc w:val="center"/>
              <w:rPr>
                <w:rFonts w:ascii="仿宋" w:hAnsi="仿宋" w:eastAsia="仿宋" w:cs="仿宋"/>
                <w:sz w:val="24"/>
                <w:szCs w:val="24"/>
              </w:rPr>
            </w:pPr>
          </w:p>
        </w:tc>
        <w:tc>
          <w:tcPr>
            <w:tcW w:w="792" w:type="dxa"/>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8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头盔佩戴装置强度性能</w:t>
            </w:r>
          </w:p>
        </w:tc>
        <w:tc>
          <w:tcPr>
            <w:tcW w:w="20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5.8</w:t>
            </w:r>
          </w:p>
        </w:tc>
        <w:tc>
          <w:tcPr>
            <w:tcW w:w="8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vAlign w:val="center"/>
          </w:tcPr>
          <w:p>
            <w:pPr>
              <w:adjustRightInd w:val="0"/>
              <w:snapToGrid w:val="0"/>
              <w:spacing w:line="288" w:lineRule="auto"/>
              <w:jc w:val="center"/>
              <w:rPr>
                <w:rFonts w:ascii="仿宋" w:hAnsi="仿宋" w:eastAsia="仿宋" w:cs="仿宋"/>
                <w:sz w:val="24"/>
                <w:szCs w:val="24"/>
              </w:rPr>
            </w:pPr>
          </w:p>
        </w:tc>
        <w:tc>
          <w:tcPr>
            <w:tcW w:w="71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vAlign w:val="center"/>
          </w:tcPr>
          <w:p>
            <w:pPr>
              <w:adjustRightInd w:val="0"/>
              <w:snapToGrid w:val="0"/>
              <w:spacing w:line="288" w:lineRule="auto"/>
              <w:jc w:val="center"/>
              <w:rPr>
                <w:rFonts w:ascii="仿宋" w:hAnsi="仿宋" w:eastAsia="仿宋" w:cs="仿宋"/>
                <w:sz w:val="24"/>
                <w:szCs w:val="24"/>
              </w:rPr>
            </w:pPr>
          </w:p>
        </w:tc>
        <w:tc>
          <w:tcPr>
            <w:tcW w:w="792" w:type="dxa"/>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8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头盔吸收碰撞能量性能（低温）</w:t>
            </w:r>
          </w:p>
        </w:tc>
        <w:tc>
          <w:tcPr>
            <w:tcW w:w="20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5.9</w:t>
            </w:r>
          </w:p>
        </w:tc>
        <w:tc>
          <w:tcPr>
            <w:tcW w:w="8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vAlign w:val="center"/>
          </w:tcPr>
          <w:p>
            <w:pPr>
              <w:adjustRightInd w:val="0"/>
              <w:snapToGrid w:val="0"/>
              <w:spacing w:line="288" w:lineRule="auto"/>
              <w:jc w:val="center"/>
              <w:rPr>
                <w:rFonts w:ascii="仿宋" w:hAnsi="仿宋" w:eastAsia="仿宋" w:cs="仿宋"/>
                <w:sz w:val="24"/>
                <w:szCs w:val="24"/>
              </w:rPr>
            </w:pPr>
          </w:p>
        </w:tc>
        <w:tc>
          <w:tcPr>
            <w:tcW w:w="71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vAlign w:val="center"/>
          </w:tcPr>
          <w:p>
            <w:pPr>
              <w:adjustRightInd w:val="0"/>
              <w:snapToGrid w:val="0"/>
              <w:spacing w:line="288" w:lineRule="auto"/>
              <w:jc w:val="center"/>
              <w:rPr>
                <w:rFonts w:ascii="仿宋" w:hAnsi="仿宋" w:eastAsia="仿宋" w:cs="仿宋"/>
                <w:sz w:val="24"/>
                <w:szCs w:val="24"/>
              </w:rPr>
            </w:pPr>
          </w:p>
        </w:tc>
        <w:tc>
          <w:tcPr>
            <w:tcW w:w="792" w:type="dxa"/>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18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头盔耐穿透性能（低温）</w:t>
            </w:r>
          </w:p>
        </w:tc>
        <w:tc>
          <w:tcPr>
            <w:tcW w:w="20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811-2010 5.10</w:t>
            </w:r>
          </w:p>
        </w:tc>
        <w:tc>
          <w:tcPr>
            <w:tcW w:w="8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6" w:type="dxa"/>
            <w:vAlign w:val="center"/>
          </w:tcPr>
          <w:p>
            <w:pPr>
              <w:adjustRightInd w:val="0"/>
              <w:snapToGrid w:val="0"/>
              <w:spacing w:line="288" w:lineRule="auto"/>
              <w:jc w:val="center"/>
              <w:rPr>
                <w:rFonts w:ascii="仿宋" w:hAnsi="仿宋" w:eastAsia="仿宋" w:cs="仿宋"/>
                <w:sz w:val="24"/>
                <w:szCs w:val="24"/>
              </w:rPr>
            </w:pPr>
          </w:p>
        </w:tc>
        <w:tc>
          <w:tcPr>
            <w:tcW w:w="71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66" w:type="dxa"/>
            <w:vAlign w:val="center"/>
          </w:tcPr>
          <w:p>
            <w:pPr>
              <w:adjustRightInd w:val="0"/>
              <w:snapToGrid w:val="0"/>
              <w:spacing w:line="288" w:lineRule="auto"/>
              <w:jc w:val="center"/>
              <w:rPr>
                <w:rFonts w:ascii="仿宋" w:hAnsi="仿宋" w:eastAsia="仿宋" w:cs="仿宋"/>
                <w:sz w:val="24"/>
                <w:szCs w:val="24"/>
              </w:rPr>
            </w:pPr>
          </w:p>
        </w:tc>
        <w:tc>
          <w:tcPr>
            <w:tcW w:w="792" w:type="dxa"/>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434" w:type="dxa"/>
            <w:gridSpan w:val="8"/>
            <w:vAlign w:val="center"/>
          </w:tcPr>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注1：按检验项目顺序进行检测。</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注2：样品在实施头盔吸收碰撞能量性能（低温）、头盔耐穿透性能（低温）项目时应符合GB 811-2010 4.1.2 c)的要求。</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注3：对于配有护目镜的头盔，进行头盔护目镜项目的检验，反之则不进行该项检验。</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4：头盔耐穿透性能（低温）项目应在头盔吸收碰撞能量性能（低温）项目检测完毕后立即进行。头盔耐穿透性能（低温）试验中，头盔壳体材料为工程塑料（ABS）的，穿刺点为中心、半径≤3cm的细小裂缝，不属于裂口。</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注5：头盔吸收碰撞能量性能（低温）和头盔耐穿透性能（低温）试验中，头盔壳体材料为多层复合材料的，裂口未能贯穿整个壳体、直达缓冲层的，不属于裂口。</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6：若某一检验项目出现不合格后，所有检验样品均已失效而未能进行后续项目的检验，应判定产品该检验项目不合格，并在检验报告中备注未进行检验的后续项目情况。产品若进行复检，应将后续项目作为关联项目一起复检。</w:t>
            </w:r>
          </w:p>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注7：头盔耐穿透性能（低温）项目出现不合格需要进行复检时，应进行头盔吸收碰撞能量性能（低温）、头盔耐穿透性能（低温）两项试验。</w:t>
            </w:r>
          </w:p>
        </w:tc>
      </w:tr>
    </w:tbl>
    <w:p>
      <w:pPr>
        <w:spacing w:line="360" w:lineRule="auto"/>
        <w:ind w:left="420" w:firstLine="420"/>
        <w:rPr>
          <w:rFonts w:ascii="宋体" w:hAnsi="宋体" w:eastAsia="宋体" w:cs="宋体"/>
          <w:color w:val="000000"/>
          <w:sz w:val="22"/>
        </w:rPr>
      </w:pPr>
      <w:r>
        <w:rPr>
          <w:rFonts w:hint="eastAsia" w:ascii="宋体" w:hAnsi="宋体" w:eastAsia="宋体" w:cs="宋体"/>
          <w:color w:val="000000"/>
          <w:sz w:val="22"/>
        </w:rPr>
        <w:t>2.摩托车乘员头盔、电动自行车乘员头盔（执行标准为GB 811-2022）</w:t>
      </w:r>
    </w:p>
    <w:tbl>
      <w:tblPr>
        <w:tblStyle w:val="4"/>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848"/>
        <w:gridCol w:w="2036"/>
        <w:gridCol w:w="736"/>
        <w:gridCol w:w="710"/>
        <w:gridCol w:w="799"/>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20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结构-佩戴装置</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6.2</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视野</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6.4</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护目镜冲击强度</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6.5.1</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护目镜可见光透过率</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6.5.2</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护目镜耐磨性</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6.5.3</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固定装置稳定性</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6.9</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佩戴装置强度</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6.10</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吸收碰撞能量（低温）</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6.11</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w:t>
            </w:r>
          </w:p>
        </w:tc>
        <w:tc>
          <w:tcPr>
            <w:tcW w:w="184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耐穿透（低温）</w:t>
            </w:r>
          </w:p>
        </w:tc>
        <w:tc>
          <w:tcPr>
            <w:tcW w:w="20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811-2022 6.12</w:t>
            </w:r>
          </w:p>
        </w:tc>
        <w:tc>
          <w:tcPr>
            <w:tcW w:w="73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7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287" w:type="dxa"/>
            <w:gridSpan w:val="8"/>
            <w:vAlign w:val="center"/>
          </w:tcPr>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注：1#样品按顺序检测结构-佩戴装置、视野、护目镜冲击强度、固定装置稳定性、吸收碰撞能量（低温）项目，2#样品按顺序检测护目镜可见光透过率、护目镜耐磨性、佩戴装置强度、耐穿透（低温）项目。</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强制性标准</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4706.1-2005 《家用和类似用途电器的安全 第1部分：通用要求》</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4706.18-2014 《家用和类似用途电器的安全 电池充电器的特殊要求》</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42296-2022 《电动自行车用充电器安全技术要求》</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811-2010《摩托车乘员头盔》</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811-2022《摩托车、电动自行车乘员头盔》</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推荐性标准</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GB/T 36972-2018《电动自行车锂离子电池》</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现行有效的企业标准、团体标准、地方标准及产品明示质量要求</w:t>
      </w:r>
    </w:p>
    <w:p>
      <w:pPr>
        <w:adjustRightInd w:val="0"/>
        <w:snapToGrid w:val="0"/>
        <w:spacing w:line="500" w:lineRule="exact"/>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（二）判定原则</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经检验，检验项目全部合格，判定为抽取的样本所检项目未发现不合格；检验项目中任一项或一项以上不合格，判定为被抽查产品不合格。</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当被检样品明示的质量要求优于监督抽查实施细则中依据的标准要求时，应按被检样品明示的质量要求判定；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当被检样品明示的质量要求劣于或不包含监督抽查实施细则中依据的强制性标准要求时，应按照强制性标准要求判定；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当被检样品明示的质量要求不包含监督抽查实施细则中依据的推荐性标准要求时，该指标不参与判定，但应在检验报告中作出说明；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当被检样品未能提供有效的企业标准时，按相关国家或行业标准进行判定；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按照产品质量相关法律法规的规定判定。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检验中发现因样品失效或者其他原因致使检验无法进行的，检验人员应如实记录，并提供相关证明材料，报送组织监督抽查的市场监管部门。</w:t>
      </w:r>
      <w:bookmarkStart w:id="0" w:name="_GoBack"/>
      <w:bookmarkEnd w:id="0"/>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7B524E"/>
    <w:multiLevelType w:val="singleLevel"/>
    <w:tmpl w:val="367B524E"/>
    <w:lvl w:ilvl="0" w:tentative="0">
      <w:start w:val="1"/>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549472B7"/>
    <w:rsid w:val="6DE83610"/>
    <w:rsid w:val="73286AD9"/>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2023-07-27T03:06:14Z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