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佛冈县市场监督管理局消防器材</w:t>
      </w:r>
      <w:bookmarkStart w:id="0" w:name="_GoBack"/>
      <w:bookmarkEnd w:id="0"/>
      <w:r>
        <w:rPr>
          <w:rFonts w:hint="eastAsia" w:ascii="方正小标宋_GBK" w:hAnsi="方正小标宋_GBK" w:eastAsia="方正小标宋_GBK" w:cs="方正小标宋_GBK"/>
          <w:color w:val="auto"/>
          <w:sz w:val="44"/>
          <w:szCs w:val="44"/>
          <w:lang w:val="en-US" w:eastAsia="zh-CN"/>
        </w:rPr>
        <w:t>质量监督抽查实施细则（2023年）</w:t>
      </w:r>
    </w:p>
    <w:p/>
    <w:p>
      <w:pPr>
        <w:numPr>
          <w:ilvl w:val="0"/>
          <w:numId w:val="2"/>
        </w:numPr>
        <w:spacing w:line="480" w:lineRule="auto"/>
        <w:ind w:firstLine="640" w:firstLineChars="200"/>
        <w:rPr>
          <w:rFonts w:ascii="黑体" w:hAnsi="黑体" w:eastAsia="黑体" w:cs="黑体"/>
          <w:sz w:val="32"/>
          <w:szCs w:val="32"/>
        </w:rPr>
      </w:pPr>
      <w:r>
        <w:rPr>
          <w:rFonts w:hint="eastAsia" w:ascii="黑体" w:hAnsi="黑体" w:eastAsia="黑体" w:cs="黑体"/>
          <w:sz w:val="32"/>
          <w:szCs w:val="32"/>
        </w:rPr>
        <w:t>抽样方法</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以随机抽样的方式在生产者、被抽样经营者的待销产品中抽取。</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随机数一般可使用随机数表等方法产生。</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抽查数量：每款产品抽取2组样本，第1组用于检验，第2组用于备样。具体抽样数量如下：</w:t>
      </w:r>
    </w:p>
    <w:p/>
    <w:tbl>
      <w:tblPr>
        <w:tblStyle w:val="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407"/>
        <w:gridCol w:w="1705"/>
        <w:gridCol w:w="170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03"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407"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705"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第1组数量</w:t>
            </w:r>
          </w:p>
        </w:tc>
        <w:tc>
          <w:tcPr>
            <w:tcW w:w="1705"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第2组数量</w:t>
            </w:r>
          </w:p>
        </w:tc>
        <w:tc>
          <w:tcPr>
            <w:tcW w:w="1708" w:type="dxa"/>
            <w:tcBorders>
              <w:bottom w:val="single" w:color="auto" w:sz="4" w:space="0"/>
            </w:tcBorders>
            <w:shd w:val="clear" w:color="auto" w:fill="auto"/>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2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洒水喷头</w:t>
            </w: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5只</w:t>
            </w: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5只</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tcBorders>
              <w:top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2407" w:type="dxa"/>
            <w:tcBorders>
              <w:top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消防水带</w:t>
            </w:r>
          </w:p>
        </w:tc>
        <w:tc>
          <w:tcPr>
            <w:tcW w:w="1705" w:type="dxa"/>
            <w:tcBorders>
              <w:top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1根</w:t>
            </w:r>
          </w:p>
        </w:tc>
        <w:tc>
          <w:tcPr>
            <w:tcW w:w="1705" w:type="dxa"/>
            <w:tcBorders>
              <w:top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1根</w:t>
            </w:r>
          </w:p>
        </w:tc>
        <w:tc>
          <w:tcPr>
            <w:tcW w:w="1708" w:type="dxa"/>
            <w:tcBorders>
              <w:top w:val="single" w:color="auto" w:sz="4" w:space="0"/>
            </w:tcBorders>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24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消防应急灯具</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2个</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2个</w:t>
            </w:r>
          </w:p>
        </w:tc>
        <w:tc>
          <w:tcPr>
            <w:tcW w:w="1708"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24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手提式灭火器</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6具</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6具</w:t>
            </w:r>
          </w:p>
        </w:tc>
        <w:tc>
          <w:tcPr>
            <w:tcW w:w="1708" w:type="dxa"/>
            <w:vAlign w:val="center"/>
          </w:tcPr>
          <w:p>
            <w:pPr>
              <w:adjustRightInd w:val="0"/>
              <w:snapToGrid w:val="0"/>
              <w:spacing w:line="288" w:lineRule="auto"/>
              <w:jc w:val="center"/>
              <w:rPr>
                <w:rFonts w:ascii="仿宋" w:hAnsi="仿宋" w:eastAsia="仿宋" w:cs="仿宋"/>
                <w:sz w:val="24"/>
                <w:szCs w:val="24"/>
              </w:rPr>
            </w:pP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二、主要检验项目及检验项目属性划分</w:t>
      </w:r>
    </w:p>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（1）洒水喷头</w:t>
      </w:r>
    </w:p>
    <w:tbl>
      <w:tblPr>
        <w:tblStyle w:val="4"/>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47"/>
        <w:gridCol w:w="1913"/>
        <w:gridCol w:w="745"/>
        <w:gridCol w:w="811"/>
        <w:gridCol w:w="811"/>
        <w:gridCol w:w="81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9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水压密封</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5135.1-2019</w:t>
            </w:r>
          </w:p>
        </w:tc>
        <w:tc>
          <w:tcPr>
            <w:tcW w:w="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5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64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耐水压强度性能</w:t>
            </w:r>
          </w:p>
        </w:tc>
        <w:tc>
          <w:tcPr>
            <w:tcW w:w="191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5135.1-2019</w:t>
            </w:r>
          </w:p>
        </w:tc>
        <w:tc>
          <w:tcPr>
            <w:tcW w:w="74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1" w:type="dxa"/>
            <w:vAlign w:val="center"/>
          </w:tcPr>
          <w:p>
            <w:pPr>
              <w:adjustRightInd w:val="0"/>
              <w:snapToGrid w:val="0"/>
              <w:spacing w:line="288" w:lineRule="auto"/>
              <w:jc w:val="center"/>
              <w:rPr>
                <w:rFonts w:ascii="仿宋" w:hAnsi="仿宋" w:eastAsia="仿宋" w:cs="仿宋"/>
                <w:sz w:val="24"/>
                <w:szCs w:val="24"/>
              </w:rPr>
            </w:pPr>
          </w:p>
        </w:tc>
        <w:tc>
          <w:tcPr>
            <w:tcW w:w="8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1" w:type="dxa"/>
            <w:vAlign w:val="center"/>
          </w:tcPr>
          <w:p>
            <w:pPr>
              <w:adjustRightInd w:val="0"/>
              <w:snapToGrid w:val="0"/>
              <w:spacing w:line="288" w:lineRule="auto"/>
              <w:jc w:val="center"/>
              <w:rPr>
                <w:rFonts w:ascii="仿宋" w:hAnsi="仿宋" w:eastAsia="仿宋" w:cs="仿宋"/>
                <w:sz w:val="24"/>
                <w:szCs w:val="24"/>
              </w:rPr>
            </w:pPr>
          </w:p>
        </w:tc>
        <w:tc>
          <w:tcPr>
            <w:tcW w:w="911" w:type="dxa"/>
          </w:tcPr>
          <w:p>
            <w:pPr>
              <w:adjustRightInd w:val="0"/>
              <w:snapToGrid w:val="0"/>
              <w:spacing w:line="288" w:lineRule="auto"/>
              <w:jc w:val="center"/>
              <w:rPr>
                <w:rFonts w:ascii="仿宋" w:hAnsi="仿宋" w:eastAsia="仿宋" w:cs="仿宋"/>
                <w:sz w:val="24"/>
                <w:szCs w:val="24"/>
              </w:rPr>
            </w:pPr>
          </w:p>
        </w:tc>
      </w:tr>
    </w:tbl>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（2）消防水带</w:t>
      </w:r>
    </w:p>
    <w:tbl>
      <w:tblPr>
        <w:tblStyle w:val="4"/>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81"/>
        <w:gridCol w:w="1739"/>
        <w:gridCol w:w="823"/>
        <w:gridCol w:w="853"/>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17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7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试验压力</w:t>
            </w:r>
          </w:p>
        </w:tc>
        <w:tc>
          <w:tcPr>
            <w:tcW w:w="17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6246-2011</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53"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7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最小爆破压力</w:t>
            </w:r>
          </w:p>
        </w:tc>
        <w:tc>
          <w:tcPr>
            <w:tcW w:w="17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6246-2011</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53"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7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附着强度</w:t>
            </w:r>
          </w:p>
        </w:tc>
        <w:tc>
          <w:tcPr>
            <w:tcW w:w="17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6246-2011</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53"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78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热空气老化性能</w:t>
            </w:r>
          </w:p>
        </w:tc>
        <w:tc>
          <w:tcPr>
            <w:tcW w:w="173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6246-2011</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53"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bl>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（3）消防应急灯具</w:t>
      </w:r>
    </w:p>
    <w:tbl>
      <w:tblPr>
        <w:tblStyle w:val="4"/>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46"/>
        <w:gridCol w:w="1060"/>
        <w:gridCol w:w="1602"/>
        <w:gridCol w:w="823"/>
        <w:gridCol w:w="821"/>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9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1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9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标志</w:t>
            </w:r>
          </w:p>
        </w:tc>
        <w:tc>
          <w:tcPr>
            <w:tcW w:w="1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906" w:type="dxa"/>
            <w:gridSpan w:val="2"/>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外观检查</w:t>
            </w:r>
          </w:p>
        </w:tc>
        <w:tc>
          <w:tcPr>
            <w:tcW w:w="160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906" w:type="dxa"/>
            <w:gridSpan w:val="2"/>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基本功能试验</w:t>
            </w:r>
          </w:p>
        </w:tc>
        <w:tc>
          <w:tcPr>
            <w:tcW w:w="160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7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906" w:type="dxa"/>
            <w:gridSpan w:val="2"/>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主要部件性能检查</w:t>
            </w:r>
          </w:p>
        </w:tc>
        <w:tc>
          <w:tcPr>
            <w:tcW w:w="160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11" w:type="dxa"/>
            <w:vMerge w:val="restart"/>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846" w:type="dxa"/>
            <w:vMerge w:val="restart"/>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充、放电试验</w:t>
            </w:r>
          </w:p>
        </w:tc>
        <w:tc>
          <w:tcPr>
            <w:tcW w:w="106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充电时间</w:t>
            </w:r>
          </w:p>
        </w:tc>
        <w:tc>
          <w:tcPr>
            <w:tcW w:w="1602" w:type="dxa"/>
            <w:vMerge w:val="restart"/>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Merge w:val="restart"/>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Merge w:val="restart"/>
            <w:vAlign w:val="center"/>
          </w:tcPr>
          <w:p>
            <w:pPr>
              <w:adjustRightInd w:val="0"/>
              <w:snapToGrid w:val="0"/>
              <w:spacing w:line="288" w:lineRule="auto"/>
              <w:jc w:val="center"/>
              <w:rPr>
                <w:rFonts w:ascii="仿宋" w:hAnsi="仿宋" w:eastAsia="仿宋" w:cs="仿宋"/>
                <w:sz w:val="24"/>
                <w:szCs w:val="24"/>
              </w:rPr>
            </w:pPr>
          </w:p>
        </w:tc>
        <w:tc>
          <w:tcPr>
            <w:tcW w:w="900" w:type="dxa"/>
            <w:vMerge w:val="restart"/>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Merge w:val="restart"/>
            <w:vAlign w:val="center"/>
          </w:tcPr>
          <w:p>
            <w:pPr>
              <w:adjustRightInd w:val="0"/>
              <w:snapToGrid w:val="0"/>
              <w:spacing w:line="288" w:lineRule="auto"/>
              <w:jc w:val="center"/>
              <w:rPr>
                <w:rFonts w:ascii="仿宋" w:hAnsi="仿宋" w:eastAsia="仿宋" w:cs="仿宋"/>
                <w:sz w:val="24"/>
                <w:szCs w:val="24"/>
              </w:rPr>
            </w:pPr>
          </w:p>
        </w:tc>
        <w:tc>
          <w:tcPr>
            <w:tcW w:w="792" w:type="dxa"/>
            <w:vMerge w:val="restart"/>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11" w:type="dxa"/>
            <w:vMerge w:val="continue"/>
            <w:vAlign w:val="center"/>
          </w:tcPr>
          <w:p>
            <w:pPr>
              <w:adjustRightInd w:val="0"/>
              <w:snapToGrid w:val="0"/>
              <w:spacing w:line="288" w:lineRule="auto"/>
              <w:jc w:val="center"/>
              <w:rPr>
                <w:rFonts w:ascii="仿宋" w:hAnsi="仿宋" w:eastAsia="仿宋" w:cs="仿宋"/>
                <w:sz w:val="24"/>
                <w:szCs w:val="24"/>
              </w:rPr>
            </w:pPr>
          </w:p>
        </w:tc>
        <w:tc>
          <w:tcPr>
            <w:tcW w:w="846" w:type="dxa"/>
            <w:vMerge w:val="continue"/>
            <w:vAlign w:val="center"/>
          </w:tcPr>
          <w:p>
            <w:pPr>
              <w:adjustRightInd w:val="0"/>
              <w:snapToGrid w:val="0"/>
              <w:spacing w:line="288" w:lineRule="auto"/>
              <w:jc w:val="center"/>
              <w:rPr>
                <w:rFonts w:ascii="仿宋" w:hAnsi="仿宋" w:eastAsia="仿宋" w:cs="仿宋"/>
                <w:sz w:val="24"/>
                <w:szCs w:val="24"/>
              </w:rPr>
            </w:pPr>
          </w:p>
        </w:tc>
        <w:tc>
          <w:tcPr>
            <w:tcW w:w="106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最大连续过充电电流</w:t>
            </w:r>
          </w:p>
        </w:tc>
        <w:tc>
          <w:tcPr>
            <w:tcW w:w="1602" w:type="dxa"/>
            <w:vMerge w:val="continue"/>
            <w:vAlign w:val="center"/>
          </w:tcPr>
          <w:p>
            <w:pPr>
              <w:adjustRightInd w:val="0"/>
              <w:snapToGrid w:val="0"/>
              <w:spacing w:line="288" w:lineRule="auto"/>
              <w:jc w:val="center"/>
              <w:rPr>
                <w:rFonts w:ascii="仿宋" w:hAnsi="仿宋" w:eastAsia="仿宋" w:cs="仿宋"/>
                <w:sz w:val="24"/>
                <w:szCs w:val="24"/>
              </w:rPr>
            </w:pPr>
          </w:p>
        </w:tc>
        <w:tc>
          <w:tcPr>
            <w:tcW w:w="823" w:type="dxa"/>
            <w:vMerge w:val="continue"/>
            <w:vAlign w:val="center"/>
          </w:tcPr>
          <w:p>
            <w:pPr>
              <w:adjustRightInd w:val="0"/>
              <w:snapToGrid w:val="0"/>
              <w:spacing w:line="288" w:lineRule="auto"/>
              <w:jc w:val="center"/>
              <w:rPr>
                <w:rFonts w:ascii="仿宋" w:hAnsi="仿宋" w:eastAsia="仿宋" w:cs="仿宋"/>
                <w:sz w:val="24"/>
                <w:szCs w:val="24"/>
              </w:rPr>
            </w:pPr>
          </w:p>
        </w:tc>
        <w:tc>
          <w:tcPr>
            <w:tcW w:w="821" w:type="dxa"/>
            <w:vMerge w:val="continue"/>
            <w:vAlign w:val="center"/>
          </w:tcPr>
          <w:p>
            <w:pPr>
              <w:adjustRightInd w:val="0"/>
              <w:snapToGrid w:val="0"/>
              <w:spacing w:line="288" w:lineRule="auto"/>
              <w:jc w:val="center"/>
              <w:rPr>
                <w:rFonts w:ascii="仿宋" w:hAnsi="仿宋" w:eastAsia="仿宋" w:cs="仿宋"/>
                <w:sz w:val="24"/>
                <w:szCs w:val="24"/>
              </w:rPr>
            </w:pPr>
          </w:p>
        </w:tc>
        <w:tc>
          <w:tcPr>
            <w:tcW w:w="900" w:type="dxa"/>
            <w:vMerge w:val="continue"/>
            <w:vAlign w:val="center"/>
          </w:tcPr>
          <w:p>
            <w:pPr>
              <w:adjustRightInd w:val="0"/>
              <w:snapToGrid w:val="0"/>
              <w:spacing w:line="288" w:lineRule="auto"/>
              <w:jc w:val="center"/>
              <w:rPr>
                <w:rFonts w:ascii="仿宋" w:hAnsi="仿宋" w:eastAsia="仿宋" w:cs="仿宋"/>
                <w:sz w:val="24"/>
                <w:szCs w:val="24"/>
              </w:rPr>
            </w:pPr>
          </w:p>
        </w:tc>
        <w:tc>
          <w:tcPr>
            <w:tcW w:w="792" w:type="dxa"/>
            <w:vMerge w:val="continue"/>
            <w:vAlign w:val="center"/>
          </w:tcPr>
          <w:p>
            <w:pPr>
              <w:adjustRightInd w:val="0"/>
              <w:snapToGrid w:val="0"/>
              <w:spacing w:line="288" w:lineRule="auto"/>
              <w:jc w:val="center"/>
              <w:rPr>
                <w:rFonts w:ascii="仿宋" w:hAnsi="仿宋" w:eastAsia="仿宋" w:cs="仿宋"/>
                <w:sz w:val="24"/>
                <w:szCs w:val="24"/>
              </w:rPr>
            </w:pPr>
          </w:p>
        </w:tc>
        <w:tc>
          <w:tcPr>
            <w:tcW w:w="792" w:type="dxa"/>
            <w:vMerge w:val="continue"/>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11" w:type="dxa"/>
            <w:vMerge w:val="continue"/>
            <w:vAlign w:val="center"/>
          </w:tcPr>
          <w:p>
            <w:pPr>
              <w:adjustRightInd w:val="0"/>
              <w:snapToGrid w:val="0"/>
              <w:spacing w:line="288" w:lineRule="auto"/>
              <w:jc w:val="center"/>
              <w:rPr>
                <w:rFonts w:ascii="仿宋" w:hAnsi="仿宋" w:eastAsia="仿宋" w:cs="仿宋"/>
                <w:sz w:val="24"/>
                <w:szCs w:val="24"/>
              </w:rPr>
            </w:pPr>
          </w:p>
        </w:tc>
        <w:tc>
          <w:tcPr>
            <w:tcW w:w="846" w:type="dxa"/>
            <w:vMerge w:val="continue"/>
            <w:vAlign w:val="center"/>
          </w:tcPr>
          <w:p>
            <w:pPr>
              <w:adjustRightInd w:val="0"/>
              <w:snapToGrid w:val="0"/>
              <w:spacing w:line="288" w:lineRule="auto"/>
              <w:jc w:val="center"/>
              <w:rPr>
                <w:rFonts w:ascii="仿宋" w:hAnsi="仿宋" w:eastAsia="仿宋" w:cs="仿宋"/>
                <w:sz w:val="24"/>
                <w:szCs w:val="24"/>
              </w:rPr>
            </w:pPr>
          </w:p>
        </w:tc>
        <w:tc>
          <w:tcPr>
            <w:tcW w:w="106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放电终止电压</w:t>
            </w:r>
          </w:p>
        </w:tc>
        <w:tc>
          <w:tcPr>
            <w:tcW w:w="1602" w:type="dxa"/>
            <w:vMerge w:val="continue"/>
            <w:vAlign w:val="center"/>
          </w:tcPr>
          <w:p>
            <w:pPr>
              <w:adjustRightInd w:val="0"/>
              <w:snapToGrid w:val="0"/>
              <w:spacing w:line="288" w:lineRule="auto"/>
              <w:jc w:val="center"/>
              <w:rPr>
                <w:rFonts w:ascii="仿宋" w:hAnsi="仿宋" w:eastAsia="仿宋" w:cs="仿宋"/>
                <w:sz w:val="24"/>
                <w:szCs w:val="24"/>
              </w:rPr>
            </w:pPr>
          </w:p>
        </w:tc>
        <w:tc>
          <w:tcPr>
            <w:tcW w:w="823" w:type="dxa"/>
            <w:vMerge w:val="continue"/>
            <w:vAlign w:val="center"/>
          </w:tcPr>
          <w:p>
            <w:pPr>
              <w:adjustRightInd w:val="0"/>
              <w:snapToGrid w:val="0"/>
              <w:spacing w:line="288" w:lineRule="auto"/>
              <w:jc w:val="center"/>
              <w:rPr>
                <w:rFonts w:ascii="仿宋" w:hAnsi="仿宋" w:eastAsia="仿宋" w:cs="仿宋"/>
                <w:sz w:val="24"/>
                <w:szCs w:val="24"/>
              </w:rPr>
            </w:pPr>
          </w:p>
        </w:tc>
        <w:tc>
          <w:tcPr>
            <w:tcW w:w="821" w:type="dxa"/>
            <w:vMerge w:val="continue"/>
            <w:vAlign w:val="center"/>
          </w:tcPr>
          <w:p>
            <w:pPr>
              <w:adjustRightInd w:val="0"/>
              <w:snapToGrid w:val="0"/>
              <w:spacing w:line="288" w:lineRule="auto"/>
              <w:jc w:val="center"/>
              <w:rPr>
                <w:rFonts w:ascii="仿宋" w:hAnsi="仿宋" w:eastAsia="仿宋" w:cs="仿宋"/>
                <w:sz w:val="24"/>
                <w:szCs w:val="24"/>
              </w:rPr>
            </w:pPr>
          </w:p>
        </w:tc>
        <w:tc>
          <w:tcPr>
            <w:tcW w:w="900" w:type="dxa"/>
            <w:vMerge w:val="continue"/>
            <w:vAlign w:val="center"/>
          </w:tcPr>
          <w:p>
            <w:pPr>
              <w:adjustRightInd w:val="0"/>
              <w:snapToGrid w:val="0"/>
              <w:spacing w:line="288" w:lineRule="auto"/>
              <w:jc w:val="center"/>
              <w:rPr>
                <w:rFonts w:ascii="仿宋" w:hAnsi="仿宋" w:eastAsia="仿宋" w:cs="仿宋"/>
                <w:sz w:val="24"/>
                <w:szCs w:val="24"/>
              </w:rPr>
            </w:pPr>
          </w:p>
        </w:tc>
        <w:tc>
          <w:tcPr>
            <w:tcW w:w="792" w:type="dxa"/>
            <w:vMerge w:val="continue"/>
            <w:vAlign w:val="center"/>
          </w:tcPr>
          <w:p>
            <w:pPr>
              <w:adjustRightInd w:val="0"/>
              <w:snapToGrid w:val="0"/>
              <w:spacing w:line="288" w:lineRule="auto"/>
              <w:jc w:val="center"/>
              <w:rPr>
                <w:rFonts w:ascii="仿宋" w:hAnsi="仿宋" w:eastAsia="仿宋" w:cs="仿宋"/>
                <w:sz w:val="24"/>
                <w:szCs w:val="24"/>
              </w:rPr>
            </w:pPr>
          </w:p>
        </w:tc>
        <w:tc>
          <w:tcPr>
            <w:tcW w:w="792" w:type="dxa"/>
            <w:vMerge w:val="continue"/>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1906" w:type="dxa"/>
            <w:gridSpan w:val="2"/>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重复转换试验</w:t>
            </w:r>
          </w:p>
        </w:tc>
        <w:tc>
          <w:tcPr>
            <w:tcW w:w="160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906" w:type="dxa"/>
            <w:gridSpan w:val="2"/>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电压波动试验</w:t>
            </w:r>
          </w:p>
        </w:tc>
        <w:tc>
          <w:tcPr>
            <w:tcW w:w="160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1906" w:type="dxa"/>
            <w:gridSpan w:val="2"/>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转换电压试验</w:t>
            </w:r>
          </w:p>
        </w:tc>
        <w:tc>
          <w:tcPr>
            <w:tcW w:w="160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9</w:t>
            </w:r>
          </w:p>
        </w:tc>
        <w:tc>
          <w:tcPr>
            <w:tcW w:w="1906" w:type="dxa"/>
            <w:gridSpan w:val="2"/>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绝缘电阻试验</w:t>
            </w:r>
          </w:p>
        </w:tc>
        <w:tc>
          <w:tcPr>
            <w:tcW w:w="160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1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10</w:t>
            </w:r>
          </w:p>
        </w:tc>
        <w:tc>
          <w:tcPr>
            <w:tcW w:w="1906" w:type="dxa"/>
            <w:gridSpan w:val="2"/>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耐压试验</w:t>
            </w:r>
          </w:p>
        </w:tc>
        <w:tc>
          <w:tcPr>
            <w:tcW w:w="160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17945-2010</w:t>
            </w:r>
          </w:p>
        </w:tc>
        <w:tc>
          <w:tcPr>
            <w:tcW w:w="82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2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bl>
    <w:p>
      <w:pPr>
        <w:widowControl/>
        <w:spacing w:line="360" w:lineRule="auto"/>
        <w:ind w:firstLine="616" w:firstLineChars="200"/>
        <w:rPr>
          <w:rFonts w:ascii="仿宋_GB2312" w:hAnsi="仿宋_GB2312" w:eastAsia="仿宋_GB2312" w:cs="仿宋_GB2312"/>
          <w:spacing w:val="-6"/>
          <w:kern w:val="0"/>
          <w:sz w:val="32"/>
          <w:szCs w:val="32"/>
        </w:rPr>
      </w:pPr>
    </w:p>
    <w:p>
      <w:pPr>
        <w:widowControl/>
        <w:spacing w:line="360" w:lineRule="auto"/>
        <w:ind w:firstLine="616" w:firstLineChars="200"/>
        <w:rPr>
          <w:rFonts w:ascii="仿宋_GB2312" w:hAnsi="仿宋_GB2312" w:eastAsia="仿宋_GB2312" w:cs="仿宋_GB2312"/>
          <w:spacing w:val="-6"/>
          <w:kern w:val="0"/>
          <w:sz w:val="32"/>
          <w:szCs w:val="32"/>
        </w:rPr>
      </w:pPr>
    </w:p>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（4）手提式灭火器</w:t>
      </w:r>
    </w:p>
    <w:tbl>
      <w:tblPr>
        <w:tblStyle w:val="4"/>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972"/>
        <w:gridCol w:w="1720"/>
        <w:gridCol w:w="868"/>
        <w:gridCol w:w="791"/>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1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9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灭火剂充装总量</w:t>
            </w:r>
          </w:p>
        </w:tc>
        <w:tc>
          <w:tcPr>
            <w:tcW w:w="172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4351.1-2005</w:t>
            </w:r>
          </w:p>
        </w:tc>
        <w:tc>
          <w:tcPr>
            <w:tcW w:w="868" w:type="dxa"/>
            <w:vAlign w:val="center"/>
          </w:tcPr>
          <w:p>
            <w:pPr>
              <w:adjustRightInd w:val="0"/>
              <w:snapToGrid w:val="0"/>
              <w:spacing w:line="400" w:lineRule="exact"/>
              <w:jc w:val="center"/>
              <w:rPr>
                <w:rFonts w:ascii="仿宋_GB2312" w:hAnsi="仿宋_GB2312" w:cs="仿宋_GB2312"/>
                <w:bCs/>
                <w:sz w:val="24"/>
                <w:szCs w:val="24"/>
              </w:rPr>
            </w:pPr>
            <w:r>
              <w:rPr>
                <w:rFonts w:ascii="仿宋_GB2312" w:hAnsi="仿宋_GB2312" w:cs="仿宋_GB2312"/>
                <w:bCs/>
                <w:sz w:val="24"/>
                <w:szCs w:val="24"/>
              </w:rPr>
              <w:t>●</w:t>
            </w:r>
          </w:p>
        </w:tc>
        <w:tc>
          <w:tcPr>
            <w:tcW w:w="791" w:type="dxa"/>
            <w:vAlign w:val="center"/>
          </w:tcPr>
          <w:p>
            <w:pPr>
              <w:adjustRightInd w:val="0"/>
              <w:snapToGrid w:val="0"/>
              <w:spacing w:line="400" w:lineRule="exact"/>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spacing w:line="400" w:lineRule="exact"/>
              <w:jc w:val="center"/>
              <w:rPr>
                <w:rFonts w:ascii="仿宋_GB2312" w:hAnsi="仿宋_GB2312" w:cs="仿宋_GB2312"/>
                <w:bCs/>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9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20℃喷射性能试验</w:t>
            </w:r>
          </w:p>
        </w:tc>
        <w:tc>
          <w:tcPr>
            <w:tcW w:w="172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4351.1-2005</w:t>
            </w:r>
          </w:p>
        </w:tc>
        <w:tc>
          <w:tcPr>
            <w:tcW w:w="868" w:type="dxa"/>
            <w:vAlign w:val="center"/>
          </w:tcPr>
          <w:p>
            <w:pPr>
              <w:jc w:val="center"/>
              <w:rPr>
                <w:sz w:val="24"/>
                <w:szCs w:val="24"/>
              </w:rPr>
            </w:pPr>
            <w:r>
              <w:rPr>
                <w:rFonts w:ascii="仿宋_GB2312" w:hAnsi="仿宋_GB2312" w:cs="仿宋_GB2312"/>
                <w:bCs/>
                <w:sz w:val="24"/>
                <w:szCs w:val="24"/>
              </w:rPr>
              <w:t>●</w:t>
            </w:r>
          </w:p>
        </w:tc>
        <w:tc>
          <w:tcPr>
            <w:tcW w:w="791" w:type="dxa"/>
            <w:vAlign w:val="center"/>
          </w:tcPr>
          <w:p>
            <w:pPr>
              <w:adjustRightInd w:val="0"/>
              <w:snapToGrid w:val="0"/>
              <w:spacing w:line="400" w:lineRule="exact"/>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spacing w:line="400" w:lineRule="exact"/>
              <w:jc w:val="center"/>
              <w:rPr>
                <w:rFonts w:ascii="仿宋_GB2312" w:hAnsi="仿宋_GB2312" w:cs="仿宋_GB2312"/>
                <w:bCs/>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99" w:type="dxa"/>
            <w:vAlign w:val="center"/>
          </w:tcPr>
          <w:p>
            <w:pPr>
              <w:adjustRightInd w:val="0"/>
              <w:snapToGrid w:val="0"/>
              <w:spacing w:line="400" w:lineRule="exact"/>
              <w:jc w:val="center"/>
              <w:rPr>
                <w:rFonts w:ascii="宋体" w:hAnsi="宋体" w:eastAsia="宋体" w:cs="宋体"/>
                <w:bCs/>
                <w:szCs w:val="21"/>
              </w:rPr>
            </w:pPr>
            <w:r>
              <w:rPr>
                <w:rFonts w:hint="eastAsia" w:ascii="宋体" w:hAnsi="宋体" w:eastAsia="宋体" w:cs="宋体"/>
                <w:bCs/>
                <w:szCs w:val="21"/>
              </w:rPr>
              <w:t>3</w:t>
            </w:r>
          </w:p>
        </w:tc>
        <w:tc>
          <w:tcPr>
            <w:tcW w:w="19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干粉灭火器振撞后的喷射试验</w:t>
            </w:r>
          </w:p>
        </w:tc>
        <w:tc>
          <w:tcPr>
            <w:tcW w:w="172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4351.1-2005</w:t>
            </w:r>
          </w:p>
        </w:tc>
        <w:tc>
          <w:tcPr>
            <w:tcW w:w="86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9" w:type="dxa"/>
            <w:vAlign w:val="center"/>
          </w:tcPr>
          <w:p>
            <w:pPr>
              <w:adjustRightInd w:val="0"/>
              <w:snapToGrid w:val="0"/>
              <w:spacing w:line="400" w:lineRule="exact"/>
              <w:jc w:val="center"/>
              <w:rPr>
                <w:rFonts w:ascii="宋体" w:hAnsi="宋体" w:eastAsia="宋体" w:cs="宋体"/>
                <w:bCs/>
                <w:szCs w:val="21"/>
              </w:rPr>
            </w:pPr>
            <w:r>
              <w:rPr>
                <w:rFonts w:hint="eastAsia" w:ascii="宋体" w:hAnsi="宋体" w:eastAsia="宋体" w:cs="宋体"/>
                <w:bCs/>
                <w:szCs w:val="21"/>
              </w:rPr>
              <w:t>4</w:t>
            </w:r>
          </w:p>
        </w:tc>
        <w:tc>
          <w:tcPr>
            <w:tcW w:w="19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B类火灭火试验</w:t>
            </w:r>
          </w:p>
        </w:tc>
        <w:tc>
          <w:tcPr>
            <w:tcW w:w="172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4351.1-2005</w:t>
            </w:r>
          </w:p>
        </w:tc>
        <w:tc>
          <w:tcPr>
            <w:tcW w:w="86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9" w:type="dxa"/>
            <w:vAlign w:val="center"/>
          </w:tcPr>
          <w:p>
            <w:pPr>
              <w:adjustRightInd w:val="0"/>
              <w:snapToGrid w:val="0"/>
              <w:spacing w:line="400" w:lineRule="exact"/>
              <w:jc w:val="center"/>
              <w:rPr>
                <w:rFonts w:ascii="宋体" w:hAnsi="宋体" w:eastAsia="宋体" w:cs="宋体"/>
                <w:bCs/>
                <w:szCs w:val="21"/>
              </w:rPr>
            </w:pPr>
            <w:r>
              <w:rPr>
                <w:rFonts w:hint="eastAsia" w:ascii="宋体" w:hAnsi="宋体" w:eastAsia="宋体" w:cs="宋体"/>
                <w:bCs/>
                <w:szCs w:val="21"/>
              </w:rPr>
              <w:t>5</w:t>
            </w:r>
          </w:p>
        </w:tc>
        <w:tc>
          <w:tcPr>
            <w:tcW w:w="19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筒(瓶)体水压试验</w:t>
            </w:r>
          </w:p>
        </w:tc>
        <w:tc>
          <w:tcPr>
            <w:tcW w:w="172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4351.1-2005</w:t>
            </w:r>
          </w:p>
        </w:tc>
        <w:tc>
          <w:tcPr>
            <w:tcW w:w="86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9" w:type="dxa"/>
            <w:vAlign w:val="center"/>
          </w:tcPr>
          <w:p>
            <w:pPr>
              <w:adjustRightInd w:val="0"/>
              <w:snapToGrid w:val="0"/>
              <w:spacing w:line="400" w:lineRule="exact"/>
              <w:jc w:val="center"/>
              <w:rPr>
                <w:rFonts w:ascii="宋体" w:hAnsi="宋体" w:eastAsia="宋体" w:cs="宋体"/>
                <w:bCs/>
                <w:szCs w:val="21"/>
              </w:rPr>
            </w:pPr>
            <w:r>
              <w:rPr>
                <w:rFonts w:hint="eastAsia" w:ascii="宋体" w:hAnsi="宋体" w:eastAsia="宋体" w:cs="宋体"/>
                <w:bCs/>
                <w:szCs w:val="21"/>
              </w:rPr>
              <w:t>6</w:t>
            </w:r>
          </w:p>
        </w:tc>
        <w:tc>
          <w:tcPr>
            <w:tcW w:w="197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筒体(瓶体)爆破试验</w:t>
            </w:r>
          </w:p>
        </w:tc>
        <w:tc>
          <w:tcPr>
            <w:tcW w:w="172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4351.1-2005</w:t>
            </w:r>
          </w:p>
        </w:tc>
        <w:tc>
          <w:tcPr>
            <w:tcW w:w="868"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1"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34" w:type="dxa"/>
            <w:gridSpan w:val="8"/>
            <w:vAlign w:val="center"/>
          </w:tcPr>
          <w:p>
            <w:pPr>
              <w:adjustRightInd w:val="0"/>
              <w:snapToGrid w:val="0"/>
              <w:spacing w:line="400" w:lineRule="exact"/>
              <w:jc w:val="left"/>
              <w:rPr>
                <w:rFonts w:ascii="仿宋_GB2312" w:hAnsi="仿宋_GB2312" w:eastAsia="仿宋_GB2312" w:cs="仿宋_GB2312"/>
                <w:bCs/>
                <w:sz w:val="24"/>
                <w:szCs w:val="24"/>
              </w:rPr>
            </w:pPr>
            <w:r>
              <w:rPr>
                <w:rFonts w:hint="eastAsia" w:ascii="仿宋" w:hAnsi="仿宋" w:eastAsia="仿宋" w:cs="仿宋"/>
                <w:sz w:val="24"/>
                <w:szCs w:val="24"/>
              </w:rPr>
              <w:t>注：1#样品检测顺序：灭火剂充装总量、保险装置解脱力、20℃喷射性能检查、筒(瓶)体水压试验、筒体(瓶体)爆破试验。2#样品检测顺序：灭火剂充装总量、保险装置解脱力、20℃喷射性能检查。3#样品检测项目：干粉灭火器振撞后的喷射试验。4#、5#、6#样品检测项目：B类火灭火试验。</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5135.1-2019《自动喷水灭火系统 第1部分：洒水喷头》</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6246-2011《消防水带》</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17945-2010《消防应急照明和疏散指示系统》</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4351.1-2005《手提式灭火器 第1部分：性能和结构要求》</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现行有效的企业标准、团体标准、地方标准及产品明示质量要求</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经检验，检验项目全部合格，判定为抽取的样本所检项目未发现不合格；检验项目中任一项或一项以上不合格，判定为被抽查产品不合格。</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当被检样品明示的质量要求优于监督抽查实施细则中依据的标准要求时，应按被检样品明示的质量要求判定；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当被检样品明示的质量要求劣于或不包含监督抽查实施细则中依据的强制性标准要求时，应按照强制性标准要求判定；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当被检样品明示的质量要求不包含监督抽查实施细则中依据的推荐性标准要求时，该指标不参与判定，但应在检验报告中作出说明；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当被检样品未能提供有效的企业标准时，按相关国家或行业标准进行判定；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按照产品质量相关法律法规的规定判定。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检验中发现因样品失效或者其他原因致使检验无法进行的，检验人员应如实记录，并提供相关证明材料，报送组织监督抽查的市场监管部门。</w:t>
      </w:r>
    </w:p>
    <w:p>
      <w:pPr>
        <w:rPr>
          <w:rFonts w:hint="default" w:eastAsia="方正小标宋简体" w:cs="方正小标宋简体"/>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3B03C0F"/>
    <w:multiLevelType w:val="singleLevel"/>
    <w:tmpl w:val="73B03C0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549472B7"/>
    <w:rsid w:val="725A1750"/>
    <w:rsid w:val="7328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2023-07-27T03:08:05Z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