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sdt>
      <w:sdtPr>
        <w:rPr>
          <w:rFonts w:hint="default" w:ascii="Times New Roman" w:hAnsi="Times New Roman" w:eastAsia="宋体" w:cs="Times New Roman"/>
          <w:snapToGrid w:val="0"/>
          <w:color w:val="000000" w:themeColor="text1"/>
          <w:kern w:val="2"/>
          <w:sz w:val="21"/>
          <w:highlight w:val="none"/>
          <w:lang w:val="en-US" w:eastAsia="zh-CN" w:bidi="ar-SA"/>
          <w14:textFill>
            <w14:solidFill>
              <w14:schemeClr w14:val="tx1"/>
            </w14:solidFill>
          </w14:textFill>
        </w:rPr>
        <w:id w:val="147465476"/>
        <w:docPartObj>
          <w:docPartGallery w:val="Table of Contents"/>
          <w:docPartUnique/>
        </w:docPartObj>
      </w:sdtPr>
      <w:sdtEndPr>
        <w:rPr>
          <w:rFonts w:hint="default" w:ascii="Times New Roman" w:hAnsi="Times New Roman" w:eastAsia="宋体" w:cs="Times New Roman"/>
          <w:bCs/>
          <w:snapToGrid w:val="0"/>
          <w:color w:val="000000" w:themeColor="text1"/>
          <w:kern w:val="2"/>
          <w:sz w:val="21"/>
          <w:szCs w:val="28"/>
          <w:highlight w:val="none"/>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000000" w:themeColor="text1"/>
              <w:sz w:val="32"/>
              <w:szCs w:val="28"/>
              <w:highlight w:val="none"/>
              <w14:textFill>
                <w14:solidFill>
                  <w14:schemeClr w14:val="tx1"/>
                </w14:solidFill>
              </w14:textFill>
            </w:rPr>
          </w:pPr>
          <w:r>
            <w:rPr>
              <w:rFonts w:hint="default" w:ascii="Times New Roman" w:hAnsi="Times New Roman" w:eastAsia="宋体" w:cs="Times New Roman"/>
              <w:b/>
              <w:bCs/>
              <w:color w:val="000000" w:themeColor="text1"/>
              <w:sz w:val="32"/>
              <w:szCs w:val="28"/>
              <w:highlight w:val="none"/>
              <w14:textFill>
                <w14:solidFill>
                  <w14:schemeClr w14:val="tx1"/>
                </w14:solidFill>
              </w14:textFill>
            </w:rPr>
            <w:t>目</w:t>
          </w:r>
          <w:r>
            <w:rPr>
              <w:rFonts w:hint="default" w:ascii="Times New Roman" w:hAnsi="Times New Roman" w:eastAsia="宋体" w:cs="Times New Roman"/>
              <w:b/>
              <w:bCs/>
              <w:color w:val="000000" w:themeColor="text1"/>
              <w:sz w:val="32"/>
              <w:szCs w:val="28"/>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32"/>
              <w:szCs w:val="28"/>
              <w:highlight w:val="none"/>
              <w14:textFill>
                <w14:solidFill>
                  <w14:schemeClr w14:val="tx1"/>
                </w14:solidFill>
              </w14:textFill>
            </w:rPr>
            <w:t>录</w:t>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1"/>
              <w:szCs w:val="28"/>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1"/>
              <w:szCs w:val="28"/>
              <w:highlight w:val="none"/>
              <w:lang w:val="en-US" w:eastAsia="zh-CN" w:bidi="ar-SA"/>
              <w14:textFill>
                <w14:solidFill>
                  <w14:schemeClr w14:val="tx1"/>
                </w14:solidFill>
              </w14:textFill>
            </w:rPr>
            <w:instrText xml:space="preserve">TOC \o "1-1" \h \u </w:instrText>
          </w:r>
          <w:r>
            <w:rPr>
              <w:rFonts w:hint="default" w:ascii="Times New Roman" w:hAnsi="Times New Roman" w:eastAsia="宋体" w:cs="Times New Roman"/>
              <w:bCs/>
              <w:snapToGrid w:val="0"/>
              <w:color w:val="000000" w:themeColor="text1"/>
              <w:kern w:val="2"/>
              <w:sz w:val="21"/>
              <w:szCs w:val="28"/>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_Toc23791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01.建设项目基本情况</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_Toc23791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1</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_Toc24852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02.编制依据及环境功能区划</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_Toc24852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15</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_Toc394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03.自然环境</w:t>
          </w:r>
          <w:r>
            <w:rPr>
              <w:rFonts w:hint="default" w:ascii="Times New Roman" w:hAnsi="Times New Roman" w:eastAsia="宋体" w:cs="Times New Roman"/>
              <w:bCs/>
              <w:caps w:val="0"/>
              <w:color w:val="000000" w:themeColor="text1"/>
              <w:sz w:val="24"/>
              <w:szCs w:val="40"/>
              <w:highlight w:val="none"/>
              <w14:textFill>
                <w14:solidFill>
                  <w14:schemeClr w14:val="tx1"/>
                </w14:solidFill>
              </w14:textFill>
            </w:rPr>
            <w:t>及公共环保设施简况</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_Toc394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18</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_Toc20009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04.环境质量状况</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_Toc20009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22</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_Toc61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05.评价适用标准</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_Toc61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25</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_Toc31837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06.建设项目工程分析</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_Toc31837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28</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_Toc595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07.运营期污染物产生及预计排放情况</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_Toc595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45</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_Toc11548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08.环境影响分析</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_Toc11548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46</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_Toc13234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09.拟采取的防治措施及预期治理效果</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_Toc13234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66</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_Toc5200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1</w:t>
          </w:r>
          <w:r>
            <w:rPr>
              <w:rFonts w:hint="default" w:ascii="Times New Roman" w:hAnsi="Times New Roman" w:eastAsia="宋体" w:cs="Times New Roman"/>
              <w:bCs/>
              <w:color w:val="000000" w:themeColor="text1"/>
              <w:sz w:val="24"/>
              <w:szCs w:val="40"/>
              <w:highlight w:val="none"/>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40"/>
              <w:highlight w:val="none"/>
              <w14:textFill>
                <w14:solidFill>
                  <w14:schemeClr w14:val="tx1"/>
                </w14:solidFill>
              </w14:textFill>
            </w:rPr>
            <w:t>.建设项目环境可行性分析</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_Toc5200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83</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pStyle w:val="17"/>
            <w:keepNext w:val="0"/>
            <w:keepLines w:val="0"/>
            <w:pageBreakBefore w:val="0"/>
            <w:widowControl w:val="0"/>
            <w:tabs>
              <w:tab w:val="right" w:leader="dot" w:pos="9298"/>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begin"/>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instrText xml:space="preserve"> HYPERLINK \l _Toc14794 </w:instrText>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separate"/>
          </w:r>
          <w:r>
            <w:rPr>
              <w:rFonts w:hint="default" w:ascii="Times New Roman" w:hAnsi="Times New Roman" w:eastAsia="宋体" w:cs="Times New Roman"/>
              <w:bCs/>
              <w:color w:val="000000" w:themeColor="text1"/>
              <w:sz w:val="24"/>
              <w:szCs w:val="40"/>
              <w:highlight w:val="none"/>
              <w14:textFill>
                <w14:solidFill>
                  <w14:schemeClr w14:val="tx1"/>
                </w14:solidFill>
              </w14:textFill>
            </w:rPr>
            <w:t>1</w:t>
          </w:r>
          <w:r>
            <w:rPr>
              <w:rFonts w:hint="default" w:ascii="Times New Roman" w:hAnsi="Times New Roman" w:eastAsia="宋体" w:cs="Times New Roman"/>
              <w:bCs/>
              <w:color w:val="000000" w:themeColor="text1"/>
              <w:sz w:val="24"/>
              <w:szCs w:val="40"/>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40"/>
              <w:highlight w:val="none"/>
              <w14:textFill>
                <w14:solidFill>
                  <w14:schemeClr w14:val="tx1"/>
                </w14:solidFill>
              </w14:textFill>
            </w:rPr>
            <w:t>.结论与建议</w:t>
          </w:r>
          <w:r>
            <w:rPr>
              <w:rFonts w:hint="default" w:ascii="Times New Roman" w:hAnsi="Times New Roman" w:eastAsia="宋体" w:cs="Times New Roman"/>
              <w:color w:val="000000" w:themeColor="text1"/>
              <w:sz w:val="24"/>
              <w:szCs w:val="22"/>
              <w:highlight w:val="none"/>
              <w14:textFill>
                <w14:solidFill>
                  <w14:schemeClr w14:val="tx1"/>
                </w14:solidFill>
              </w14:textFill>
            </w:rPr>
            <w:tab/>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2"/>
              <w:highlight w:val="none"/>
              <w14:textFill>
                <w14:solidFill>
                  <w14:schemeClr w14:val="tx1"/>
                </w14:solidFill>
              </w14:textFill>
            </w:rPr>
            <w:instrText xml:space="preserve"> PAGEREF _Toc14794 </w:instrTex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2"/>
              <w:highlight w:val="none"/>
              <w14:textFill>
                <w14:solidFill>
                  <w14:schemeClr w14:val="tx1"/>
                </w14:solidFill>
              </w14:textFill>
            </w:rPr>
            <w:t>85</w:t>
          </w:r>
          <w:r>
            <w:rPr>
              <w:rFonts w:hint="default" w:ascii="Times New Roman" w:hAnsi="Times New Roman" w:eastAsia="宋体" w:cs="Times New Roman"/>
              <w:color w:val="000000" w:themeColor="text1"/>
              <w:sz w:val="24"/>
              <w:szCs w:val="22"/>
              <w:highlight w:val="none"/>
              <w14:textFill>
                <w14:solidFill>
                  <w14:schemeClr w14:val="tx1"/>
                </w14:solidFill>
              </w14:textFill>
            </w:rPr>
            <w:fldChar w:fldCharType="end"/>
          </w:r>
          <w:r>
            <w:rPr>
              <w:rFonts w:hint="default" w:ascii="Times New Roman" w:hAnsi="Times New Roman" w:eastAsia="宋体" w:cs="Times New Roman"/>
              <w:bCs/>
              <w:snapToGrid w:val="0"/>
              <w:color w:val="000000" w:themeColor="text1"/>
              <w:kern w:val="2"/>
              <w:sz w:val="24"/>
              <w:szCs w:val="36"/>
              <w:highlight w:val="none"/>
              <w:lang w:val="en-US" w:eastAsia="zh-CN" w:bidi="ar-SA"/>
              <w14:textFill>
                <w14:solidFill>
                  <w14:schemeClr w14:val="tx1"/>
                </w14:solidFill>
              </w14:textFill>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leftChars="0" w:right="0" w:rightChars="0" w:firstLine="0" w:firstLineChars="0"/>
            <w:jc w:val="left"/>
            <w:textAlignment w:val="auto"/>
            <w:outlineLvl w:val="9"/>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Cs/>
              <w:snapToGrid w:val="0"/>
              <w:color w:val="000000" w:themeColor="text1"/>
              <w:kern w:val="2"/>
              <w:szCs w:val="28"/>
              <w:highlight w:val="none"/>
              <w:lang w:val="en-US" w:eastAsia="zh-CN" w:bidi="ar-SA"/>
              <w14:textFill>
                <w14:solidFill>
                  <w14:schemeClr w14:val="tx1"/>
                </w14:solidFill>
              </w14:textFill>
            </w:rPr>
            <w:fldChar w:fldCharType="end"/>
          </w:r>
        </w:p>
      </w:sdtContent>
    </w:sdt>
    <w:p>
      <w:pPr>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附图1 项目地理位置图</w:t>
      </w:r>
      <w:bookmarkStart w:id="39" w:name="_GoBack"/>
      <w:bookmarkEnd w:id="39"/>
    </w:p>
    <w:p>
      <w:pPr>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附图2 项目四至位置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和</w:t>
      </w:r>
      <w:r>
        <w:rPr>
          <w:rFonts w:hint="default" w:ascii="Times New Roman" w:hAnsi="Times New Roman" w:eastAsia="宋体" w:cs="Times New Roman"/>
          <w:color w:val="000000" w:themeColor="text1"/>
          <w:sz w:val="24"/>
          <w:highlight w:val="none"/>
          <w14:textFill>
            <w14:solidFill>
              <w14:schemeClr w14:val="tx1"/>
            </w14:solidFill>
          </w14:textFill>
        </w:rPr>
        <w:t>噪声监测布点图</w:t>
      </w:r>
    </w:p>
    <w:p>
      <w:pPr>
        <w:spacing w:line="360" w:lineRule="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附图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 项目总平面布置图</w:t>
      </w:r>
    </w:p>
    <w:p>
      <w:pPr>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附图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 xml:space="preserve"> 项目敏感点分布图</w:t>
      </w:r>
    </w:p>
    <w:p>
      <w:pPr>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附图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 xml:space="preserve"> 项目与引用的</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地表水</w:t>
      </w:r>
      <w:r>
        <w:rPr>
          <w:rFonts w:hint="default" w:ascii="Times New Roman" w:hAnsi="Times New Roman" w:eastAsia="宋体" w:cs="Times New Roman"/>
          <w:color w:val="000000" w:themeColor="text1"/>
          <w:sz w:val="24"/>
          <w:highlight w:val="none"/>
          <w14:textFill>
            <w14:solidFill>
              <w14:schemeClr w14:val="tx1"/>
            </w14:solidFill>
          </w14:textFill>
        </w:rPr>
        <w:t>监测布点关系图</w:t>
      </w:r>
    </w:p>
    <w:p>
      <w:pPr>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附图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14:textFill>
            <w14:solidFill>
              <w14:schemeClr w14:val="tx1"/>
            </w14:solidFill>
          </w14:textFill>
        </w:rPr>
        <w:t xml:space="preserve"> 项目周边环境现状</w:t>
      </w:r>
    </w:p>
    <w:p>
      <w:pPr>
        <w:spacing w:line="360" w:lineRule="auto"/>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附件1 环评承诺书</w:t>
      </w:r>
    </w:p>
    <w:p>
      <w:pPr>
        <w:spacing w:line="360" w:lineRule="auto"/>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附件2 环评委托书</w:t>
      </w:r>
    </w:p>
    <w:p>
      <w:pPr>
        <w:spacing w:line="360" w:lineRule="auto"/>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附件3 营业执照</w:t>
      </w:r>
    </w:p>
    <w:p>
      <w:pPr>
        <w:spacing w:line="360" w:lineRule="auto"/>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 xml:space="preserve">附件4 </w:t>
      </w: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土地使用证</w:t>
      </w:r>
    </w:p>
    <w:p>
      <w:pPr>
        <w:spacing w:line="360" w:lineRule="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附件</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5 租地协议</w:t>
      </w:r>
    </w:p>
    <w:p>
      <w:pPr>
        <w:spacing w:line="360" w:lineRule="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附件</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6 场所证明</w:t>
      </w:r>
    </w:p>
    <w:p>
      <w:pPr>
        <w:pStyle w:val="10"/>
        <w:rPr>
          <w:rFonts w:hint="default" w:ascii="Times New Roman" w:hAnsi="Times New Roman" w:eastAsia="宋体" w:cs="Times New Roman"/>
          <w:snapToGrid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2"/>
          <w:highlight w:val="none"/>
          <w:lang w:val="en-US" w:eastAsia="zh-CN" w:bidi="ar-SA"/>
          <w14:textFill>
            <w14:solidFill>
              <w14:schemeClr w14:val="tx1"/>
            </w14:solidFill>
          </w14:textFill>
        </w:rPr>
        <w:t>附件7 监测数据</w:t>
      </w:r>
    </w:p>
    <w:p>
      <w:pPr>
        <w:spacing w:line="360" w:lineRule="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附件</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8 建设项目设计基础资料调查表</w:t>
      </w:r>
    </w:p>
    <w:p>
      <w:pPr>
        <w:spacing w:line="360" w:lineRule="auto"/>
        <w:rPr>
          <w:rFonts w:hint="default" w:ascii="Times New Roman" w:hAnsi="Times New Roman" w:eastAsia="宋体" w:cs="Times New Roman"/>
          <w:color w:val="000000" w:themeColor="text1"/>
          <w:sz w:val="24"/>
          <w:szCs w:val="22"/>
          <w:highlight w:val="none"/>
          <w14:textFill>
            <w14:solidFill>
              <w14:schemeClr w14:val="tx1"/>
            </w14:solidFill>
          </w14:textFill>
        </w:rPr>
        <w:sectPr>
          <w:headerReference r:id="rId3" w:type="default"/>
          <w:pgSz w:w="11906" w:h="16838"/>
          <w:pgMar w:top="1304" w:right="1304" w:bottom="1304" w:left="1304" w:header="851" w:footer="992" w:gutter="0"/>
          <w:pgBorders>
            <w:top w:val="none" w:sz="0" w:space="0"/>
            <w:left w:val="none" w:sz="0" w:space="0"/>
            <w:bottom w:val="none" w:sz="0" w:space="0"/>
            <w:right w:val="none" w:sz="0" w:space="0"/>
          </w:pgBorders>
          <w:cols w:space="0" w:num="1"/>
          <w:docGrid w:type="lines" w:linePitch="312" w:charSpace="0"/>
        </w:sectPr>
      </w:pP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附件</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 xml:space="preserve">9 </w:t>
      </w:r>
      <w:r>
        <w:rPr>
          <w:rFonts w:hint="default" w:ascii="Times New Roman" w:hAnsi="Times New Roman" w:eastAsia="宋体" w:cs="Times New Roman"/>
          <w:color w:val="000000" w:themeColor="text1"/>
          <w:sz w:val="24"/>
          <w:szCs w:val="22"/>
          <w:highlight w:val="none"/>
          <w14:textFill>
            <w14:solidFill>
              <w14:schemeClr w14:val="tx1"/>
            </w14:solidFill>
          </w14:textFill>
        </w:rPr>
        <w:t>建设项目环评审批基础信息表</w:t>
      </w: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sectPr>
          <w:pgSz w:w="11906" w:h="16838"/>
          <w:pgMar w:top="1304" w:right="1304" w:bottom="1304" w:left="1304" w:header="851" w:footer="992" w:gutter="0"/>
          <w:pgBorders>
            <w:top w:val="none" w:sz="0" w:space="0"/>
            <w:left w:val="none" w:sz="0" w:space="0"/>
            <w:bottom w:val="none" w:sz="0" w:space="0"/>
            <w:right w:val="none" w:sz="0" w:space="0"/>
          </w:pgBorders>
          <w:cols w:space="0" w:num="1"/>
          <w:docGrid w:type="lines" w:linePitch="312" w:charSpace="0"/>
        </w:sectPr>
      </w:pPr>
      <w:bookmarkStart w:id="0" w:name="_Toc23791"/>
      <w:bookmarkStart w:id="1" w:name="_Toc32274"/>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color w:val="000000" w:themeColor="text1"/>
          <w:sz w:val="32"/>
          <w:szCs w:val="32"/>
          <w:highlight w:val="none"/>
          <w14:textFill>
            <w14:solidFill>
              <w14:schemeClr w14:val="tx1"/>
            </w14:solidFill>
          </w14:textFill>
        </w:rPr>
        <w:t>01.建设项目基本情况</w:t>
      </w:r>
      <w:bookmarkEnd w:id="0"/>
      <w:bookmarkEnd w:id="1"/>
    </w:p>
    <w:tbl>
      <w:tblPr>
        <w:tblStyle w:val="26"/>
        <w:tblW w:w="9435"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92"/>
        <w:gridCol w:w="1309"/>
        <w:gridCol w:w="833"/>
        <w:gridCol w:w="231"/>
        <w:gridCol w:w="669"/>
        <w:gridCol w:w="1309"/>
        <w:gridCol w:w="237"/>
        <w:gridCol w:w="406"/>
        <w:gridCol w:w="1535"/>
        <w:gridCol w:w="117"/>
        <w:gridCol w:w="1297"/>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492" w:type="dxa"/>
            <w:vAlign w:val="center"/>
          </w:tcPr>
          <w:p>
            <w:pPr>
              <w:pStyle w:val="121"/>
              <w:adjustRightInd/>
              <w:spacing w:line="360" w:lineRule="auto"/>
              <w:ind w:firstLine="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项目名称</w:t>
            </w:r>
          </w:p>
        </w:tc>
        <w:tc>
          <w:tcPr>
            <w:tcW w:w="7943" w:type="dxa"/>
            <w:gridSpan w:val="10"/>
            <w:vAlign w:val="center"/>
          </w:tcPr>
          <w:p>
            <w:pPr>
              <w:pStyle w:val="121"/>
              <w:adjustRightInd/>
              <w:spacing w:line="360" w:lineRule="auto"/>
              <w:ind w:firstLine="0"/>
              <w:jc w:val="center"/>
              <w:rPr>
                <w:rFonts w:hint="default" w:ascii="Times New Roman" w:hAnsi="Times New Roman" w:eastAsia="宋体" w:cs="Times New Roman"/>
                <w:bCs w:val="0"/>
                <w:color w:val="000000" w:themeColor="text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highlight w:val="none"/>
                <w:lang w:eastAsia="zh-CN"/>
                <w14:textFill>
                  <w14:solidFill>
                    <w14:schemeClr w14:val="tx1"/>
                  </w14:solidFill>
                </w14:textFill>
              </w:rPr>
              <w:t>佛冈县佛创石英砂有限公司年产60000吨石英砂建设项目（重新报批）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492" w:type="dxa"/>
            <w:vAlign w:val="center"/>
          </w:tcPr>
          <w:p>
            <w:pPr>
              <w:pStyle w:val="121"/>
              <w:adjustRightInd/>
              <w:spacing w:line="360" w:lineRule="auto"/>
              <w:ind w:firstLine="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建设单位</w:t>
            </w:r>
          </w:p>
        </w:tc>
        <w:tc>
          <w:tcPr>
            <w:tcW w:w="7943" w:type="dxa"/>
            <w:gridSpan w:val="10"/>
            <w:vAlign w:val="center"/>
          </w:tcPr>
          <w:p>
            <w:pPr>
              <w:pStyle w:val="121"/>
              <w:adjustRightInd/>
              <w:spacing w:line="360" w:lineRule="auto"/>
              <w:ind w:firstLine="0"/>
              <w:jc w:val="center"/>
              <w:rPr>
                <w:rFonts w:hint="default" w:ascii="Times New Roman" w:hAnsi="Times New Roman" w:eastAsia="宋体" w:cs="Times New Roman"/>
                <w:bCs w:val="0"/>
                <w:color w:val="000000" w:themeColor="text1"/>
                <w:highlight w:val="none"/>
                <w:lang w:eastAsia="zh-CN"/>
                <w14:textFill>
                  <w14:solidFill>
                    <w14:schemeClr w14:val="tx1"/>
                  </w14:solidFill>
                </w14:textFill>
              </w:rPr>
            </w:pPr>
            <w:r>
              <w:rPr>
                <w:rFonts w:hint="default" w:ascii="Times New Roman" w:hAnsi="Times New Roman" w:eastAsia="宋体" w:cs="Times New Roman"/>
                <w:bCs w:val="0"/>
                <w:color w:val="000000" w:themeColor="text1"/>
                <w:highlight w:val="none"/>
                <w:lang w:eastAsia="zh-CN"/>
                <w14:textFill>
                  <w14:solidFill>
                    <w14:schemeClr w14:val="tx1"/>
                  </w14:solidFill>
                </w14:textFill>
              </w:rPr>
              <w:t>佛冈县佛创石英砂有限公司</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492" w:type="dxa"/>
            <w:vAlign w:val="center"/>
          </w:tcPr>
          <w:p>
            <w:pPr>
              <w:pStyle w:val="111"/>
              <w:snapToGrid/>
              <w:spacing w:before="0" w:beforeAutospacing="0"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法人代表</w:t>
            </w:r>
          </w:p>
        </w:tc>
        <w:tc>
          <w:tcPr>
            <w:tcW w:w="2373" w:type="dxa"/>
            <w:gridSpan w:val="3"/>
            <w:vAlign w:val="center"/>
          </w:tcPr>
          <w:p>
            <w:pPr>
              <w:snapToGrid w:val="0"/>
              <w:spacing w:line="240" w:lineRule="atLeast"/>
              <w:jc w:val="center"/>
              <w:outlineLvl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郑少滨</w:t>
            </w:r>
          </w:p>
        </w:tc>
        <w:tc>
          <w:tcPr>
            <w:tcW w:w="2215" w:type="dxa"/>
            <w:gridSpan w:val="3"/>
            <w:vAlign w:val="center"/>
          </w:tcPr>
          <w:p>
            <w:pPr>
              <w:snapToGrid w:val="0"/>
              <w:spacing w:line="240" w:lineRule="atLeast"/>
              <w:jc w:val="center"/>
              <w:outlineLvl w:val="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联系人</w:t>
            </w:r>
          </w:p>
        </w:tc>
        <w:tc>
          <w:tcPr>
            <w:tcW w:w="3355" w:type="dxa"/>
            <w:gridSpan w:val="4"/>
            <w:vAlign w:val="center"/>
          </w:tcPr>
          <w:p>
            <w:pPr>
              <w:snapToGrid w:val="0"/>
              <w:spacing w:line="240" w:lineRule="atLeast"/>
              <w:jc w:val="center"/>
              <w:outlineLvl w:val="0"/>
              <w:rPr>
                <w:rFonts w:hint="default" w:ascii="Times New Roman" w:hAnsi="Times New Roman" w:eastAsia="宋体" w:cs="Times New Roman"/>
                <w:bCs/>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罗会元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621" w:hRule="atLeast"/>
          <w:jc w:val="center"/>
        </w:trPr>
        <w:tc>
          <w:tcPr>
            <w:tcW w:w="1492" w:type="dxa"/>
            <w:vAlign w:val="center"/>
          </w:tcPr>
          <w:p>
            <w:pPr>
              <w:pStyle w:val="111"/>
              <w:keepNext w:val="0"/>
              <w:keepLines w:val="0"/>
              <w:pageBreakBefore w:val="0"/>
              <w:widowControl w:val="0"/>
              <w:kinsoku/>
              <w:wordWrap/>
              <w:overflowPunct/>
              <w:topLinePunct w:val="0"/>
              <w:autoSpaceDE/>
              <w:autoSpaceDN/>
              <w:bidi w:val="0"/>
              <w:adjustRightInd/>
              <w:snapToGrid/>
              <w:spacing w:before="0" w:beforeAutospacing="0" w:line="24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通讯地址</w:t>
            </w:r>
          </w:p>
        </w:tc>
        <w:tc>
          <w:tcPr>
            <w:tcW w:w="7943" w:type="dxa"/>
            <w:gridSpan w:val="10"/>
            <w:vAlign w:val="center"/>
          </w:tcPr>
          <w:p>
            <w:pPr>
              <w:snapToGrid w:val="0"/>
              <w:spacing w:line="240" w:lineRule="atLeast"/>
              <w:jc w:val="center"/>
              <w:outlineLvl w:val="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14:textFill>
                  <w14:solidFill>
                    <w14:schemeClr w14:val="tx1"/>
                  </w14:solidFill>
                </w14:textFill>
              </w:rPr>
              <w:t>佛冈县汤塘镇三门管理区下围队原三门再生纸厂房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492" w:type="dxa"/>
            <w:vAlign w:val="center"/>
          </w:tcPr>
          <w:p>
            <w:pPr>
              <w:pStyle w:val="111"/>
              <w:snapToGrid/>
              <w:spacing w:before="0" w:beforeAutospacing="0"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联系电话</w:t>
            </w:r>
          </w:p>
        </w:tc>
        <w:tc>
          <w:tcPr>
            <w:tcW w:w="2142" w:type="dxa"/>
            <w:gridSpan w:val="2"/>
            <w:vAlign w:val="center"/>
          </w:tcPr>
          <w:p>
            <w:pPr>
              <w:snapToGrid w:val="0"/>
              <w:spacing w:line="240" w:lineRule="atLeast"/>
              <w:jc w:val="center"/>
              <w:outlineLvl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13828572831</w:t>
            </w:r>
          </w:p>
        </w:tc>
        <w:tc>
          <w:tcPr>
            <w:tcW w:w="900" w:type="dxa"/>
            <w:gridSpan w:val="2"/>
            <w:vAlign w:val="center"/>
          </w:tcPr>
          <w:p>
            <w:pPr>
              <w:snapToGrid w:val="0"/>
              <w:spacing w:line="240" w:lineRule="atLeast"/>
              <w:jc w:val="center"/>
              <w:outlineLvl w:val="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传真</w:t>
            </w:r>
          </w:p>
        </w:tc>
        <w:tc>
          <w:tcPr>
            <w:tcW w:w="1952" w:type="dxa"/>
            <w:gridSpan w:val="3"/>
            <w:vAlign w:val="center"/>
          </w:tcPr>
          <w:p>
            <w:pPr>
              <w:snapToGrid w:val="0"/>
              <w:spacing w:line="240" w:lineRule="atLeast"/>
              <w:jc w:val="center"/>
              <w:outlineLvl w:val="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w:t>
            </w:r>
          </w:p>
        </w:tc>
        <w:tc>
          <w:tcPr>
            <w:tcW w:w="1535" w:type="dxa"/>
            <w:vAlign w:val="center"/>
          </w:tcPr>
          <w:p>
            <w:pPr>
              <w:snapToGrid w:val="0"/>
              <w:spacing w:line="240" w:lineRule="atLeast"/>
              <w:jc w:val="center"/>
              <w:outlineLvl w:val="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邮政编码</w:t>
            </w:r>
          </w:p>
        </w:tc>
        <w:tc>
          <w:tcPr>
            <w:tcW w:w="1414" w:type="dxa"/>
            <w:gridSpan w:val="2"/>
            <w:vAlign w:val="center"/>
          </w:tcPr>
          <w:p>
            <w:pPr>
              <w:snapToGrid w:val="0"/>
              <w:spacing w:line="240" w:lineRule="atLeast"/>
              <w:jc w:val="center"/>
              <w:outlineLvl w:val="0"/>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1492" w:type="dxa"/>
            <w:vAlign w:val="center"/>
          </w:tcPr>
          <w:p>
            <w:pPr>
              <w:pStyle w:val="111"/>
              <w:snapToGrid/>
              <w:spacing w:before="0" w:beforeAutospacing="0" w:line="360" w:lineRule="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建设地点</w:t>
            </w:r>
          </w:p>
        </w:tc>
        <w:tc>
          <w:tcPr>
            <w:tcW w:w="7943" w:type="dxa"/>
            <w:gridSpan w:val="10"/>
            <w:vAlign w:val="center"/>
          </w:tcPr>
          <w:p>
            <w:pPr>
              <w:snapToGrid w:val="0"/>
              <w:spacing w:line="240" w:lineRule="atLeast"/>
              <w:jc w:val="center"/>
              <w:outlineLvl w:val="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14:textFill>
                  <w14:solidFill>
                    <w14:schemeClr w14:val="tx1"/>
                  </w14:solidFill>
                </w14:textFill>
              </w:rPr>
              <w:t>佛冈县汤塘镇三门管理区下围队原三门再生纸厂房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492" w:type="dxa"/>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立项部门</w:t>
            </w:r>
          </w:p>
        </w:tc>
        <w:tc>
          <w:tcPr>
            <w:tcW w:w="2373" w:type="dxa"/>
            <w:gridSpan w:val="3"/>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c>
          <w:tcPr>
            <w:tcW w:w="1978" w:type="dxa"/>
            <w:gridSpan w:val="2"/>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批准文号</w:t>
            </w:r>
          </w:p>
        </w:tc>
        <w:tc>
          <w:tcPr>
            <w:tcW w:w="3592" w:type="dxa"/>
            <w:gridSpan w:val="5"/>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492" w:type="dxa"/>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建设性质</w:t>
            </w:r>
          </w:p>
        </w:tc>
        <w:tc>
          <w:tcPr>
            <w:tcW w:w="2373" w:type="dxa"/>
            <w:gridSpan w:val="3"/>
            <w:vAlign w:val="center"/>
          </w:tcPr>
          <w:p>
            <w:pPr>
              <w:snapToGrid w:val="0"/>
              <w:spacing w:line="240" w:lineRule="atLeast"/>
              <w:jc w:val="center"/>
              <w:outlineLvl w:val="0"/>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4"/>
                <w:sz w:val="24"/>
                <w:szCs w:val="24"/>
                <w:lang w:val="en-US" w:eastAsia="zh-CN"/>
                <w14:textFill>
                  <w14:solidFill>
                    <w14:schemeClr w14:val="tx1"/>
                  </w14:solidFill>
                </w14:textFill>
              </w:rPr>
              <w:t>新建（重新报批）</w:t>
            </w:r>
          </w:p>
        </w:tc>
        <w:tc>
          <w:tcPr>
            <w:tcW w:w="1978" w:type="dxa"/>
            <w:gridSpan w:val="2"/>
            <w:vAlign w:val="center"/>
          </w:tcPr>
          <w:p>
            <w:pPr>
              <w:pStyle w:val="111"/>
              <w:snapToGrid/>
              <w:spacing w:before="0" w:beforeAutospacing="0"/>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行业类别及代码</w:t>
            </w:r>
          </w:p>
        </w:tc>
        <w:tc>
          <w:tcPr>
            <w:tcW w:w="3592" w:type="dxa"/>
            <w:gridSpan w:val="5"/>
            <w:vAlign w:val="center"/>
          </w:tcPr>
          <w:p>
            <w:pPr>
              <w:pStyle w:val="111"/>
              <w:keepNext w:val="0"/>
              <w:keepLines w:val="0"/>
              <w:pageBreakBefore w:val="0"/>
              <w:widowControl w:val="0"/>
              <w:kinsoku/>
              <w:wordWrap/>
              <w:overflowPunct/>
              <w:topLinePunct w:val="0"/>
              <w:autoSpaceDE/>
              <w:autoSpaceDN/>
              <w:bidi w:val="0"/>
              <w:adjustRightInd/>
              <w:snapToGrid/>
              <w:spacing w:before="0" w:beforeAutospacing="0" w:line="240" w:lineRule="auto"/>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C3099其他非金属矿物制品制造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492" w:type="dxa"/>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占地面积</w:t>
            </w:r>
          </w:p>
        </w:tc>
        <w:tc>
          <w:tcPr>
            <w:tcW w:w="2373" w:type="dxa"/>
            <w:gridSpan w:val="3"/>
            <w:vAlign w:val="center"/>
          </w:tcPr>
          <w:p>
            <w:pPr>
              <w:pStyle w:val="111"/>
              <w:keepNext w:val="0"/>
              <w:keepLines w:val="0"/>
              <w:pageBreakBefore w:val="0"/>
              <w:widowControl w:val="0"/>
              <w:kinsoku/>
              <w:wordWrap/>
              <w:overflowPunct/>
              <w:topLinePunct w:val="0"/>
              <w:autoSpaceDE/>
              <w:autoSpaceDN/>
              <w:bidi w:val="0"/>
              <w:adjustRightInd/>
              <w:snapToGrid/>
              <w:spacing w:before="0" w:beforeLines="0" w:beforeAutospacing="0" w:line="360" w:lineRule="auto"/>
              <w:ind w:firstLine="0" w:firstLineChars="0"/>
              <w:jc w:val="center"/>
              <w:outlineLvl w:val="9"/>
              <w:rPr>
                <w:rFonts w:hint="default" w:ascii="Times New Roman" w:hAnsi="Times New Roman" w:eastAsia="宋体" w:cs="Times New Roman"/>
                <w:snapToGrid w:val="0"/>
                <w:color w:val="000000" w:themeColor="text1"/>
                <w:spacing w:val="-4"/>
                <w:kern w:val="2"/>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4"/>
                <w:kern w:val="2"/>
                <w:sz w:val="24"/>
                <w:szCs w:val="24"/>
                <w:lang w:val="en-US" w:eastAsia="zh-CN" w:bidi="ar-SA"/>
                <w14:textFill>
                  <w14:solidFill>
                    <w14:schemeClr w14:val="tx1"/>
                  </w14:solidFill>
                </w14:textFill>
              </w:rPr>
              <w:t>20000平方米</w:t>
            </w:r>
          </w:p>
        </w:tc>
        <w:tc>
          <w:tcPr>
            <w:tcW w:w="1978" w:type="dxa"/>
            <w:gridSpan w:val="2"/>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 xml:space="preserve">建筑面积   </w:t>
            </w:r>
          </w:p>
        </w:tc>
        <w:tc>
          <w:tcPr>
            <w:tcW w:w="3592" w:type="dxa"/>
            <w:gridSpan w:val="5"/>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highlight w:val="none"/>
                <w:lang w:val="en-US" w:eastAsia="zh-CN"/>
                <w14:textFill>
                  <w14:solidFill>
                    <w14:schemeClr w14:val="tx1"/>
                  </w14:solidFill>
                </w14:textFill>
              </w:rPr>
              <w:t>550</w:t>
            </w:r>
            <w:r>
              <w:rPr>
                <w:rFonts w:hint="default" w:ascii="Times New Roman" w:hAnsi="Times New Roman" w:eastAsia="宋体" w:cs="Times New Roman"/>
                <w:color w:val="000000" w:themeColor="text1"/>
                <w:highlight w:val="none"/>
                <w14:textFill>
                  <w14:solidFill>
                    <w14:schemeClr w14:val="tx1"/>
                  </w14:solidFill>
                </w14:textFill>
              </w:rPr>
              <w:t>平方米</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492" w:type="dxa"/>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项目总投资</w:t>
            </w:r>
          </w:p>
        </w:tc>
        <w:tc>
          <w:tcPr>
            <w:tcW w:w="1309" w:type="dxa"/>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400</w:t>
            </w:r>
            <w:r>
              <w:rPr>
                <w:rFonts w:hint="default" w:ascii="Times New Roman" w:hAnsi="Times New Roman" w:eastAsia="宋体" w:cs="Times New Roman"/>
                <w:color w:val="000000" w:themeColor="text1"/>
                <w:highlight w:val="none"/>
                <w14:textFill>
                  <w14:solidFill>
                    <w14:schemeClr w14:val="tx1"/>
                  </w14:solidFill>
                </w14:textFill>
              </w:rPr>
              <w:t>万元</w:t>
            </w:r>
          </w:p>
        </w:tc>
        <w:tc>
          <w:tcPr>
            <w:tcW w:w="1064" w:type="dxa"/>
            <w:gridSpan w:val="2"/>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环保投资</w:t>
            </w:r>
          </w:p>
        </w:tc>
        <w:tc>
          <w:tcPr>
            <w:tcW w:w="1978" w:type="dxa"/>
            <w:gridSpan w:val="2"/>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highlight w:val="none"/>
                <w14:textFill>
                  <w14:solidFill>
                    <w14:schemeClr w14:val="tx1"/>
                  </w14:solidFill>
                </w14:textFill>
              </w:rPr>
              <w:t>万元</w:t>
            </w:r>
          </w:p>
        </w:tc>
        <w:tc>
          <w:tcPr>
            <w:tcW w:w="2295" w:type="dxa"/>
            <w:gridSpan w:val="4"/>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环保投资占</w:t>
            </w:r>
          </w:p>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总投资比例</w:t>
            </w:r>
          </w:p>
        </w:tc>
        <w:tc>
          <w:tcPr>
            <w:tcW w:w="1297" w:type="dxa"/>
            <w:vAlign w:val="center"/>
          </w:tcPr>
          <w:p>
            <w:pPr>
              <w:pStyle w:val="111"/>
              <w:snapToGrid/>
              <w:spacing w:before="0" w:before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1492" w:type="dxa"/>
            <w:vAlign w:val="center"/>
          </w:tcPr>
          <w:p>
            <w:pPr>
              <w:jc w:val="center"/>
              <w:rPr>
                <w:rFonts w:hint="default" w:ascii="Times New Roman" w:hAnsi="Times New Roman" w:eastAsia="宋体" w:cs="Times New Roman"/>
                <w:b w:val="0"/>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评价经费</w:t>
            </w:r>
          </w:p>
        </w:tc>
        <w:tc>
          <w:tcPr>
            <w:tcW w:w="1309" w:type="dxa"/>
            <w:vAlign w:val="center"/>
          </w:tcPr>
          <w:p>
            <w:pPr>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highlight w:val="none"/>
                <w:lang w:val="en-US" w:eastAsia="zh-CN" w:bidi="ar-SA"/>
                <w14:textFill>
                  <w14:solidFill>
                    <w14:schemeClr w14:val="tx1"/>
                  </w14:solidFill>
                </w14:textFill>
              </w:rPr>
              <w:t>/（万元）</w:t>
            </w:r>
          </w:p>
        </w:tc>
        <w:tc>
          <w:tcPr>
            <w:tcW w:w="3042" w:type="dxa"/>
            <w:gridSpan w:val="4"/>
            <w:vAlign w:val="center"/>
          </w:tcPr>
          <w:p>
            <w:pPr>
              <w:pStyle w:val="78"/>
              <w:widowControl w:val="0"/>
              <w:overflowPunct/>
              <w:topLinePunct w:val="0"/>
              <w:adjustRightInd/>
              <w:snapToGrid/>
              <w:spacing w:line="360" w:lineRule="auto"/>
              <w:textAlignment w:val="auto"/>
              <w:rPr>
                <w:rFonts w:hint="default" w:ascii="Times New Roman" w:hAnsi="Times New Roman" w:eastAsia="宋体" w:cs="Times New Roman"/>
                <w:b w:val="0"/>
                <w:color w:val="000000" w:themeColor="text1"/>
                <w:highlight w:val="none"/>
                <w14:textFill>
                  <w14:solidFill>
                    <w14:schemeClr w14:val="tx1"/>
                  </w14:solidFill>
                </w14:textFill>
              </w:rPr>
            </w:pPr>
            <w:r>
              <w:rPr>
                <w:rFonts w:hint="default" w:ascii="Times New Roman" w:hAnsi="Times New Roman" w:eastAsia="宋体" w:cs="Times New Roman"/>
                <w:b w:val="0"/>
                <w:color w:val="000000" w:themeColor="text1"/>
                <w:highlight w:val="none"/>
                <w14:textFill>
                  <w14:solidFill>
                    <w14:schemeClr w14:val="tx1"/>
                  </w14:solidFill>
                </w14:textFill>
              </w:rPr>
              <w:t>预投产日期</w:t>
            </w:r>
          </w:p>
        </w:tc>
        <w:tc>
          <w:tcPr>
            <w:tcW w:w="3592" w:type="dxa"/>
            <w:gridSpan w:val="5"/>
            <w:vAlign w:val="center"/>
          </w:tcPr>
          <w:p>
            <w:pPr>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2019年</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9435" w:type="dxa"/>
            <w:gridSpan w:val="11"/>
            <w:vAlign w:val="center"/>
          </w:tcPr>
          <w:p>
            <w:pPr>
              <w:pStyle w:val="72"/>
              <w:keepNext w:val="0"/>
              <w:keepLines w:val="0"/>
              <w:pageBreakBefore w:val="0"/>
              <w:widowControl w:val="0"/>
              <w:kinsoku/>
              <w:wordWrap/>
              <w:overflowPunct/>
              <w:topLinePunct w:val="0"/>
              <w:autoSpaceDE/>
              <w:autoSpaceDN/>
              <w:bidi w:val="0"/>
              <w:adjustRightInd/>
              <w:snapToGrid/>
              <w:spacing w:line="360" w:lineRule="auto"/>
              <w:ind w:firstLine="0"/>
              <w:textAlignment w:val="baseline"/>
              <w:outlineLvl w:val="9"/>
              <w:rPr>
                <w:rFonts w:hint="default" w:ascii="Times New Roman" w:hAnsi="Times New Roman" w:eastAsia="宋体" w:cs="Times New Roman"/>
                <w:b/>
                <w:bCs w:val="0"/>
                <w:color w:val="000000" w:themeColor="text1"/>
                <w:sz w:val="28"/>
                <w:szCs w:val="28"/>
                <w14:textFill>
                  <w14:solidFill>
                    <w14:schemeClr w14:val="tx1"/>
                  </w14:solidFill>
                </w14:textFill>
              </w:rPr>
            </w:pPr>
            <w:r>
              <w:rPr>
                <w:rFonts w:hint="default" w:ascii="Times New Roman" w:hAnsi="Times New Roman" w:eastAsia="宋体" w:cs="Times New Roman"/>
                <w:b/>
                <w:bCs w:val="0"/>
                <w:color w:val="000000" w:themeColor="text1"/>
                <w:sz w:val="28"/>
                <w:szCs w:val="28"/>
                <w14:textFill>
                  <w14:solidFill>
                    <w14:schemeClr w14:val="tx1"/>
                  </w14:solidFill>
                </w14:textFill>
              </w:rPr>
              <w:t xml:space="preserve">1.1项目背景及任务由来 </w:t>
            </w:r>
          </w:p>
          <w:p>
            <w:pPr>
              <w:pStyle w:val="72"/>
              <w:keepNext w:val="0"/>
              <w:keepLines w:val="0"/>
              <w:pageBreakBefore w:val="0"/>
              <w:widowControl w:val="0"/>
              <w:kinsoku/>
              <w:wordWrap/>
              <w:overflowPunct/>
              <w:topLinePunct w:val="0"/>
              <w:autoSpaceDE/>
              <w:autoSpaceDN/>
              <w:bidi w:val="0"/>
              <w:adjustRightInd/>
              <w:snapToGrid/>
              <w:spacing w:line="360" w:lineRule="auto"/>
              <w:ind w:firstLine="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1.1.1项目背景</w:t>
            </w:r>
          </w:p>
          <w:p>
            <w:pPr>
              <w:pStyle w:val="19"/>
              <w:spacing w:after="0" w:line="360" w:lineRule="auto"/>
              <w:ind w:left="0" w:leftChars="0" w:firstLine="480" w:firstLineChars="200"/>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佛冈县佛创石英砂有限公司年产60000万吨石英砂建设项目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位于</w:t>
            </w:r>
            <w:r>
              <w:rPr>
                <w:rFonts w:hint="default" w:ascii="Times New Roman" w:hAnsi="Times New Roman" w:eastAsia="宋体" w:cs="Times New Roman"/>
                <w:color w:val="000000" w:themeColor="text1"/>
                <w:spacing w:val="-4"/>
                <w:sz w:val="24"/>
                <w:szCs w:val="24"/>
                <w14:textFill>
                  <w14:solidFill>
                    <w14:schemeClr w14:val="tx1"/>
                  </w14:solidFill>
                </w14:textFill>
              </w:rPr>
              <w:t>佛冈县汤塘镇三门管理区下围队原三门再生纸厂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（中心坐标为：北纬23°47′05.14″，东经113°30′46.30″）。</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该</w:t>
            </w:r>
            <w:r>
              <w:rPr>
                <w:rFonts w:hint="default" w:ascii="Times New Roman" w:hAnsi="Times New Roman" w:eastAsia="宋体" w:cs="Times New Roman"/>
                <w:color w:val="000000" w:themeColor="text1"/>
                <w:sz w:val="24"/>
                <w14:textFill>
                  <w14:solidFill>
                    <w14:schemeClr w14:val="tx1"/>
                  </w14:solidFill>
                </w14:textFill>
              </w:rPr>
              <w:t>项目总投资</w:t>
            </w: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00万元，占地面积</w:t>
            </w:r>
            <w:r>
              <w:rPr>
                <w:rFonts w:hint="default" w:ascii="Times New Roman" w:hAnsi="Times New Roman" w:eastAsia="宋体" w:cs="Times New Roman"/>
                <w:color w:val="000000" w:themeColor="text1"/>
                <w:sz w:val="24"/>
                <w:lang w:val="en-US" w:eastAsia="zh-CN"/>
                <w14:textFill>
                  <w14:solidFill>
                    <w14:schemeClr w14:val="tx1"/>
                  </w14:solidFill>
                </w14:textFill>
              </w:rPr>
              <w:t>20000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，建筑面积</w:t>
            </w:r>
            <w:r>
              <w:rPr>
                <w:rFonts w:hint="eastAsia"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55</w:t>
            </w:r>
            <w:r>
              <w:rPr>
                <w:rFonts w:hint="default" w:ascii="Times New Roman" w:hAnsi="Times New Roman" w:eastAsia="宋体" w:cs="Times New Roman"/>
                <w:color w:val="000000" w:themeColor="text1"/>
                <w:sz w:val="24"/>
                <w14:textFill>
                  <w14:solidFill>
                    <w14:schemeClr w14:val="tx1"/>
                  </w14:solidFill>
                </w14:textFill>
              </w:rPr>
              <w:t>0m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p>
          <w:p>
            <w:pPr>
              <w:pStyle w:val="19"/>
              <w:spacing w:after="0" w:line="360" w:lineRule="auto"/>
              <w:ind w:left="0" w:leftChars="0" w:firstLine="480" w:firstLineChars="200"/>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受</w:t>
            </w:r>
            <w:r>
              <w:rPr>
                <w:rFonts w:hint="default" w:ascii="Times New Roman" w:hAnsi="Times New Roman" w:eastAsia="宋体" w:cs="Times New Roman"/>
                <w:color w:val="000000" w:themeColor="text1"/>
                <w:sz w:val="24"/>
                <w:szCs w:val="24"/>
                <w14:textFill>
                  <w14:solidFill>
                    <w14:schemeClr w14:val="tx1"/>
                  </w14:solidFill>
                </w14:textFill>
              </w:rPr>
              <w:t>佛冈县佛创石英砂有限公司</w:t>
            </w:r>
            <w:r>
              <w:rPr>
                <w:rFonts w:hint="default" w:ascii="Times New Roman" w:hAnsi="Times New Roman" w:eastAsia="宋体" w:cs="Times New Roman"/>
                <w:color w:val="000000" w:themeColor="text1"/>
                <w:sz w:val="24"/>
                <w:szCs w:val="24"/>
                <w:lang w:eastAsia="zh-CN"/>
                <w14:textFill>
                  <w14:solidFill>
                    <w14:schemeClr w14:val="tx1"/>
                  </w14:solidFill>
                </w14:textFill>
              </w:rPr>
              <w:t>（以下简称“建设单位”）</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委托，2018年1月四川省国环环境工程咨询有限公司编制了《</w:t>
            </w:r>
            <w:r>
              <w:rPr>
                <w:rFonts w:hint="default" w:ascii="Times New Roman" w:hAnsi="Times New Roman" w:eastAsia="宋体" w:cs="Times New Roman"/>
                <w:color w:val="000000" w:themeColor="text1"/>
                <w:sz w:val="24"/>
                <w:szCs w:val="24"/>
                <w14:textFill>
                  <w14:solidFill>
                    <w14:schemeClr w14:val="tx1"/>
                  </w14:solidFill>
                </w14:textFill>
              </w:rPr>
              <w:t>佛冈县佛创石英砂有限公司年产60000吨石英砂建设项目</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环境影响报告表》，2018年2月1日佛冈县环境保护局出具《关于对</w:t>
            </w:r>
            <w:r>
              <w:rPr>
                <w:rFonts w:hint="default" w:ascii="Times New Roman" w:hAnsi="Times New Roman" w:eastAsia="宋体" w:cs="Times New Roman"/>
                <w:bCs/>
                <w:color w:val="000000" w:themeColor="text1"/>
                <w:sz w:val="24"/>
                <w:szCs w:val="24"/>
                <w14:textFill>
                  <w14:solidFill>
                    <w14:schemeClr w14:val="tx1"/>
                  </w14:solidFill>
                </w14:textFill>
              </w:rPr>
              <w:t>佛冈县佛创石英砂有限公司年产60000万吨石英砂建设项目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的批复</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》（文号为佛环审批[2018]7号）通过了该项目的环评审批。</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在实际建设过程中，建设单位发现，现在市场中很难外购到尚未进行草酸酸洗的且硬度高、质量好、</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规格目数刚刚满足客户要求</w:t>
            </w:r>
            <w:r>
              <w:rPr>
                <w:rFonts w:hint="default" w:ascii="Times New Roman" w:hAnsi="Times New Roman" w:eastAsia="宋体" w:cs="Times New Roman"/>
                <w:bCs/>
                <w:color w:val="000000" w:themeColor="text1"/>
                <w:kern w:val="0"/>
                <w:sz w:val="24"/>
                <w:szCs w:val="24"/>
                <w14:textFill>
                  <w14:solidFill>
                    <w14:schemeClr w14:val="tx1"/>
                  </w14:solidFill>
                </w14:textFill>
              </w:rPr>
              <w:t>的石英砂</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因</w:t>
            </w:r>
            <w:r>
              <w:rPr>
                <w:rFonts w:hint="default" w:ascii="Times New Roman" w:hAnsi="Times New Roman" w:eastAsia="宋体" w:cs="Times New Roman"/>
                <w:color w:val="000000" w:themeColor="text1"/>
                <w:sz w:val="24"/>
                <w:szCs w:val="24"/>
                <w:lang w:eastAsia="zh-CN"/>
                <w14:textFill>
                  <w14:solidFill>
                    <w14:schemeClr w14:val="tx1"/>
                  </w14:solidFill>
                </w14:textFill>
              </w:rPr>
              <w:t>市场及</w:t>
            </w:r>
            <w:r>
              <w:rPr>
                <w:rFonts w:hint="default" w:ascii="Times New Roman" w:hAnsi="Times New Roman" w:eastAsia="宋体" w:cs="Times New Roman"/>
                <w:color w:val="000000" w:themeColor="text1"/>
                <w:sz w:val="24"/>
                <w:szCs w:val="24"/>
                <w14:textFill>
                  <w14:solidFill>
                    <w14:schemeClr w14:val="tx1"/>
                  </w14:solidFill>
                </w14:textFill>
              </w:rPr>
              <w:t>设计</w:t>
            </w:r>
            <w:r>
              <w:rPr>
                <w:rFonts w:hint="default" w:ascii="Times New Roman" w:hAnsi="Times New Roman" w:eastAsia="宋体" w:cs="Times New Roman"/>
                <w:color w:val="000000" w:themeColor="text1"/>
                <w:sz w:val="24"/>
                <w:szCs w:val="24"/>
                <w:lang w:eastAsia="zh-CN"/>
                <w14:textFill>
                  <w14:solidFill>
                    <w14:schemeClr w14:val="tx1"/>
                  </w14:solidFill>
                </w14:textFill>
              </w:rPr>
              <w:t>变化</w:t>
            </w:r>
            <w:r>
              <w:rPr>
                <w:rFonts w:hint="default" w:ascii="Times New Roman" w:hAnsi="Times New Roman" w:eastAsia="宋体" w:cs="Times New Roman"/>
                <w:color w:val="000000" w:themeColor="text1"/>
                <w:sz w:val="24"/>
                <w:szCs w:val="24"/>
                <w14:textFill>
                  <w14:solidFill>
                    <w14:schemeClr w14:val="tx1"/>
                  </w14:solidFill>
                </w14:textFill>
              </w:rPr>
              <w:t>原因，</w:t>
            </w:r>
            <w:r>
              <w:rPr>
                <w:rFonts w:hint="default" w:ascii="Times New Roman" w:hAnsi="Times New Roman" w:eastAsia="宋体" w:cs="Times New Roman"/>
                <w:color w:val="000000" w:themeColor="text1"/>
                <w:sz w:val="24"/>
                <w:szCs w:val="24"/>
                <w:lang w:eastAsia="zh-CN"/>
                <w14:textFill>
                  <w14:solidFill>
                    <w14:schemeClr w14:val="tx1"/>
                  </w14:solidFill>
                </w14:textFill>
              </w:rPr>
              <w:t>项目在实际建设中</w:t>
            </w:r>
            <w:r>
              <w:rPr>
                <w:rFonts w:hint="default" w:ascii="Times New Roman" w:hAnsi="Times New Roman" w:eastAsia="宋体" w:cs="Times New Roman"/>
                <w:color w:val="000000" w:themeColor="text1"/>
                <w:sz w:val="24"/>
                <w:szCs w:val="24"/>
                <w14:textFill>
                  <w14:solidFill>
                    <w14:schemeClr w14:val="tx1"/>
                  </w14:solidFill>
                </w14:textFill>
              </w:rPr>
              <w:t>部分设备和</w:t>
            </w:r>
            <w:r>
              <w:rPr>
                <w:rFonts w:hint="default" w:ascii="Times New Roman" w:hAnsi="Times New Roman" w:eastAsia="宋体" w:cs="Times New Roman"/>
                <w:color w:val="000000" w:themeColor="text1"/>
                <w:sz w:val="24"/>
                <w:szCs w:val="24"/>
                <w:lang w:eastAsia="zh-CN"/>
                <w14:textFill>
                  <w14:solidFill>
                    <w14:schemeClr w14:val="tx1"/>
                  </w14:solidFill>
                </w14:textFill>
              </w:rPr>
              <w:t>生产</w:t>
            </w:r>
            <w:r>
              <w:rPr>
                <w:rFonts w:hint="default" w:ascii="Times New Roman" w:hAnsi="Times New Roman" w:eastAsia="宋体" w:cs="Times New Roman"/>
                <w:color w:val="000000" w:themeColor="text1"/>
                <w:sz w:val="24"/>
                <w:szCs w:val="24"/>
                <w14:textFill>
                  <w14:solidFill>
                    <w14:schemeClr w14:val="tx1"/>
                  </w14:solidFill>
                </w14:textFill>
              </w:rPr>
              <w:t>工艺发生重大变化。项目发生重大变化前后情况，如下表所示：</w:t>
            </w:r>
          </w:p>
          <w:p>
            <w:pPr>
              <w:pStyle w:val="72"/>
              <w:adjustRightInd/>
              <w:spacing w:before="156" w:beforeLines="50" w:line="240" w:lineRule="auto"/>
              <w:ind w:firstLine="0"/>
              <w:jc w:val="center"/>
              <w:rPr>
                <w:rFonts w:hint="default" w:ascii="Times New Roman" w:hAnsi="Times New Roman" w:eastAsia="宋体" w:cs="Times New Roman"/>
                <w:b/>
                <w:bCs w:val="0"/>
                <w:color w:val="000000" w:themeColor="text1"/>
                <w14:textFill>
                  <w14:solidFill>
                    <w14:schemeClr w14:val="tx1"/>
                  </w14:solidFill>
                </w14:textFill>
              </w:rPr>
            </w:pPr>
          </w:p>
          <w:p>
            <w:pPr>
              <w:pStyle w:val="72"/>
              <w:adjustRightInd/>
              <w:spacing w:before="156" w:beforeLines="50" w:line="240" w:lineRule="auto"/>
              <w:ind w:firstLine="0"/>
              <w:jc w:val="center"/>
              <w:rPr>
                <w:rFonts w:hint="default" w:ascii="Times New Roman" w:hAnsi="Times New Roman" w:eastAsia="宋体" w:cs="Times New Roman"/>
                <w:b/>
                <w:bCs w:val="0"/>
                <w:color w:val="000000" w:themeColor="text1"/>
                <w14:textFill>
                  <w14:solidFill>
                    <w14:schemeClr w14:val="tx1"/>
                  </w14:solidFill>
                </w14:textFill>
              </w:rPr>
            </w:pPr>
          </w:p>
          <w:p>
            <w:pPr>
              <w:pStyle w:val="72"/>
              <w:adjustRightInd/>
              <w:spacing w:before="156" w:beforeLines="50" w:line="240" w:lineRule="auto"/>
              <w:ind w:firstLine="0"/>
              <w:jc w:val="center"/>
              <w:rPr>
                <w:rFonts w:hint="default" w:ascii="Times New Roman" w:hAnsi="Times New Roman" w:eastAsia="宋体" w:cs="Times New Roman"/>
                <w:b/>
                <w:bCs w:val="0"/>
                <w:color w:val="000000" w:themeColor="text1"/>
                <w14:textFill>
                  <w14:solidFill>
                    <w14:schemeClr w14:val="tx1"/>
                  </w14:solidFill>
                </w14:textFill>
              </w:rPr>
            </w:pPr>
          </w:p>
          <w:p>
            <w:pPr>
              <w:pStyle w:val="72"/>
              <w:adjustRightInd/>
              <w:spacing w:before="156" w:beforeLines="50" w:line="240" w:lineRule="auto"/>
              <w:ind w:firstLine="0"/>
              <w:jc w:val="center"/>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表1.1-1  本建设项目重大变更前后情况一览表</w:t>
            </w:r>
          </w:p>
          <w:tbl>
            <w:tblPr>
              <w:tblStyle w:val="27"/>
              <w:tblW w:w="92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8"/>
              <w:gridCol w:w="515"/>
              <w:gridCol w:w="3556"/>
              <w:gridCol w:w="3257"/>
              <w:gridCol w:w="1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3" w:type="dxa"/>
                  <w:gridSpan w:val="2"/>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变更前</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变更后</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变更情况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jc w:val="center"/>
              </w:trPr>
              <w:tc>
                <w:tcPr>
                  <w:tcW w:w="1103" w:type="dxa"/>
                  <w:gridSpan w:val="2"/>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项目</w:t>
                  </w:r>
                  <w:r>
                    <w:rPr>
                      <w:rFonts w:hint="default" w:ascii="Times New Roman" w:hAnsi="Times New Roman" w:eastAsia="宋体" w:cs="Times New Roman"/>
                      <w:color w:val="000000" w:themeColor="text1"/>
                      <w:sz w:val="21"/>
                      <w:szCs w:val="21"/>
                      <w14:textFill>
                        <w14:solidFill>
                          <w14:schemeClr w14:val="tx1"/>
                        </w14:solidFill>
                      </w14:textFill>
                    </w:rPr>
                    <w:t>性质</w:t>
                  </w: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新建（重新报批）</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未变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3" w:type="dxa"/>
                  <w:gridSpan w:val="2"/>
                  <w:vMerge w:val="restart"/>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w:t>
                  </w:r>
                  <w:r>
                    <w:rPr>
                      <w:rFonts w:hint="default" w:ascii="Times New Roman" w:hAnsi="Times New Roman" w:eastAsia="宋体" w:cs="Times New Roman"/>
                      <w:color w:val="000000" w:themeColor="text1"/>
                      <w:sz w:val="21"/>
                      <w:szCs w:val="21"/>
                      <w14:textFill>
                        <w14:solidFill>
                          <w14:schemeClr w14:val="tx1"/>
                        </w14:solidFill>
                      </w14:textFill>
                    </w:rPr>
                    <w:t>规模</w:t>
                  </w: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年产</w:t>
                  </w:r>
                  <w:r>
                    <w:rPr>
                      <w:rFonts w:hint="default" w:ascii="Times New Roman" w:hAnsi="Times New Roman" w:eastAsia="宋体" w:cs="Times New Roman"/>
                      <w:color w:val="000000" w:themeColor="text1"/>
                      <w:sz w:val="21"/>
                      <w:szCs w:val="21"/>
                      <w14:textFill>
                        <w14:solidFill>
                          <w14:schemeClr w14:val="tx1"/>
                        </w14:solidFill>
                      </w14:textFill>
                    </w:rPr>
                    <w:t>石英</w:t>
                  </w:r>
                  <w:r>
                    <w:rPr>
                      <w:rFonts w:hint="default" w:ascii="Times New Roman" w:hAnsi="Times New Roman" w:eastAsia="宋体" w:cs="Times New Roman"/>
                      <w:color w:val="000000" w:themeColor="text1"/>
                      <w:sz w:val="21"/>
                      <w:szCs w:val="21"/>
                      <w:lang w:eastAsia="zh-CN"/>
                      <w14:textFill>
                        <w14:solidFill>
                          <w14:schemeClr w14:val="tx1"/>
                        </w14:solidFill>
                      </w14:textFill>
                    </w:rPr>
                    <w:t>精</w:t>
                  </w:r>
                  <w:r>
                    <w:rPr>
                      <w:rFonts w:hint="default" w:ascii="Times New Roman" w:hAnsi="Times New Roman" w:eastAsia="宋体" w:cs="Times New Roman"/>
                      <w:color w:val="000000" w:themeColor="text1"/>
                      <w:sz w:val="21"/>
                      <w:szCs w:val="21"/>
                      <w14:textFill>
                        <w14:solidFill>
                          <w14:schemeClr w14:val="tx1"/>
                        </w14:solidFill>
                      </w14:textFill>
                    </w:rPr>
                    <w:t>砂</w:t>
                  </w:r>
                  <w:r>
                    <w:rPr>
                      <w:rFonts w:hint="default" w:ascii="Times New Roman" w:hAnsi="Times New Roman" w:eastAsia="宋体" w:cs="Times New Roman"/>
                      <w:color w:val="000000" w:themeColor="text1"/>
                      <w:sz w:val="21"/>
                      <w:szCs w:val="21"/>
                      <w:lang w:eastAsia="zh-CN"/>
                      <w14:textFill>
                        <w14:solidFill>
                          <w14:schemeClr w14:val="tx1"/>
                        </w14:solidFill>
                      </w14:textFill>
                    </w:rPr>
                    <w:t>60000吨</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年产</w:t>
                  </w:r>
                  <w:r>
                    <w:rPr>
                      <w:rFonts w:hint="default" w:ascii="Times New Roman" w:hAnsi="Times New Roman" w:eastAsia="宋体" w:cs="Times New Roman"/>
                      <w:color w:val="000000" w:themeColor="text1"/>
                      <w:sz w:val="21"/>
                      <w:szCs w:val="21"/>
                      <w14:textFill>
                        <w14:solidFill>
                          <w14:schemeClr w14:val="tx1"/>
                        </w14:solidFill>
                      </w14:textFill>
                    </w:rPr>
                    <w:t>石英</w:t>
                  </w:r>
                  <w:r>
                    <w:rPr>
                      <w:rFonts w:hint="default" w:ascii="Times New Roman" w:hAnsi="Times New Roman" w:eastAsia="宋体" w:cs="Times New Roman"/>
                      <w:color w:val="000000" w:themeColor="text1"/>
                      <w:sz w:val="21"/>
                      <w:szCs w:val="21"/>
                      <w:lang w:eastAsia="zh-CN"/>
                      <w14:textFill>
                        <w14:solidFill>
                          <w14:schemeClr w14:val="tx1"/>
                        </w14:solidFill>
                      </w14:textFill>
                    </w:rPr>
                    <w:t>精</w:t>
                  </w:r>
                  <w:r>
                    <w:rPr>
                      <w:rFonts w:hint="default" w:ascii="Times New Roman" w:hAnsi="Times New Roman" w:eastAsia="宋体" w:cs="Times New Roman"/>
                      <w:color w:val="000000" w:themeColor="text1"/>
                      <w:sz w:val="21"/>
                      <w:szCs w:val="21"/>
                      <w14:textFill>
                        <w14:solidFill>
                          <w14:schemeClr w14:val="tx1"/>
                        </w14:solidFill>
                      </w14:textFill>
                    </w:rPr>
                    <w:t>砂</w:t>
                  </w:r>
                  <w:r>
                    <w:rPr>
                      <w:rFonts w:hint="default" w:ascii="Times New Roman" w:hAnsi="Times New Roman" w:eastAsia="宋体" w:cs="Times New Roman"/>
                      <w:color w:val="000000" w:themeColor="text1"/>
                      <w:sz w:val="21"/>
                      <w:szCs w:val="21"/>
                      <w:lang w:eastAsia="zh-CN"/>
                      <w14:textFill>
                        <w14:solidFill>
                          <w14:schemeClr w14:val="tx1"/>
                        </w14:solidFill>
                      </w14:textFill>
                    </w:rPr>
                    <w:t>60000吨</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规模</w:t>
                  </w:r>
                  <w:r>
                    <w:rPr>
                      <w:rFonts w:hint="default" w:ascii="Times New Roman" w:hAnsi="Times New Roman" w:eastAsia="宋体" w:cs="Times New Roman"/>
                      <w:color w:val="000000" w:themeColor="text1"/>
                      <w:sz w:val="21"/>
                      <w:szCs w:val="21"/>
                      <w:lang w:eastAsia="zh-CN"/>
                      <w14:textFill>
                        <w14:solidFill>
                          <w14:schemeClr w14:val="tx1"/>
                        </w14:solidFill>
                      </w14:textFill>
                    </w:rPr>
                    <w:t>不变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3" w:type="dxa"/>
                  <w:gridSpan w:val="2"/>
                  <w:vMerge w:val="continue"/>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主要生产设备见表1.2-6</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主要设备见表1.2-6</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设备增加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3" w:type="dxa"/>
                  <w:gridSpan w:val="2"/>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建设</w:t>
                  </w:r>
                  <w:r>
                    <w:rPr>
                      <w:rFonts w:hint="default" w:ascii="Times New Roman" w:hAnsi="Times New Roman" w:eastAsia="宋体" w:cs="Times New Roman"/>
                      <w:color w:val="000000" w:themeColor="text1"/>
                      <w:sz w:val="21"/>
                      <w:szCs w:val="21"/>
                      <w14:textFill>
                        <w14:solidFill>
                          <w14:schemeClr w14:val="tx1"/>
                        </w14:solidFill>
                      </w14:textFill>
                    </w:rPr>
                    <w:t>地点</w:t>
                  </w: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佛冈县汤塘镇三门管理区下围队原三门再生纸厂房</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佛冈县汤塘镇三门管理区下围队原三门再生纸厂房</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未变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3" w:type="dxa"/>
                  <w:gridSpan w:val="2"/>
                  <w:vMerge w:val="restart"/>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生产</w:t>
                  </w:r>
                  <w:r>
                    <w:rPr>
                      <w:rFonts w:hint="default" w:ascii="Times New Roman" w:hAnsi="Times New Roman" w:eastAsia="宋体" w:cs="Times New Roman"/>
                      <w:color w:val="000000" w:themeColor="text1"/>
                      <w:sz w:val="21"/>
                      <w:szCs w:val="21"/>
                      <w14:textFill>
                        <w14:solidFill>
                          <w14:schemeClr w14:val="tx1"/>
                        </w14:solidFill>
                      </w14:textFill>
                    </w:rPr>
                    <w:t>工艺</w:t>
                  </w: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原辅材料详见表1.2-3</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原辅材料见表1.2-3</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发生变更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3" w:type="dxa"/>
                  <w:gridSpan w:val="2"/>
                  <w:vMerge w:val="continue"/>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 w:val="21"/>
                      <w:szCs w:val="21"/>
                      <w14:textFill>
                        <w14:solidFill>
                          <w14:schemeClr w14:val="tx1"/>
                        </w14:solidFill>
                      </w14:textFill>
                    </w:rPr>
                    <w:t>原报告表</w:t>
                  </w:r>
                  <w:r>
                    <w:rPr>
                      <w:rFonts w:hint="default" w:ascii="Times New Roman" w:hAnsi="Times New Roman" w:eastAsia="宋体" w:cs="Times New Roman"/>
                      <w:color w:val="000000" w:themeColor="text1"/>
                      <w:sz w:val="21"/>
                      <w:szCs w:val="21"/>
                      <w14:textFill>
                        <w14:solidFill>
                          <w14:schemeClr w14:val="tx1"/>
                        </w14:solidFill>
                      </w14:textFill>
                    </w:rPr>
                    <w:t>生产工艺见图1.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变更后生产工艺见图6.2-1~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发生变更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8" w:type="dxa"/>
                  <w:vMerge w:val="restart"/>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防治污染</w:t>
                  </w:r>
                  <w:r>
                    <w:rPr>
                      <w:rFonts w:hint="default" w:ascii="Times New Roman" w:hAnsi="Times New Roman" w:eastAsia="宋体" w:cs="Times New Roman"/>
                      <w:color w:val="000000" w:themeColor="text1"/>
                      <w:sz w:val="21"/>
                      <w:szCs w:val="21"/>
                      <w14:textFill>
                        <w14:solidFill>
                          <w14:schemeClr w14:val="tx1"/>
                        </w14:solidFill>
                      </w14:textFill>
                    </w:rPr>
                    <w:t>措施</w:t>
                  </w:r>
                </w:p>
              </w:tc>
              <w:tc>
                <w:tcPr>
                  <w:tcW w:w="515"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w:t>
                  </w:r>
                  <w:r>
                    <w:rPr>
                      <w:rFonts w:hint="default" w:ascii="Times New Roman" w:hAnsi="Times New Roman" w:eastAsia="宋体" w:cs="Times New Roman"/>
                      <w:color w:val="000000" w:themeColor="text1"/>
                      <w:sz w:val="21"/>
                      <w:szCs w:val="21"/>
                      <w:lang w:eastAsia="zh-CN"/>
                      <w14:textFill>
                        <w14:solidFill>
                          <w14:schemeClr w14:val="tx1"/>
                        </w14:solidFill>
                      </w14:textFill>
                    </w:rPr>
                    <w:t>水</w:t>
                  </w: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详见表1.2-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详见表1.2-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发生变更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8" w:type="dxa"/>
                  <w:vMerge w:val="continue"/>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15"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w:t>
                  </w:r>
                  <w:r>
                    <w:rPr>
                      <w:rFonts w:hint="default" w:ascii="Times New Roman" w:hAnsi="Times New Roman" w:eastAsia="宋体" w:cs="Times New Roman"/>
                      <w:color w:val="000000" w:themeColor="text1"/>
                      <w:sz w:val="21"/>
                      <w:szCs w:val="21"/>
                      <w:lang w:eastAsia="zh-CN"/>
                      <w14:textFill>
                        <w14:solidFill>
                          <w14:schemeClr w14:val="tx1"/>
                        </w14:solidFill>
                      </w14:textFill>
                    </w:rPr>
                    <w:t>气</w:t>
                  </w: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详见表1.2-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详见表1.2-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发生变更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8" w:type="dxa"/>
                  <w:vMerge w:val="continue"/>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15"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隔声、减震、消声</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隔声、减震、消声</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未变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8" w:type="dxa"/>
                  <w:vMerge w:val="continue"/>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15"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3556"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详见表1.2-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3257"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详见表1.2-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发生变更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3" w:type="dxa"/>
                  <w:gridSpan w:val="2"/>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防止生态破坏</w:t>
                  </w:r>
                  <w:r>
                    <w:rPr>
                      <w:rFonts w:hint="default" w:ascii="Times New Roman" w:hAnsi="Times New Roman" w:eastAsia="宋体" w:cs="Times New Roman"/>
                      <w:color w:val="000000" w:themeColor="text1"/>
                      <w:sz w:val="21"/>
                      <w:szCs w:val="21"/>
                      <w14:textFill>
                        <w14:solidFill>
                          <w14:schemeClr w14:val="tx1"/>
                        </w14:solidFill>
                      </w14:textFill>
                    </w:rPr>
                    <w:t>措施</w:t>
                  </w:r>
                </w:p>
              </w:tc>
              <w:tc>
                <w:tcPr>
                  <w:tcW w:w="3556" w:type="dxa"/>
                  <w:tcBorders>
                    <w:tl2br w:val="nil"/>
                    <w:tr2bl w:val="nil"/>
                  </w:tcBorders>
                  <w:vAlign w:val="center"/>
                </w:tcPr>
                <w:p>
                  <w:pPr>
                    <w:pStyle w:val="23"/>
                    <w:keepNext w:val="0"/>
                    <w:keepLines w:val="0"/>
                    <w:pageBreakBefore w:val="0"/>
                    <w:widowControl/>
                    <w:kinsoku/>
                    <w:wordWrap w:val="0"/>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绿化面积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14:textFill>
                        <w14:solidFill>
                          <w14:schemeClr w14:val="tx1"/>
                        </w14:solidFill>
                      </w14:textFill>
                    </w:rPr>
                    <w:t>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p>
              </w:tc>
              <w:tc>
                <w:tcPr>
                  <w:tcW w:w="3257" w:type="dxa"/>
                  <w:tcBorders>
                    <w:tl2br w:val="nil"/>
                    <w:tr2bl w:val="nil"/>
                  </w:tcBorders>
                  <w:vAlign w:val="center"/>
                </w:tcPr>
                <w:p>
                  <w:pPr>
                    <w:pStyle w:val="23"/>
                    <w:keepNext w:val="0"/>
                    <w:keepLines w:val="0"/>
                    <w:pageBreakBefore w:val="0"/>
                    <w:widowControl/>
                    <w:kinsoku/>
                    <w:wordWrap w:val="0"/>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绿化面积</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14:textFill>
                        <w14:solidFill>
                          <w14:schemeClr w14:val="tx1"/>
                        </w14:solidFill>
                      </w14:textFill>
                    </w:rPr>
                    <w:t>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p>
              </w:tc>
              <w:tc>
                <w:tcPr>
                  <w:tcW w:w="1303" w:type="dxa"/>
                  <w:tcBorders>
                    <w:tl2br w:val="nil"/>
                    <w:tr2bl w:val="nil"/>
                  </w:tcBorders>
                  <w:vAlign w:val="center"/>
                </w:tcPr>
                <w:p>
                  <w:pPr>
                    <w:pStyle w:val="23"/>
                    <w:wordWrap w:val="0"/>
                    <w:spacing w:before="0" w:beforeAutospacing="0" w:after="0" w:afterAutospacing="0"/>
                    <w:ind w:left="-42" w:leftChars="-20" w:right="-42" w:rightChars="-2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未变</w:t>
                  </w:r>
                </w:p>
              </w:tc>
            </w:tr>
          </w:tbl>
          <w:p>
            <w:pPr>
              <w:pStyle w:val="72"/>
              <w:keepNext w:val="0"/>
              <w:keepLines w:val="0"/>
              <w:pageBreakBefore w:val="0"/>
              <w:widowControl w:val="0"/>
              <w:kinsoku/>
              <w:wordWrap/>
              <w:overflowPunct/>
              <w:topLinePunct w:val="0"/>
              <w:autoSpaceDE/>
              <w:autoSpaceDN/>
              <w:bidi w:val="0"/>
              <w:adjustRightInd/>
              <w:snapToGrid/>
              <w:spacing w:before="157" w:beforeLines="50"/>
              <w:ind w:firstLine="482" w:firstLineChars="200"/>
              <w:textAlignment w:val="baseline"/>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 xml:space="preserve"> </w:t>
            </w:r>
            <w:r>
              <w:rPr>
                <w:rFonts w:hint="default" w:ascii="Times New Roman" w:hAnsi="Times New Roman" w:eastAsia="宋体" w:cs="Times New Roman"/>
                <w:color w:val="000000" w:themeColor="text1"/>
                <w14:textFill>
                  <w14:solidFill>
                    <w14:schemeClr w14:val="tx1"/>
                  </w14:solidFill>
                </w14:textFill>
              </w:rPr>
              <w:t>根据《中华人民共和国环境影响评价法（2018年修订）》和《建设项目环境保护管理条例》的规定：“建设项目的环境影响评价文件经批准后，建设项目的性质、规模、地点、采用的生产工艺或者防治污染、防止生态破坏的措施发生重大变动的，建设单位应当重新报批建设项目的环境影响评价文件。”</w:t>
            </w:r>
          </w:p>
          <w:p>
            <w:pPr>
              <w:pStyle w:val="7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因此，</w:t>
            </w:r>
            <w:r>
              <w:rPr>
                <w:rFonts w:hint="default" w:ascii="Times New Roman" w:hAnsi="Times New Roman" w:eastAsia="宋体" w:cs="Times New Roman"/>
                <w:color w:val="000000" w:themeColor="text1"/>
                <w:lang w:eastAsia="zh-CN"/>
                <w14:textFill>
                  <w14:solidFill>
                    <w14:schemeClr w14:val="tx1"/>
                  </w14:solidFill>
                </w14:textFill>
              </w:rPr>
              <w:t>佛冈县佛创石英砂有限公司根据更改后的设计方案，</w:t>
            </w:r>
            <w:r>
              <w:rPr>
                <w:rFonts w:hint="default" w:ascii="Times New Roman" w:hAnsi="Times New Roman" w:eastAsia="宋体" w:cs="Times New Roman"/>
                <w:color w:val="000000" w:themeColor="text1"/>
                <w14:textFill>
                  <w14:solidFill>
                    <w14:schemeClr w14:val="tx1"/>
                  </w14:solidFill>
                </w14:textFill>
              </w:rPr>
              <w:t>依法重新报批</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bCs w:val="0"/>
                <w:color w:val="000000" w:themeColor="text1"/>
                <w:highlight w:val="none"/>
                <w:lang w:eastAsia="zh-CN"/>
                <w14:textFill>
                  <w14:solidFill>
                    <w14:schemeClr w14:val="tx1"/>
                  </w14:solidFill>
                </w14:textFill>
              </w:rPr>
              <w:t>佛冈县佛创石英砂有限公司年产60000吨石英砂建设项目（重新报批）”（简称‘本项目’）</w:t>
            </w:r>
            <w:r>
              <w:rPr>
                <w:rFonts w:hint="default" w:ascii="Times New Roman" w:hAnsi="Times New Roman" w:eastAsia="宋体" w:cs="Times New Roman"/>
                <w:color w:val="000000" w:themeColor="text1"/>
                <w14:textFill>
                  <w14:solidFill>
                    <w14:schemeClr w14:val="tx1"/>
                  </w14:solidFill>
                </w14:textFill>
              </w:rPr>
              <w:t>的环境影响评价文件。</w:t>
            </w:r>
          </w:p>
          <w:p>
            <w:pPr>
              <w:pStyle w:val="7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outlineLvl w:val="9"/>
              <w:rPr>
                <w:rFonts w:hint="default" w:ascii="Times New Roman" w:hAnsi="Times New Roman" w:eastAsia="宋体" w:cs="Times New Roman"/>
                <w:bCs w:val="0"/>
                <w:color w:val="000000" w:themeColor="text1"/>
                <w:spacing w:val="6"/>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本项目将外购已经精选过的</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25~50mm左右粒径的石英岩矿，先在湿砂车间通过一次破碎筛分、洗矿、二次破碎筛分、球磨、筛分、磁选、过滤（固液分离）等工序生产石英湿砂（半成品），然后湿砂车间生产的石英湿砂（半成品）进入酸洗烘干及筛分车间工序，再经过</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草酸酸洗、</w:t>
            </w:r>
            <w:r>
              <w:rPr>
                <w:rFonts w:hint="default" w:ascii="Times New Roman" w:hAnsi="Times New Roman" w:eastAsia="宋体" w:cs="Times New Roman"/>
                <w:bCs/>
                <w:color w:val="000000" w:themeColor="text1"/>
                <w:kern w:val="0"/>
                <w:sz w:val="24"/>
                <w:szCs w:val="24"/>
                <w14:textFill>
                  <w14:solidFill>
                    <w14:schemeClr w14:val="tx1"/>
                  </w14:solidFill>
                </w14:textFill>
              </w:rPr>
              <w:t>脱酸</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、水洗、</w:t>
            </w:r>
            <w:r>
              <w:rPr>
                <w:rFonts w:hint="default" w:ascii="Times New Roman" w:hAnsi="Times New Roman" w:eastAsia="宋体" w:cs="Times New Roman"/>
                <w:bCs/>
                <w:color w:val="000000" w:themeColor="text1"/>
                <w:kern w:val="0"/>
                <w:sz w:val="24"/>
                <w:szCs w:val="24"/>
                <w14:textFill>
                  <w14:solidFill>
                    <w14:schemeClr w14:val="tx1"/>
                  </w14:solidFill>
                </w14:textFill>
              </w:rPr>
              <w:t>烘干</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、除铁、色选、筛分、包装等生产工序</w:t>
            </w:r>
            <w:r>
              <w:rPr>
                <w:rFonts w:hint="default" w:ascii="Times New Roman" w:hAnsi="Times New Roman" w:eastAsia="宋体" w:cs="Times New Roman"/>
                <w:bCs/>
                <w:color w:val="000000" w:themeColor="text1"/>
                <w:kern w:val="0"/>
                <w:sz w:val="24"/>
                <w:szCs w:val="24"/>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年产</w:t>
            </w:r>
            <w:r>
              <w:rPr>
                <w:rFonts w:hint="default" w:ascii="Times New Roman" w:hAnsi="Times New Roman" w:eastAsia="宋体" w:cs="Times New Roman"/>
                <w:bCs/>
                <w:color w:val="000000" w:themeColor="text1"/>
                <w:sz w:val="24"/>
                <w:szCs w:val="24"/>
                <w14:textFill>
                  <w14:solidFill>
                    <w14:schemeClr w14:val="tx1"/>
                  </w14:solidFill>
                </w14:textFill>
              </w:rPr>
              <w:t>60000万吨</w:t>
            </w:r>
            <w:r>
              <w:rPr>
                <w:rFonts w:hint="default" w:ascii="Times New Roman" w:hAnsi="Times New Roman" w:eastAsia="宋体" w:cs="Times New Roman"/>
                <w:bCs/>
                <w:color w:val="000000" w:themeColor="text1"/>
                <w:sz w:val="24"/>
                <w:szCs w:val="24"/>
                <w:lang w:eastAsia="zh-CN"/>
                <w14:textFill>
                  <w14:solidFill>
                    <w14:schemeClr w14:val="tx1"/>
                  </w14:solidFill>
                </w14:textFill>
              </w:rPr>
              <w:t>目数为</w:t>
            </w:r>
            <w:r>
              <w:rPr>
                <w:rFonts w:hint="default" w:ascii="Times New Roman" w:hAnsi="Times New Roman" w:eastAsia="宋体" w:cs="Times New Roman"/>
                <w:bCs/>
                <w:color w:val="000000" w:themeColor="text1"/>
                <w:sz w:val="24"/>
                <w:szCs w:val="24"/>
                <w14:textFill>
                  <w14:solidFill>
                    <w14:schemeClr w14:val="tx1"/>
                  </w14:solidFill>
                </w14:textFill>
              </w:rPr>
              <w:t>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Cs/>
                <w:color w:val="000000" w:themeColor="text1"/>
                <w:sz w:val="24"/>
                <w:szCs w:val="24"/>
                <w14:textFill>
                  <w14:solidFill>
                    <w14:schemeClr w14:val="tx1"/>
                  </w14:solidFill>
                </w14:textFill>
              </w:rPr>
              <w:t>-1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24"/>
                <w14:textFill>
                  <w14:solidFill>
                    <w14:schemeClr w14:val="tx1"/>
                  </w14:solidFill>
                </w14:textFill>
              </w:rPr>
              <w:t>0目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0.15~0.71mm</w:t>
            </w:r>
            <w:r>
              <w:rPr>
                <w:rFonts w:hint="default" w:ascii="Times New Roman" w:hAnsi="Times New Roman" w:eastAsia="宋体" w:cs="Times New Roman"/>
                <w:bCs/>
                <w:color w:val="000000" w:themeColor="text1"/>
                <w:sz w:val="24"/>
                <w:szCs w:val="24"/>
                <w:lang w:eastAsia="zh-CN"/>
                <w14:textFill>
                  <w14:solidFill>
                    <w14:schemeClr w14:val="tx1"/>
                  </w14:solidFill>
                </w14:textFill>
              </w:rPr>
              <w:t>）的</w:t>
            </w:r>
            <w:r>
              <w:rPr>
                <w:rFonts w:hint="default" w:ascii="Times New Roman" w:hAnsi="Times New Roman" w:eastAsia="宋体" w:cs="Times New Roman"/>
                <w:bCs/>
                <w:color w:val="000000" w:themeColor="text1"/>
                <w:sz w:val="24"/>
                <w:szCs w:val="24"/>
                <w14:textFill>
                  <w14:solidFill>
                    <w14:schemeClr w14:val="tx1"/>
                  </w14:solidFill>
                </w14:textFill>
              </w:rPr>
              <w:t>石英</w:t>
            </w:r>
            <w:r>
              <w:rPr>
                <w:rFonts w:hint="default" w:ascii="Times New Roman" w:hAnsi="Times New Roman" w:eastAsia="宋体" w:cs="Times New Roman"/>
                <w:bCs/>
                <w:color w:val="000000" w:themeColor="text1"/>
                <w:sz w:val="24"/>
                <w:szCs w:val="24"/>
                <w:lang w:eastAsia="zh-CN"/>
                <w14:textFill>
                  <w14:solidFill>
                    <w14:schemeClr w14:val="tx1"/>
                  </w14:solidFill>
                </w14:textFill>
              </w:rPr>
              <w:t>精</w:t>
            </w:r>
            <w:r>
              <w:rPr>
                <w:rFonts w:hint="default" w:ascii="Times New Roman" w:hAnsi="Times New Roman" w:eastAsia="宋体" w:cs="Times New Roman"/>
                <w:bCs/>
                <w:color w:val="000000" w:themeColor="text1"/>
                <w:sz w:val="24"/>
                <w:szCs w:val="24"/>
                <w14:textFill>
                  <w14:solidFill>
                    <w14:schemeClr w14:val="tx1"/>
                  </w14:solidFill>
                </w14:textFill>
              </w:rPr>
              <w:t>砂</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。本项目</w:t>
            </w:r>
            <w:r>
              <w:rPr>
                <w:rFonts w:hint="default" w:ascii="Times New Roman" w:hAnsi="Times New Roman" w:eastAsia="宋体" w:cs="Times New Roman"/>
                <w:bCs/>
                <w:color w:val="000000" w:themeColor="text1"/>
                <w:sz w:val="24"/>
                <w:szCs w:val="24"/>
                <w14:textFill>
                  <w14:solidFill>
                    <w14:schemeClr w14:val="tx1"/>
                  </w14:solidFill>
                </w14:textFill>
              </w:rPr>
              <w:t>投资</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14:textFill>
                  <w14:solidFill>
                    <w14:schemeClr w14:val="tx1"/>
                  </w14:solidFill>
                </w14:textFill>
              </w:rPr>
              <w:t>00万</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劳动定员20人，</w:t>
            </w:r>
            <w:r>
              <w:rPr>
                <w:rFonts w:hint="default" w:ascii="Times New Roman" w:hAnsi="Times New Roman" w:eastAsia="宋体" w:cs="Times New Roman"/>
                <w:color w:val="000000" w:themeColor="text1"/>
                <w:sz w:val="24"/>
                <w14:textFill>
                  <w14:solidFill>
                    <w14:schemeClr w14:val="tx1"/>
                  </w14:solidFill>
                </w14:textFill>
              </w:rPr>
              <w:t>占地面积</w:t>
            </w:r>
            <w:r>
              <w:rPr>
                <w:rFonts w:hint="default" w:ascii="Times New Roman" w:hAnsi="Times New Roman" w:eastAsia="宋体" w:cs="Times New Roman"/>
                <w:color w:val="000000" w:themeColor="text1"/>
                <w:sz w:val="24"/>
                <w:lang w:val="en-US" w:eastAsia="zh-CN"/>
                <w14:textFill>
                  <w14:solidFill>
                    <w14:schemeClr w14:val="tx1"/>
                  </w14:solidFill>
                </w14:textFill>
              </w:rPr>
              <w:t>200</w:t>
            </w:r>
            <w:r>
              <w:rPr>
                <w:rFonts w:hint="eastAsia"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lang w:val="en-US" w:eastAsia="zh-CN"/>
                <w14:textFill>
                  <w14:solidFill>
                    <w14:schemeClr w14:val="tx1"/>
                  </w14:solidFill>
                </w14:textFill>
              </w:rPr>
              <w:t>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，建筑面积</w:t>
            </w:r>
            <w:r>
              <w:rPr>
                <w:rFonts w:hint="eastAsia"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55</w:t>
            </w:r>
            <w:r>
              <w:rPr>
                <w:rFonts w:hint="default" w:ascii="Times New Roman" w:hAnsi="Times New Roman" w:eastAsia="宋体" w:cs="Times New Roman"/>
                <w:color w:val="000000" w:themeColor="text1"/>
                <w:sz w:val="24"/>
                <w14:textFill>
                  <w14:solidFill>
                    <w14:schemeClr w14:val="tx1"/>
                  </w14:solidFill>
                </w14:textFill>
              </w:rPr>
              <w:t>0m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pPr>
          </w:p>
          <w:p>
            <w:pPr>
              <w:pStyle w:val="2"/>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4184" w:hRule="atLeast"/>
          <w:jc w:val="center"/>
        </w:trPr>
        <w:tc>
          <w:tcPr>
            <w:tcW w:w="9435" w:type="dxa"/>
            <w:gridSpan w:val="11"/>
          </w:tcPr>
          <w:p>
            <w:pPr>
              <w:pStyle w:val="72"/>
              <w:keepNext w:val="0"/>
              <w:keepLines w:val="0"/>
              <w:pageBreakBefore w:val="0"/>
              <w:widowControl w:val="0"/>
              <w:kinsoku/>
              <w:wordWrap/>
              <w:overflowPunct/>
              <w:topLinePunct w:val="0"/>
              <w:autoSpaceDE/>
              <w:autoSpaceDN/>
              <w:bidi w:val="0"/>
              <w:adjustRightInd/>
              <w:snapToGrid/>
              <w:spacing w:line="360" w:lineRule="auto"/>
              <w:ind w:firstLin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 xml:space="preserve"> </w:t>
            </w:r>
            <w:r>
              <w:rPr>
                <w:rFonts w:hint="default" w:ascii="Times New Roman" w:hAnsi="Times New Roman" w:eastAsia="宋体" w:cs="Times New Roman"/>
                <w:b/>
                <w:iCs/>
                <w:color w:val="000000" w:themeColor="text1"/>
                <w:highlight w:val="none"/>
                <w14:textFill>
                  <w14:solidFill>
                    <w14:schemeClr w14:val="tx1"/>
                  </w14:solidFill>
                </w14:textFill>
              </w:rPr>
              <w:t>1.1.2</w:t>
            </w:r>
            <w:r>
              <w:rPr>
                <w:rFonts w:hint="default" w:ascii="Times New Roman" w:hAnsi="Times New Roman" w:eastAsia="宋体" w:cs="Times New Roman"/>
                <w:b/>
                <w:color w:val="000000" w:themeColor="text1"/>
                <w:highlight w:val="none"/>
                <w14:textFill>
                  <w14:solidFill>
                    <w14:schemeClr w14:val="tx1"/>
                  </w14:solidFill>
                </w14:textFill>
              </w:rPr>
              <w:t>任务由来</w:t>
            </w:r>
          </w:p>
          <w:p>
            <w:pPr>
              <w:pStyle w:val="72"/>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根据《中华人民共和国环境保护法》、《中华人民共和国环境影响评价法》和《建设项目环境保护管理条例》等有关环保法律、法规，本项目需进行环境影响评价。</w:t>
            </w:r>
            <w:r>
              <w:rPr>
                <w:rFonts w:hint="default" w:ascii="Times New Roman" w:hAnsi="Times New Roman" w:eastAsia="宋体" w:cs="Times New Roman"/>
                <w:color w:val="000000" w:themeColor="text1"/>
                <w14:textFill>
                  <w14:solidFill>
                    <w14:schemeClr w14:val="tx1"/>
                  </w14:solidFill>
                </w14:textFill>
              </w:rPr>
              <w:t>检索《国民经济行业分类》（GBT4754-2017）项目属于“C制造业”类别中的“C3099其他非金属矿物制品制造”</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检索《建设项目环境影响评价分类管理名录》（2017年修订，2018年修改单），判定项目类别为“十九、非金属矿物制品业</w:t>
            </w:r>
            <w:r>
              <w:rPr>
                <w:rFonts w:hint="default" w:ascii="Times New Roman" w:hAnsi="Times New Roman" w:eastAsia="宋体" w:cs="Times New Roman"/>
                <w:color w:val="000000" w:themeColor="text1"/>
                <w:lang w:val="en-US" w:eastAsia="zh-CN"/>
                <w14:textFill>
                  <w14:solidFill>
                    <w14:schemeClr w14:val="tx1"/>
                  </w14:solidFill>
                </w14:textFill>
              </w:rPr>
              <w:t>-56石墨及其他非金属矿物制品</w:t>
            </w:r>
            <w:r>
              <w:rPr>
                <w:rFonts w:hint="default" w:ascii="Times New Roman" w:hAnsi="Times New Roman" w:eastAsia="宋体" w:cs="Times New Roman"/>
                <w:color w:val="000000" w:themeColor="text1"/>
                <w:lang w:eastAsia="zh-CN"/>
                <w14:textFill>
                  <w14:solidFill>
                    <w14:schemeClr w14:val="tx1"/>
                  </w14:solidFill>
                </w14:textFill>
              </w:rPr>
              <w:t>；其他</w:t>
            </w:r>
            <w:r>
              <w:rPr>
                <w:rFonts w:hint="default" w:ascii="Times New Roman" w:hAnsi="Times New Roman" w:eastAsia="宋体" w:cs="Times New Roman"/>
                <w:color w:val="000000" w:themeColor="text1"/>
                <w14:textFill>
                  <w14:solidFill>
                    <w14:schemeClr w14:val="tx1"/>
                  </w14:solidFill>
                </w14:textFill>
              </w:rPr>
              <w:t>--报告表”</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故</w:t>
            </w:r>
            <w:r>
              <w:rPr>
                <w:rFonts w:hint="default" w:ascii="Times New Roman" w:hAnsi="Times New Roman" w:eastAsia="宋体" w:cs="Times New Roman"/>
                <w:color w:val="000000" w:themeColor="text1"/>
                <w14:textFill>
                  <w14:solidFill>
                    <w14:schemeClr w14:val="tx1"/>
                  </w14:solidFill>
                </w14:textFill>
              </w:rPr>
              <w:t>应编制环境影响报告表。</w:t>
            </w:r>
          </w:p>
          <w:p>
            <w:pPr>
              <w:pStyle w:val="72"/>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本项目环境影响评价类别</w:t>
            </w:r>
            <w:r>
              <w:rPr>
                <w:rFonts w:hint="default" w:ascii="Times New Roman" w:hAnsi="Times New Roman" w:eastAsia="宋体" w:cs="Times New Roman"/>
                <w:color w:val="000000" w:themeColor="text1"/>
                <w:highlight w:val="none"/>
                <w14:textFill>
                  <w14:solidFill>
                    <w14:schemeClr w14:val="tx1"/>
                  </w14:solidFill>
                </w14:textFill>
              </w:rPr>
              <w:t>判定依据</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详见下表1.1-</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50" w:line="240" w:lineRule="auto"/>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表1.1-</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 xml:space="preserve">2 </w:t>
            </w:r>
            <w:r>
              <w:rPr>
                <w:rFonts w:hint="default" w:ascii="Times New Roman" w:hAnsi="Times New Roman" w:eastAsia="宋体" w:cs="Times New Roman"/>
                <w:b/>
                <w:color w:val="000000" w:themeColor="text1"/>
                <w:sz w:val="24"/>
                <w:highlight w:val="none"/>
                <w14:textFill>
                  <w14:solidFill>
                    <w14:schemeClr w14:val="tx1"/>
                  </w14:solidFill>
                </w14:textFill>
              </w:rPr>
              <w:t>本项目环境影响评价类别判定表</w:t>
            </w:r>
          </w:p>
          <w:tbl>
            <w:tblPr>
              <w:tblStyle w:val="26"/>
              <w:tblW w:w="92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61"/>
              <w:gridCol w:w="6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1" w:type="dxa"/>
                  <w:tcBorders>
                    <w:tl2br w:val="nil"/>
                    <w:tr2bl w:val="nil"/>
                  </w:tcBorders>
                  <w:vAlign w:val="center"/>
                </w:tcPr>
                <w:p>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判定依据</w:t>
                  </w:r>
                </w:p>
              </w:tc>
              <w:tc>
                <w:tcPr>
                  <w:tcW w:w="6658" w:type="dxa"/>
                  <w:tcBorders>
                    <w:tl2br w:val="nil"/>
                    <w:tr2bl w:val="nil"/>
                  </w:tcBorders>
                  <w:vAlign w:val="center"/>
                </w:tcPr>
                <w:p>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内容分析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1"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建设项目工程內容及规模</w:t>
                  </w:r>
                </w:p>
              </w:tc>
              <w:tc>
                <w:tcPr>
                  <w:tcW w:w="665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年产60000吨石英砂</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详见1.2工程内容及规模。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1"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国民经济行业类别及代码</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2017年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658"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C3099其他非金属矿物制品制造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1"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建设项目环境影响评价分类管理名录</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2018年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65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十九、非金属矿物制品业</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-56石墨及其他非金属矿物制品。含焙烧的石墨、碳素制品--报告书；其他--报告表。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1" w:type="dxa"/>
                  <w:tcBorders>
                    <w:tl2br w:val="nil"/>
                    <w:tr2bl w:val="nil"/>
                  </w:tcBorders>
                  <w:vAlign w:val="center"/>
                </w:tcPr>
                <w:p>
                  <w:pPr>
                    <w:pStyle w:val="23"/>
                    <w:spacing w:before="0" w:beforeAutospacing="0" w:after="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建设项目</w:t>
                  </w:r>
                  <w:r>
                    <w:rPr>
                      <w:rFonts w:hint="default" w:ascii="Times New Roman" w:hAnsi="Times New Roman" w:eastAsia="宋体" w:cs="Times New Roman"/>
                      <w:color w:val="000000" w:themeColor="text1"/>
                      <w:sz w:val="21"/>
                      <w:szCs w:val="21"/>
                      <w:highlight w:val="none"/>
                      <w14:textFill>
                        <w14:solidFill>
                          <w14:schemeClr w14:val="tx1"/>
                        </w14:solidFill>
                      </w14:textFill>
                    </w:rPr>
                    <w:t>环评类别判定</w:t>
                  </w:r>
                </w:p>
              </w:tc>
              <w:tc>
                <w:tcPr>
                  <w:tcW w:w="665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 w:val="0"/>
                      <w:bCs w:val="0"/>
                      <w:caps w:val="0"/>
                      <w:color w:val="000000" w:themeColor="text1"/>
                      <w:sz w:val="21"/>
                      <w:szCs w:val="21"/>
                      <w:highlight w:val="none"/>
                      <w:lang w:eastAsia="zh-CN"/>
                      <w14:textFill>
                        <w14:solidFill>
                          <w14:schemeClr w14:val="tx1"/>
                        </w14:solidFill>
                      </w14:textFill>
                    </w:rPr>
                    <w:t>不涉及</w:t>
                  </w:r>
                  <w:r>
                    <w:rPr>
                      <w:rFonts w:hint="default" w:ascii="Times New Roman" w:hAnsi="Times New Roman" w:eastAsia="宋体" w:cs="Times New Roman"/>
                      <w:color w:val="000000" w:themeColor="text1"/>
                      <w:lang w:val="en-US" w:eastAsia="zh-CN"/>
                      <w14:textFill>
                        <w14:solidFill>
                          <w14:schemeClr w14:val="tx1"/>
                        </w14:solidFill>
                      </w14:textFill>
                    </w:rPr>
                    <w:t>焙烧的石墨、碳素制品</w:t>
                  </w:r>
                  <w:r>
                    <w:rPr>
                      <w:rFonts w:hint="default" w:ascii="Times New Roman" w:hAnsi="Times New Roman" w:eastAsia="宋体" w:cs="Times New Roman"/>
                      <w:b w:val="0"/>
                      <w:bCs w:val="0"/>
                      <w:caps w:val="0"/>
                      <w:color w:val="000000" w:themeColor="text1"/>
                      <w:sz w:val="21"/>
                      <w:szCs w:val="21"/>
                      <w:highlight w:val="none"/>
                      <w:lang w:eastAsia="zh-CN"/>
                      <w14:textFill>
                        <w14:solidFill>
                          <w14:schemeClr w14:val="tx1"/>
                        </w14:solidFill>
                      </w14:textFill>
                    </w:rPr>
                    <w:t>，属于其他，应编制</w:t>
                  </w:r>
                  <w:r>
                    <w:rPr>
                      <w:rFonts w:hint="default" w:ascii="Times New Roman" w:hAnsi="Times New Roman" w:eastAsia="宋体" w:cs="Times New Roman"/>
                      <w:b w:val="0"/>
                      <w:bCs w:val="0"/>
                      <w:caps w:val="0"/>
                      <w:color w:val="000000" w:themeColor="text1"/>
                      <w:highlight w:val="none"/>
                      <w14:textFill>
                        <w14:solidFill>
                          <w14:schemeClr w14:val="tx1"/>
                        </w14:solidFill>
                      </w14:textFill>
                    </w:rPr>
                    <w:t>环境影响</w:t>
                  </w:r>
                  <w:r>
                    <w:rPr>
                      <w:rFonts w:hint="default" w:ascii="Times New Roman" w:hAnsi="Times New Roman" w:eastAsia="宋体" w:cs="Times New Roman"/>
                      <w:b w:val="0"/>
                      <w:bCs w:val="0"/>
                      <w:caps w:val="0"/>
                      <w:color w:val="000000" w:themeColor="text1"/>
                      <w:sz w:val="21"/>
                      <w:szCs w:val="21"/>
                      <w:highlight w:val="none"/>
                      <w:lang w:eastAsia="zh-CN"/>
                      <w14:textFill>
                        <w14:solidFill>
                          <w14:schemeClr w14:val="tx1"/>
                        </w14:solidFill>
                      </w14:textFill>
                    </w:rPr>
                    <w:t>报告表</w:t>
                  </w:r>
                  <w:r>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61" w:type="dxa"/>
                  <w:tcBorders>
                    <w:tl2br w:val="nil"/>
                    <w:tr2bl w:val="nil"/>
                  </w:tcBorders>
                  <w:vAlign w:val="center"/>
                </w:tcPr>
                <w:p>
                  <w:pPr>
                    <w:pStyle w:val="23"/>
                    <w:spacing w:before="0" w:beforeAutospacing="0" w:after="0" w:afterAutospacing="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本项目重大变更界定</w:t>
                  </w:r>
                </w:p>
              </w:tc>
              <w:tc>
                <w:tcPr>
                  <w:tcW w:w="6658" w:type="dxa"/>
                  <w:tcBorders>
                    <w:tl2br w:val="nil"/>
                    <w:tr2bl w:val="nil"/>
                  </w:tcBorders>
                  <w:vAlign w:val="center"/>
                </w:tcPr>
                <w:p>
                  <w:pPr>
                    <w:rPr>
                      <w:rFonts w:hint="default" w:ascii="Times New Roman" w:hAnsi="Times New Roman" w:eastAsia="宋体" w:cs="Times New Roman"/>
                      <w:b w:val="0"/>
                      <w:bCs w:val="0"/>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关于印发环评管理中部分行业建设项目重大变动清单的通知》（环办〔2015〕52号）明确“建设项目的性质、规模、地点、生产工艺和环境保护措施五个因素中的一项或一项以上发生重大变动，且可能导致环境影响显著变化（特别是不利环境影响加重）的，界定为重大变动。”</w:t>
                  </w:r>
                </w:p>
              </w:tc>
            </w:tr>
          </w:tbl>
          <w:p>
            <w:pPr>
              <w:pStyle w:val="72"/>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受建设单位委托，</w:t>
            </w:r>
            <w:r>
              <w:rPr>
                <w:rFonts w:hint="default" w:ascii="Times New Roman" w:hAnsi="Times New Roman" w:eastAsia="宋体" w:cs="Times New Roman"/>
                <w:caps w:val="0"/>
                <w:color w:val="000000" w:themeColor="text1"/>
                <w:highlight w:val="none"/>
                <w:lang w:eastAsia="zh-CN"/>
                <w14:textFill>
                  <w14:solidFill>
                    <w14:schemeClr w14:val="tx1"/>
                  </w14:solidFill>
                </w14:textFill>
              </w:rPr>
              <w:t>四川省国环环境工程咨询</w:t>
            </w:r>
            <w:r>
              <w:rPr>
                <w:rFonts w:hint="default" w:ascii="Times New Roman" w:hAnsi="Times New Roman" w:eastAsia="宋体" w:cs="Times New Roman"/>
                <w:caps w:val="0"/>
                <w:color w:val="000000" w:themeColor="text1"/>
                <w:highlight w:val="none"/>
                <w14:textFill>
                  <w14:solidFill>
                    <w14:schemeClr w14:val="tx1"/>
                  </w14:solidFill>
                </w14:textFill>
              </w:rPr>
              <w:t>有限公司承担了本项目的环境影响评价工作。环评单位接受委托后，在现场踏勘、资料分析和环境</w:t>
            </w:r>
            <w:r>
              <w:rPr>
                <w:rFonts w:hint="eastAsia" w:ascii="Times New Roman" w:hAnsi="Times New Roman" w:eastAsia="宋体" w:cs="Times New Roman"/>
                <w:caps w:val="0"/>
                <w:color w:val="000000" w:themeColor="text1"/>
                <w:highlight w:val="none"/>
                <w:lang w:eastAsia="zh-CN"/>
                <w14:textFill>
                  <w14:solidFill>
                    <w14:schemeClr w14:val="tx1"/>
                  </w14:solidFill>
                </w14:textFill>
              </w:rPr>
              <w:t>质量调查</w:t>
            </w:r>
            <w:r>
              <w:rPr>
                <w:rFonts w:hint="default" w:ascii="Times New Roman" w:hAnsi="Times New Roman" w:eastAsia="宋体" w:cs="Times New Roman"/>
                <w:caps w:val="0"/>
                <w:color w:val="000000" w:themeColor="text1"/>
                <w:highlight w:val="none"/>
                <w14:textFill>
                  <w14:solidFill>
                    <w14:schemeClr w14:val="tx1"/>
                  </w14:solidFill>
                </w14:textFill>
              </w:rPr>
              <w:t>的基础上，按照国家和地方的有关法律法规和政策、环境影响评价技术规范和标准，编制了《</w:t>
            </w:r>
            <w:r>
              <w:rPr>
                <w:rFonts w:hint="default" w:ascii="Times New Roman" w:hAnsi="Times New Roman" w:eastAsia="宋体" w:cs="Times New Roman"/>
                <w:caps w:val="0"/>
                <w:color w:val="000000" w:themeColor="text1"/>
                <w:highlight w:val="none"/>
                <w:lang w:eastAsia="zh-CN"/>
                <w14:textFill>
                  <w14:solidFill>
                    <w14:schemeClr w14:val="tx1"/>
                  </w14:solidFill>
                </w14:textFill>
              </w:rPr>
              <w:t>佛冈县佛创石英砂有限公司年产60000吨石英砂建设项目（重新报批）</w:t>
            </w:r>
            <w:r>
              <w:rPr>
                <w:rFonts w:hint="default" w:ascii="Times New Roman" w:hAnsi="Times New Roman" w:eastAsia="宋体" w:cs="Times New Roman"/>
                <w:caps w:val="0"/>
                <w:color w:val="000000" w:themeColor="text1"/>
                <w:highlight w:val="none"/>
                <w14:textFill>
                  <w14:solidFill>
                    <w14:schemeClr w14:val="tx1"/>
                  </w14:solidFill>
                </w14:textFill>
              </w:rPr>
              <w:t>环境影响报告表》。对本项目在施工期、运营期的产污环节、环保措施、环境影响</w:t>
            </w:r>
            <w:r>
              <w:rPr>
                <w:rFonts w:hint="default" w:ascii="Times New Roman" w:hAnsi="Times New Roman" w:eastAsia="宋体" w:cs="Times New Roman"/>
                <w:caps w:val="0"/>
                <w:color w:val="000000" w:themeColor="text1"/>
                <w:highlight w:val="none"/>
                <w:lang w:eastAsia="zh-CN"/>
                <w14:textFill>
                  <w14:solidFill>
                    <w14:schemeClr w14:val="tx1"/>
                  </w14:solidFill>
                </w14:textFill>
              </w:rPr>
              <w:t>预测</w:t>
            </w:r>
            <w:r>
              <w:rPr>
                <w:rFonts w:hint="default" w:ascii="Times New Roman" w:hAnsi="Times New Roman" w:eastAsia="宋体" w:cs="Times New Roman"/>
                <w:caps w:val="0"/>
                <w:color w:val="000000" w:themeColor="text1"/>
                <w:highlight w:val="none"/>
                <w14:textFill>
                  <w14:solidFill>
                    <w14:schemeClr w14:val="tx1"/>
                  </w14:solidFill>
                </w14:textFill>
              </w:rPr>
              <w:t>、产业政策等情况进行详细评价分析，从环境保护角度评价</w:t>
            </w:r>
            <w:r>
              <w:rPr>
                <w:rFonts w:hint="default" w:ascii="Times New Roman" w:hAnsi="Times New Roman" w:eastAsia="宋体" w:cs="Times New Roman"/>
                <w:caps w:val="0"/>
                <w:color w:val="000000" w:themeColor="text1"/>
                <w:highlight w:val="none"/>
                <w:lang w:eastAsia="zh-CN"/>
                <w14:textFill>
                  <w14:solidFill>
                    <w14:schemeClr w14:val="tx1"/>
                  </w14:solidFill>
                </w14:textFill>
              </w:rPr>
              <w:t>建设项目</w:t>
            </w:r>
            <w:r>
              <w:rPr>
                <w:rFonts w:hint="default" w:ascii="Times New Roman" w:hAnsi="Times New Roman" w:eastAsia="宋体" w:cs="Times New Roman"/>
                <w:caps w:val="0"/>
                <w:color w:val="000000" w:themeColor="text1"/>
                <w:highlight w:val="none"/>
                <w14:textFill>
                  <w14:solidFill>
                    <w14:schemeClr w14:val="tx1"/>
                  </w14:solidFill>
                </w14:textFill>
              </w:rPr>
              <w:t>建设的可行性。呈报有审批权的生态环境管理部门组织评审，</w:t>
            </w:r>
            <w:r>
              <w:rPr>
                <w:rFonts w:hint="default" w:ascii="Times New Roman" w:hAnsi="Times New Roman" w:eastAsia="宋体" w:cs="Times New Roman"/>
                <w:caps w:val="0"/>
                <w:color w:val="000000" w:themeColor="text1"/>
                <w:highlight w:val="none"/>
                <w:lang w:eastAsia="zh-CN"/>
                <w14:textFill>
                  <w14:solidFill>
                    <w14:schemeClr w14:val="tx1"/>
                  </w14:solidFill>
                </w14:textFill>
              </w:rPr>
              <w:t>《报告表》</w:t>
            </w:r>
            <w:r>
              <w:rPr>
                <w:rFonts w:hint="default" w:ascii="Times New Roman" w:hAnsi="Times New Roman" w:eastAsia="宋体" w:cs="Times New Roman"/>
                <w:caps w:val="0"/>
                <w:color w:val="000000" w:themeColor="text1"/>
                <w:highlight w:val="none"/>
                <w14:textFill>
                  <w14:solidFill>
                    <w14:schemeClr w14:val="tx1"/>
                  </w14:solidFill>
                </w14:textFill>
              </w:rPr>
              <w:t>经审批后，可作为建设单位优化</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本项目</w:t>
            </w:r>
            <w:r>
              <w:rPr>
                <w:rFonts w:hint="default" w:ascii="Times New Roman" w:hAnsi="Times New Roman" w:eastAsia="宋体" w:cs="Times New Roman"/>
                <w:caps w:val="0"/>
                <w:color w:val="000000" w:themeColor="text1"/>
                <w:highlight w:val="none"/>
                <w14:textFill>
                  <w14:solidFill>
                    <w14:schemeClr w14:val="tx1"/>
                  </w14:solidFill>
                </w14:textFill>
              </w:rPr>
              <w:t>工程设计</w:t>
            </w:r>
            <w:r>
              <w:rPr>
                <w:rFonts w:hint="default" w:ascii="Times New Roman" w:hAnsi="Times New Roman" w:eastAsia="宋体" w:cs="Times New Roman"/>
                <w:caps w:val="0"/>
                <w:color w:val="000000" w:themeColor="text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highlight w:val="none"/>
                <w14:textFill>
                  <w14:solidFill>
                    <w14:schemeClr w14:val="tx1"/>
                  </w14:solidFill>
                </w14:textFill>
              </w:rPr>
              <w:t>落实环保“三同时”、竣工环保验收、环境管理和生态环境管理部门行政许可及监督检查的依据。</w:t>
            </w:r>
          </w:p>
          <w:p>
            <w:pPr>
              <w:pStyle w:val="72"/>
              <w:adjustRightInd/>
              <w:ind w:firstLine="0"/>
              <w:rPr>
                <w:rFonts w:hint="default" w:ascii="Times New Roman" w:hAnsi="Times New Roman" w:eastAsia="宋体" w:cs="Times New Roman"/>
                <w:b/>
                <w:bCs w:val="0"/>
                <w:color w:val="000000" w:themeColor="text1"/>
                <w:highlight w:val="none"/>
                <w14:textFill>
                  <w14:solidFill>
                    <w14:schemeClr w14:val="tx1"/>
                  </w14:solidFill>
                </w14:textFill>
              </w:rPr>
            </w:pPr>
            <w:r>
              <w:rPr>
                <w:rFonts w:hint="default" w:ascii="Times New Roman" w:hAnsi="Times New Roman" w:eastAsia="宋体" w:cs="Times New Roman"/>
                <w:b/>
                <w:iCs/>
                <w:color w:val="000000" w:themeColor="text1"/>
                <w:highlight w:val="none"/>
                <w14:textFill>
                  <w14:solidFill>
                    <w14:schemeClr w14:val="tx1"/>
                  </w14:solidFill>
                </w14:textFill>
              </w:rPr>
              <w:t>1.1.3</w:t>
            </w:r>
            <w:r>
              <w:rPr>
                <w:rFonts w:hint="default" w:ascii="Times New Roman" w:hAnsi="Times New Roman" w:eastAsia="宋体" w:cs="Times New Roman"/>
                <w:b/>
                <w:snapToGrid w:val="0"/>
                <w:color w:val="000000" w:themeColor="text1"/>
                <w:kern w:val="0"/>
                <w:szCs w:val="21"/>
                <w:highlight w:val="none"/>
                <w14:textFill>
                  <w14:solidFill>
                    <w14:schemeClr w14:val="tx1"/>
                  </w14:solidFill>
                </w14:textFill>
              </w:rPr>
              <w:t>评价目的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（1）开展环境现状调查，进行环境现状监测，了解评价区域的环境特征，为环境影响评价提供依据。    </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2）通过工程分析，识别项目主要污染源，确定主要污染因子和环境影响要素；预测并分析项目运营期对周边环境可能造成的范围及程度；提出符合环境特征、具有可操作性的避免或减轻环境污染的对策及建议，为建设单位的环境管理工作提供科学依据。 </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（3）从环保法规、政策规划、环境区划、环境管理、环境容量、总量控制、治污措施、达标排放等方面对建设项目可行性做出评价结论。</w:t>
            </w:r>
          </w:p>
          <w:p>
            <w:pPr>
              <w:pStyle w:val="72"/>
              <w:adjustRightInd/>
              <w:ind w:firstLine="0"/>
              <w:rPr>
                <w:rFonts w:hint="default" w:ascii="Times New Roman" w:hAnsi="Times New Roman" w:eastAsia="宋体" w:cs="Times New Roman"/>
                <w:b/>
                <w:snapToGrid w:val="0"/>
                <w:color w:val="000000" w:themeColor="text1"/>
                <w:kern w:val="0"/>
                <w:szCs w:val="21"/>
                <w:highlight w:val="none"/>
                <w14:textFill>
                  <w14:solidFill>
                    <w14:schemeClr w14:val="tx1"/>
                  </w14:solidFill>
                </w14:textFill>
              </w:rPr>
            </w:pPr>
            <w:r>
              <w:rPr>
                <w:rFonts w:hint="default" w:ascii="Times New Roman" w:hAnsi="Times New Roman" w:eastAsia="宋体" w:cs="Times New Roman"/>
                <w:b/>
                <w:iCs/>
                <w:color w:val="000000" w:themeColor="text1"/>
                <w:highlight w:val="none"/>
                <w14:textFill>
                  <w14:solidFill>
                    <w14:schemeClr w14:val="tx1"/>
                  </w14:solidFill>
                </w14:textFill>
              </w:rPr>
              <w:t>1.1.4</w:t>
            </w:r>
            <w:r>
              <w:rPr>
                <w:rFonts w:hint="default" w:ascii="Times New Roman" w:hAnsi="Times New Roman" w:eastAsia="宋体" w:cs="Times New Roman"/>
                <w:b/>
                <w:snapToGrid w:val="0"/>
                <w:color w:val="000000" w:themeColor="text1"/>
                <w:kern w:val="0"/>
                <w:szCs w:val="21"/>
                <w:highlight w:val="none"/>
                <w14:textFill>
                  <w14:solidFill>
                    <w14:schemeClr w14:val="tx1"/>
                  </w14:solidFill>
                </w14:textFill>
              </w:rPr>
              <w:t>评价关注的主要环境问题</w:t>
            </w:r>
          </w:p>
          <w:p>
            <w:pPr>
              <w:pStyle w:val="72"/>
              <w:adjustRightInd/>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（1）内环境：</w:t>
            </w:r>
            <w:r>
              <w:rPr>
                <w:rFonts w:hint="default" w:ascii="Times New Roman" w:hAnsi="Times New Roman" w:eastAsia="宋体" w:cs="Times New Roman"/>
                <w:color w:val="000000" w:themeColor="text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highlight w:val="none"/>
                <w14:textFill>
                  <w14:solidFill>
                    <w14:schemeClr w14:val="tx1"/>
                  </w14:solidFill>
                </w14:textFill>
              </w:rPr>
              <w:t>运行期排放生产废气对环境空气的影响，生活污水和生产废水对水环境的影响，噪声对周围声环境的影响，各类固废对环境的影响；以及上述主要环境问题对评价范围内敏感点的影响。</w:t>
            </w:r>
          </w:p>
          <w:p>
            <w:pPr>
              <w:pStyle w:val="72"/>
              <w:keepNext w:val="0"/>
              <w:keepLines w:val="0"/>
              <w:pageBreakBefore w:val="0"/>
              <w:widowControl w:val="0"/>
              <w:kinsoku/>
              <w:wordWrap/>
              <w:overflowPunct/>
              <w:topLinePunct w:val="0"/>
              <w:autoSpaceDE/>
              <w:autoSpaceDN/>
              <w:bidi w:val="0"/>
              <w:adjustRightInd/>
              <w:snapToGrid/>
              <w:ind w:firstLine="480" w:firstLineChars="200"/>
              <w:textAlignment w:val="baseline"/>
              <w:outlineLvl w:val="9"/>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（2）外环境：项目所在区域环境功能区划及存在的环境问题（如环境容量是否超负荷，用</w:t>
            </w:r>
            <w:r>
              <w:rPr>
                <w:rFonts w:hint="default" w:ascii="Times New Roman" w:hAnsi="Times New Roman" w:eastAsia="宋体" w:cs="Times New Roman"/>
                <w:color w:val="000000" w:themeColor="text1"/>
                <w:highlight w:val="none"/>
                <w:lang w:eastAsia="zh-CN"/>
                <w14:textFill>
                  <w14:solidFill>
                    <w14:schemeClr w14:val="tx1"/>
                  </w14:solidFill>
                </w14:textFill>
              </w:rPr>
              <w:t>地</w:t>
            </w:r>
            <w:r>
              <w:rPr>
                <w:rFonts w:hint="default" w:ascii="Times New Roman" w:hAnsi="Times New Roman" w:eastAsia="宋体" w:cs="Times New Roman"/>
                <w:color w:val="000000" w:themeColor="text1"/>
                <w:highlight w:val="none"/>
                <w14:textFill>
                  <w14:solidFill>
                    <w14:schemeClr w14:val="tx1"/>
                  </w14:solidFill>
                </w14:textFill>
              </w:rPr>
              <w:t>是否违背规划，生态敏感目标是否受到威胁等问题）。</w:t>
            </w:r>
          </w:p>
          <w:p>
            <w:pPr>
              <w:pStyle w:val="72"/>
              <w:keepNext w:val="0"/>
              <w:keepLines w:val="0"/>
              <w:pageBreakBefore w:val="0"/>
              <w:widowControl w:val="0"/>
              <w:kinsoku/>
              <w:wordWrap/>
              <w:overflowPunct/>
              <w:topLinePunct w:val="0"/>
              <w:autoSpaceDE/>
              <w:autoSpaceDN/>
              <w:bidi w:val="0"/>
              <w:adjustRightInd/>
              <w:snapToGrid/>
              <w:ind w:firstLine="0"/>
              <w:jc w:val="left"/>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iCs/>
                <w:color w:val="000000" w:themeColor="text1"/>
                <w:sz w:val="28"/>
                <w:szCs w:val="28"/>
                <w:highlight w:val="none"/>
                <w14:textFill>
                  <w14:solidFill>
                    <w14:schemeClr w14:val="tx1"/>
                  </w14:solidFill>
                </w14:textFill>
              </w:rPr>
              <w:t>1.2</w:t>
            </w:r>
            <w:r>
              <w:rPr>
                <w:rFonts w:hint="default" w:ascii="Times New Roman" w:hAnsi="Times New Roman" w:eastAsia="宋体" w:cs="Times New Roman"/>
                <w:b/>
                <w:color w:val="000000" w:themeColor="text1"/>
                <w:sz w:val="28"/>
                <w:szCs w:val="28"/>
                <w:highlight w:val="none"/>
                <w14:textFill>
                  <w14:solidFill>
                    <w14:schemeClr w14:val="tx1"/>
                  </w14:solidFill>
                </w14:textFill>
              </w:rPr>
              <w:t>工程内容及规模</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pacing w:val="6"/>
                <w14:textFill>
                  <w14:solidFill>
                    <w14:schemeClr w14:val="tx1"/>
                  </w14:solidFill>
                </w14:textFill>
              </w:rPr>
            </w:pPr>
            <w:r>
              <w:rPr>
                <w:rFonts w:hint="default" w:ascii="Times New Roman" w:hAnsi="Times New Roman" w:eastAsia="宋体" w:cs="Times New Roman"/>
                <w:b/>
                <w:iCs/>
                <w:color w:val="000000" w:themeColor="text1"/>
                <w:lang w:val="en-US" w:eastAsia="zh-CN"/>
                <w14:textFill>
                  <w14:solidFill>
                    <w14:schemeClr w14:val="tx1"/>
                  </w14:solidFill>
                </w14:textFill>
              </w:rPr>
              <w:t>1</w:t>
            </w:r>
            <w:r>
              <w:rPr>
                <w:rFonts w:hint="default" w:ascii="Times New Roman" w:hAnsi="Times New Roman" w:eastAsia="宋体" w:cs="Times New Roman"/>
                <w:b/>
                <w:iCs/>
                <w:color w:val="000000" w:themeColor="text1"/>
                <w14:textFill>
                  <w14:solidFill>
                    <w14:schemeClr w14:val="tx1"/>
                  </w14:solidFill>
                </w14:textFill>
              </w:rPr>
              <w:t>.2.1</w:t>
            </w:r>
            <w:r>
              <w:rPr>
                <w:rFonts w:hint="default" w:ascii="Times New Roman" w:hAnsi="Times New Roman" w:eastAsia="宋体" w:cs="Times New Roman"/>
                <w:b/>
                <w:iCs/>
                <w:color w:val="000000" w:themeColor="text1"/>
                <w:lang w:eastAsia="zh-CN"/>
                <w14:textFill>
                  <w14:solidFill>
                    <w14:schemeClr w14:val="tx1"/>
                  </w14:solidFill>
                </w14:textFill>
              </w:rPr>
              <w:t>变动</w:t>
            </w:r>
            <w:r>
              <w:rPr>
                <w:rFonts w:hint="default" w:ascii="Times New Roman" w:hAnsi="Times New Roman" w:eastAsia="宋体" w:cs="Times New Roman"/>
                <w:b/>
                <w:color w:val="000000" w:themeColor="text1"/>
                <w:spacing w:val="6"/>
                <w14:textFill>
                  <w14:solidFill>
                    <w14:schemeClr w14:val="tx1"/>
                  </w14:solidFill>
                </w14:textFill>
              </w:rPr>
              <w:t>前后产品方案及产量</w:t>
            </w:r>
          </w:p>
          <w:p>
            <w:pPr>
              <w:pStyle w:val="72"/>
              <w:keepNext w:val="0"/>
              <w:keepLines w:val="0"/>
              <w:pageBreakBefore w:val="0"/>
              <w:widowControl w:val="0"/>
              <w:kinsoku/>
              <w:wordWrap/>
              <w:overflowPunct/>
              <w:topLinePunct w:val="0"/>
              <w:autoSpaceDE/>
              <w:autoSpaceDN/>
              <w:bidi w:val="0"/>
              <w:adjustRightInd/>
              <w:snapToGrid/>
              <w:ind w:firstLine="480" w:firstLineChars="200"/>
              <w:textAlignment w:val="baseline"/>
              <w:outlineLvl w:val="9"/>
              <w:rPr>
                <w:rFonts w:hint="default" w:ascii="Times New Roman" w:hAnsi="Times New Roman" w:eastAsia="宋体" w:cs="Times New Roman"/>
                <w:b/>
                <w:bCs/>
                <w:caps w:val="0"/>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r>
              <w:rPr>
                <w:rFonts w:hint="default" w:ascii="Times New Roman" w:hAnsi="Times New Roman" w:eastAsia="宋体" w:cs="Times New Roman"/>
                <w:color w:val="000000" w:themeColor="text1"/>
                <w:lang w:eastAsia="zh-CN"/>
                <w14:textFill>
                  <w14:solidFill>
                    <w14:schemeClr w14:val="tx1"/>
                  </w14:solidFill>
                </w14:textFill>
              </w:rPr>
              <w:t>变动</w:t>
            </w:r>
            <w:r>
              <w:rPr>
                <w:rFonts w:hint="default" w:ascii="Times New Roman" w:hAnsi="Times New Roman" w:eastAsia="宋体" w:cs="Times New Roman"/>
                <w:color w:val="000000" w:themeColor="text1"/>
                <w14:textFill>
                  <w14:solidFill>
                    <w14:schemeClr w14:val="tx1"/>
                  </w14:solidFill>
                </w14:textFill>
              </w:rPr>
              <w:t>前、后产品</w:t>
            </w:r>
            <w:r>
              <w:rPr>
                <w:rFonts w:hint="default" w:ascii="Times New Roman" w:hAnsi="Times New Roman" w:eastAsia="宋体" w:cs="Times New Roman"/>
                <w:bCs w:val="0"/>
                <w:color w:val="000000" w:themeColor="text1"/>
                <w14:textFill>
                  <w14:solidFill>
                    <w14:schemeClr w14:val="tx1"/>
                  </w14:solidFill>
                </w14:textFill>
              </w:rPr>
              <w:t>方案详见表1.2-1。</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outlineLvl w:val="9"/>
              <w:rPr>
                <w:rFonts w:hint="default" w:ascii="Times New Roman" w:hAnsi="Times New Roman" w:eastAsia="宋体" w:cs="Times New Roman"/>
                <w:b/>
                <w:bCs/>
                <w:caps w:val="0"/>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aps w:val="0"/>
                <w:color w:val="000000" w:themeColor="text1"/>
                <w:sz w:val="24"/>
                <w:szCs w:val="24"/>
                <w:lang w:eastAsia="zh-CN"/>
                <w14:textFill>
                  <w14:solidFill>
                    <w14:schemeClr w14:val="tx1"/>
                  </w14:solidFill>
                </w14:textFill>
              </w:rPr>
              <w:t>表1</w:t>
            </w:r>
            <w:r>
              <w:rPr>
                <w:rFonts w:hint="default" w:ascii="Times New Roman" w:hAnsi="Times New Roman" w:eastAsia="宋体" w:cs="Times New Roman"/>
                <w:b/>
                <w:bCs/>
                <w:caps w:val="0"/>
                <w:color w:val="000000" w:themeColor="text1"/>
                <w:sz w:val="24"/>
                <w:szCs w:val="24"/>
                <w:lang w:val="en-US" w:eastAsia="zh-CN"/>
                <w14:textFill>
                  <w14:solidFill>
                    <w14:schemeClr w14:val="tx1"/>
                  </w14:solidFill>
                </w14:textFill>
              </w:rPr>
              <w:t>.2-1</w:t>
            </w:r>
            <w:r>
              <w:rPr>
                <w:rFonts w:hint="default" w:ascii="Times New Roman" w:hAnsi="Times New Roman" w:eastAsia="宋体" w:cs="Times New Roman"/>
                <w:b/>
                <w:bCs/>
                <w:caps w:val="0"/>
                <w:color w:val="000000" w:themeColor="text1"/>
                <w:sz w:val="24"/>
                <w:szCs w:val="24"/>
                <w:lang w:eastAsia="zh-CN"/>
                <w14:textFill>
                  <w14:solidFill>
                    <w14:schemeClr w14:val="tx1"/>
                  </w14:solidFill>
                </w14:textFill>
              </w:rPr>
              <w:t>　项目变动</w:t>
            </w:r>
            <w:r>
              <w:rPr>
                <w:rFonts w:hint="default" w:ascii="Times New Roman" w:hAnsi="Times New Roman" w:eastAsia="宋体" w:cs="Times New Roman"/>
                <w:b/>
                <w:bCs w:val="0"/>
                <w:caps w:val="0"/>
                <w:color w:val="000000" w:themeColor="text1"/>
                <w:sz w:val="24"/>
                <w:szCs w:val="24"/>
                <w:lang w:eastAsia="zh-CN"/>
                <w14:textFill>
                  <w14:solidFill>
                    <w14:schemeClr w14:val="tx1"/>
                  </w14:solidFill>
                </w14:textFill>
              </w:rPr>
              <w:t>前、后</w:t>
            </w:r>
            <w:r>
              <w:rPr>
                <w:rFonts w:hint="default" w:ascii="Times New Roman" w:hAnsi="Times New Roman" w:eastAsia="宋体" w:cs="Times New Roman"/>
                <w:b/>
                <w:bCs w:val="0"/>
                <w:caps w:val="0"/>
                <w:color w:val="000000" w:themeColor="text1"/>
                <w:sz w:val="24"/>
                <w:szCs w:val="24"/>
                <w14:textFill>
                  <w14:solidFill>
                    <w14:schemeClr w14:val="tx1"/>
                  </w14:solidFill>
                </w14:textFill>
              </w:rPr>
              <w:t>项目</w:t>
            </w:r>
            <w:r>
              <w:rPr>
                <w:rFonts w:hint="default" w:ascii="Times New Roman" w:hAnsi="Times New Roman" w:eastAsia="宋体" w:cs="Times New Roman"/>
                <w:b/>
                <w:bCs/>
                <w:caps w:val="0"/>
                <w:color w:val="000000" w:themeColor="text1"/>
                <w:sz w:val="24"/>
                <w:szCs w:val="24"/>
                <w:lang w:eastAsia="zh-CN"/>
                <w14:textFill>
                  <w14:solidFill>
                    <w14:schemeClr w14:val="tx1"/>
                  </w14:solidFill>
                </w14:textFill>
              </w:rPr>
              <w:t>产品方案</w:t>
            </w:r>
          </w:p>
          <w:tbl>
            <w:tblPr>
              <w:tblStyle w:val="26"/>
              <w:tblW w:w="915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2"/>
              <w:gridCol w:w="845"/>
              <w:gridCol w:w="2128"/>
              <w:gridCol w:w="1299"/>
              <w:gridCol w:w="2144"/>
              <w:gridCol w:w="1426"/>
              <w:gridCol w:w="9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84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名称</w:t>
                  </w:r>
                </w:p>
              </w:tc>
              <w:tc>
                <w:tcPr>
                  <w:tcW w:w="34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lang w:eastAsia="zh-CN"/>
                      <w14:textFill>
                        <w14:solidFill>
                          <w14:schemeClr w14:val="tx1"/>
                        </w14:solidFill>
                      </w14:textFill>
                    </w:rPr>
                    <w:t>变动前</w:t>
                  </w:r>
                </w:p>
              </w:tc>
              <w:tc>
                <w:tcPr>
                  <w:tcW w:w="3570"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lang w:eastAsia="zh-CN"/>
                      <w14:textFill>
                        <w14:solidFill>
                          <w14:schemeClr w14:val="tx1"/>
                        </w14:solidFill>
                      </w14:textFill>
                    </w:rPr>
                    <w:t>变动后</w:t>
                  </w:r>
                </w:p>
              </w:tc>
              <w:tc>
                <w:tcPr>
                  <w:tcW w:w="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84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128"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产品规格（粒径大小）</w:t>
                  </w:r>
                </w:p>
              </w:tc>
              <w:tc>
                <w:tcPr>
                  <w:tcW w:w="1299"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right="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lang w:eastAsia="zh-CN"/>
                      <w14:textFill>
                        <w14:solidFill>
                          <w14:schemeClr w14:val="tx1"/>
                        </w14:solidFill>
                      </w14:textFill>
                    </w:rPr>
                    <w:t>年产量</w:t>
                  </w:r>
                  <w:r>
                    <w:rPr>
                      <w:rFonts w:hint="default" w:ascii="Times New Roman" w:hAnsi="Times New Roman" w:eastAsia="宋体" w:cs="Times New Roman"/>
                      <w:b/>
                      <w:bCs/>
                      <w:caps w:val="0"/>
                      <w:color w:val="000000" w:themeColor="text1"/>
                      <w:kern w:val="21"/>
                      <w:sz w:val="21"/>
                      <w:szCs w:val="21"/>
                      <w:lang w:val="en-US" w:eastAsia="zh-CN"/>
                      <w14:textFill>
                        <w14:solidFill>
                          <w14:schemeClr w14:val="tx1"/>
                        </w14:solidFill>
                      </w14:textFill>
                    </w:rPr>
                    <w:t>t/a</w:t>
                  </w:r>
                </w:p>
              </w:tc>
              <w:tc>
                <w:tcPr>
                  <w:tcW w:w="2144"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产品规格（粒径大小）</w:t>
                  </w:r>
                </w:p>
              </w:tc>
              <w:tc>
                <w:tcPr>
                  <w:tcW w:w="1426"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lang w:eastAsia="zh-CN"/>
                      <w14:textFill>
                        <w14:solidFill>
                          <w14:schemeClr w14:val="tx1"/>
                        </w14:solidFill>
                      </w14:textFill>
                    </w:rPr>
                    <w:t>年产量</w:t>
                  </w:r>
                  <w:r>
                    <w:rPr>
                      <w:rFonts w:hint="default" w:ascii="Times New Roman" w:hAnsi="Times New Roman" w:eastAsia="宋体" w:cs="Times New Roman"/>
                      <w:b/>
                      <w:bCs/>
                      <w:caps w:val="0"/>
                      <w:color w:val="000000" w:themeColor="text1"/>
                      <w:kern w:val="21"/>
                      <w:sz w:val="21"/>
                      <w:szCs w:val="21"/>
                      <w:lang w:val="en-US" w:eastAsia="zh-CN"/>
                      <w14:textFill>
                        <w14:solidFill>
                          <w14:schemeClr w14:val="tx1"/>
                        </w14:solidFill>
                      </w14:textFill>
                    </w:rPr>
                    <w:t>t/a</w:t>
                  </w: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845"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石英砂</w:t>
                  </w:r>
                </w:p>
              </w:tc>
              <w:tc>
                <w:tcPr>
                  <w:tcW w:w="2128"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40-70#</w:t>
                  </w:r>
                </w:p>
              </w:tc>
              <w:tc>
                <w:tcPr>
                  <w:tcW w:w="1299"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约6万</w:t>
                  </w:r>
                </w:p>
              </w:tc>
              <w:tc>
                <w:tcPr>
                  <w:tcW w:w="2144"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6</w:t>
                  </w: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0目</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0.15~0.71mm</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1426" w:type="dxa"/>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约6万</w:t>
                  </w:r>
                </w:p>
              </w:tc>
              <w:tc>
                <w:tcPr>
                  <w:tcW w:w="98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845" w:type="dxa"/>
                  <w:vMerge w:val="continue"/>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28"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70-100#</w:t>
                  </w:r>
                </w:p>
              </w:tc>
              <w:tc>
                <w:tcPr>
                  <w:tcW w:w="1299"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144"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26"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98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iCs/>
                <w:cap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iCs/>
                <w:caps w:val="0"/>
                <w:color w:val="000000" w:themeColor="text1"/>
                <w:kern w:val="2"/>
                <w:sz w:val="21"/>
                <w:szCs w:val="21"/>
                <w:lang w:val="en-US" w:eastAsia="zh-CN" w:bidi="ar-SA"/>
                <w14:textFill>
                  <w14:solidFill>
                    <w14:schemeClr w14:val="tx1"/>
                  </w14:solidFill>
                </w14:textFill>
              </w:rPr>
              <w:t>备注：不改变项目最终的产量，是在原酸洗工艺前新增破碎工艺，改变了生产工艺、改变了最终产品的规格。</w:t>
            </w:r>
          </w:p>
          <w:p>
            <w:pPr>
              <w:keepNext w:val="0"/>
              <w:keepLines w:val="0"/>
              <w:pageBreakBefore w:val="0"/>
              <w:widowControl w:val="0"/>
              <w:kinsoku/>
              <w:wordWrap/>
              <w:overflowPunct/>
              <w:topLinePunct w:val="0"/>
              <w:autoSpaceDE/>
              <w:autoSpaceDN/>
              <w:bidi w:val="0"/>
              <w:adjustRightInd/>
              <w:snapToGrid/>
              <w:spacing w:before="156" w:beforeLines="50" w:line="360" w:lineRule="auto"/>
              <w:textAlignment w:val="auto"/>
              <w:outlineLvl w:val="9"/>
              <w:rPr>
                <w:rFonts w:hint="default" w:ascii="Times New Roman" w:hAnsi="Times New Roman" w:eastAsia="宋体" w:cs="Times New Roman"/>
                <w:b/>
                <w:caps w:val="0"/>
                <w:color w:val="000000" w:themeColor="text1"/>
                <w:sz w:val="24"/>
                <w14:textFill>
                  <w14:solidFill>
                    <w14:schemeClr w14:val="tx1"/>
                  </w14:solidFill>
                </w14:textFill>
              </w:rPr>
            </w:pPr>
            <w:r>
              <w:rPr>
                <w:rFonts w:hint="default" w:ascii="Times New Roman" w:hAnsi="Times New Roman" w:eastAsia="宋体" w:cs="Times New Roman"/>
                <w:b/>
                <w:bCs/>
                <w:iCs/>
                <w:caps w:val="0"/>
                <w:color w:val="000000" w:themeColor="text1"/>
                <w:kern w:val="2"/>
                <w:sz w:val="24"/>
                <w:szCs w:val="24"/>
                <w:lang w:val="en-US" w:eastAsia="zh-CN" w:bidi="ar-SA"/>
                <w14:textFill>
                  <w14:solidFill>
                    <w14:schemeClr w14:val="tx1"/>
                  </w14:solidFill>
                </w14:textFill>
              </w:rPr>
              <w:t>1.2.2变动前、后</w:t>
            </w:r>
            <w:r>
              <w:rPr>
                <w:rFonts w:hint="default" w:ascii="Times New Roman" w:hAnsi="Times New Roman" w:eastAsia="宋体" w:cs="Times New Roman"/>
                <w:b/>
                <w:caps w:val="0"/>
                <w:color w:val="000000" w:themeColor="text1"/>
                <w:sz w:val="24"/>
                <w14:textFill>
                  <w14:solidFill>
                    <w14:schemeClr w14:val="tx1"/>
                  </w14:solidFill>
                </w14:textFill>
              </w:rPr>
              <w:t>建设内容及规模</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aps w:val="0"/>
                <w:color w:val="000000" w:themeColor="text1"/>
                <w:sz w:val="24"/>
                <w:szCs w:val="24"/>
                <w14:textFill>
                  <w14:solidFill>
                    <w14:schemeClr w14:val="tx1"/>
                  </w14:solidFill>
                </w14:textFill>
              </w:rPr>
            </w:pPr>
            <w:r>
              <w:rPr>
                <w:rFonts w:hint="default" w:ascii="Times New Roman" w:hAnsi="Times New Roman" w:eastAsia="宋体" w:cs="Times New Roman"/>
                <w:caps w:val="0"/>
                <w:color w:val="000000" w:themeColor="text1"/>
                <w:sz w:val="24"/>
                <w14:textFill>
                  <w14:solidFill>
                    <w14:schemeClr w14:val="tx1"/>
                  </w14:solidFill>
                </w14:textFill>
              </w:rPr>
              <w:t xml:space="preserve">     </w:t>
            </w:r>
            <w:r>
              <w:rPr>
                <w:rFonts w:hint="default" w:ascii="Times New Roman" w:hAnsi="Times New Roman" w:eastAsia="宋体" w:cs="Times New Roman"/>
                <w:color w:val="000000" w:themeColor="text1"/>
                <w:sz w:val="24"/>
                <w14:textFill>
                  <w14:solidFill>
                    <w14:schemeClr w14:val="tx1"/>
                  </w14:solidFill>
                </w14:textFill>
              </w:rPr>
              <w:t>项目占地面积</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lang w:val="en-US" w:eastAsia="zh-CN"/>
                <w14:textFill>
                  <w14:solidFill>
                    <w14:schemeClr w14:val="tx1"/>
                  </w14:solidFill>
                </w14:textFill>
              </w:rPr>
              <w:t>000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，建筑面积</w:t>
            </w:r>
            <w:r>
              <w:rPr>
                <w:rFonts w:hint="eastAsia" w:ascii="Times New Roman" w:hAnsi="Times New Roman" w:eastAsia="宋体" w:cs="Times New Roman"/>
                <w:color w:val="000000" w:themeColor="text1"/>
                <w:sz w:val="24"/>
                <w:lang w:val="en-US" w:eastAsia="zh-CN"/>
                <w14:textFill>
                  <w14:solidFill>
                    <w14:schemeClr w14:val="tx1"/>
                  </w14:solidFill>
                </w14:textFill>
              </w:rPr>
              <w:t>75</w:t>
            </w:r>
            <w:r>
              <w:rPr>
                <w:rFonts w:hint="default" w:ascii="Times New Roman" w:hAnsi="Times New Roman" w:eastAsia="宋体" w:cs="Times New Roman"/>
                <w:color w:val="000000" w:themeColor="text1"/>
                <w:sz w:val="24"/>
                <w:lang w:val="en-US" w:eastAsia="zh-CN"/>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0m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aps w:val="0"/>
                <w:color w:val="000000" w:themeColor="text1"/>
                <w:sz w:val="24"/>
                <w:lang w:eastAsia="zh-CN"/>
                <w14:textFill>
                  <w14:solidFill>
                    <w14:schemeClr w14:val="tx1"/>
                  </w14:solidFill>
                </w14:textFill>
              </w:rPr>
              <w:t>，变动前后不变，主要</w:t>
            </w:r>
            <w:r>
              <w:rPr>
                <w:rFonts w:hint="default" w:ascii="Times New Roman" w:hAnsi="Times New Roman" w:eastAsia="宋体" w:cs="Times New Roman"/>
                <w:caps w:val="0"/>
                <w:color w:val="000000" w:themeColor="text1"/>
                <w:sz w:val="24"/>
                <w14:textFill>
                  <w14:solidFill>
                    <w14:schemeClr w14:val="tx1"/>
                  </w14:solidFill>
                </w14:textFill>
              </w:rPr>
              <w:t>建设内容及规模详见下表。</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outlineLvl w:val="9"/>
              <w:rPr>
                <w:rFonts w:hint="default" w:ascii="Times New Roman" w:hAnsi="Times New Roman" w:eastAsia="宋体" w:cs="Times New Roman"/>
                <w:b/>
                <w:caps w:val="0"/>
                <w:color w:val="000000" w:themeColor="text1"/>
                <w:sz w:val="24"/>
                <w:szCs w:val="24"/>
                <w14:textFill>
                  <w14:solidFill>
                    <w14:schemeClr w14:val="tx1"/>
                  </w14:solidFill>
                </w14:textFill>
              </w:rPr>
            </w:pPr>
            <w:r>
              <w:rPr>
                <w:rFonts w:hint="default" w:ascii="Times New Roman" w:hAnsi="Times New Roman" w:eastAsia="宋体" w:cs="Times New Roman"/>
                <w:b/>
                <w:caps w:val="0"/>
                <w:color w:val="000000" w:themeColor="text1"/>
                <w:sz w:val="24"/>
                <w:szCs w:val="24"/>
                <w14:textFill>
                  <w14:solidFill>
                    <w14:schemeClr w14:val="tx1"/>
                  </w14:solidFill>
                </w14:textFill>
              </w:rPr>
              <w:t>表1</w:t>
            </w:r>
            <w:r>
              <w:rPr>
                <w:rFonts w:hint="default" w:ascii="Times New Roman" w:hAnsi="Times New Roman" w:eastAsia="宋体" w:cs="Times New Roman"/>
                <w:b/>
                <w:cap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aps w:val="0"/>
                <w:color w:val="000000" w:themeColor="text1"/>
                <w:sz w:val="24"/>
                <w:szCs w:val="24"/>
                <w14:textFill>
                  <w14:solidFill>
                    <w14:schemeClr w14:val="tx1"/>
                  </w14:solidFill>
                </w14:textFill>
              </w:rPr>
              <w:t>-</w:t>
            </w:r>
            <w:r>
              <w:rPr>
                <w:rFonts w:hint="default" w:ascii="Times New Roman" w:hAnsi="Times New Roman" w:eastAsia="宋体" w:cs="Times New Roman"/>
                <w:b/>
                <w:cap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aps w:val="0"/>
                <w:color w:val="000000" w:themeColor="text1"/>
                <w:sz w:val="24"/>
                <w:szCs w:val="24"/>
                <w14:textFill>
                  <w14:solidFill>
                    <w14:schemeClr w14:val="tx1"/>
                  </w14:solidFill>
                </w14:textFill>
              </w:rPr>
              <w:t>　</w:t>
            </w:r>
            <w:r>
              <w:rPr>
                <w:rFonts w:hint="default" w:ascii="Times New Roman" w:hAnsi="Times New Roman" w:eastAsia="宋体" w:cs="Times New Roman"/>
                <w:b/>
                <w:caps w:val="0"/>
                <w:color w:val="000000" w:themeColor="text1"/>
                <w:sz w:val="24"/>
                <w:szCs w:val="24"/>
                <w:lang w:eastAsia="zh-CN"/>
                <w14:textFill>
                  <w14:solidFill>
                    <w14:schemeClr w14:val="tx1"/>
                  </w14:solidFill>
                </w14:textFill>
              </w:rPr>
              <w:t>项目变动前、后</w:t>
            </w:r>
            <w:r>
              <w:rPr>
                <w:rFonts w:hint="default" w:ascii="Times New Roman" w:hAnsi="Times New Roman" w:eastAsia="宋体" w:cs="Times New Roman"/>
                <w:b/>
                <w:caps w:val="0"/>
                <w:color w:val="000000" w:themeColor="text1"/>
                <w:sz w:val="24"/>
                <w:szCs w:val="24"/>
                <w14:textFill>
                  <w14:solidFill>
                    <w14:schemeClr w14:val="tx1"/>
                  </w14:solidFill>
                </w14:textFill>
              </w:rPr>
              <w:t>建设内容及规模</w:t>
            </w:r>
          </w:p>
          <w:tbl>
            <w:tblPr>
              <w:tblStyle w:val="26"/>
              <w:tblW w:w="92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547"/>
              <w:gridCol w:w="974"/>
              <w:gridCol w:w="1764"/>
              <w:gridCol w:w="2198"/>
              <w:gridCol w:w="1281"/>
              <w:gridCol w:w="16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14:textFill>
                        <w14:solidFill>
                          <w14:schemeClr w14:val="tx1"/>
                        </w14:solidFill>
                      </w14:textFill>
                    </w:rPr>
                  </w:pPr>
                  <w:r>
                    <w:rPr>
                      <w:rFonts w:hint="default" w:ascii="Times New Roman" w:hAnsi="Times New Roman" w:eastAsia="宋体" w:cs="Times New Roman"/>
                      <w:b/>
                      <w:bCs w:val="0"/>
                      <w:caps w:val="0"/>
                      <w:color w:val="000000" w:themeColor="text1"/>
                      <w:sz w:val="21"/>
                      <w:szCs w:val="21"/>
                      <w14:textFill>
                        <w14:solidFill>
                          <w14:schemeClr w14:val="tx1"/>
                        </w14:solidFill>
                      </w14:textFill>
                    </w:rPr>
                    <w:t>类别</w:t>
                  </w: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14:textFill>
                        <w14:solidFill>
                          <w14:schemeClr w14:val="tx1"/>
                        </w14:solidFill>
                      </w14:textFill>
                    </w:rPr>
                  </w:pPr>
                  <w:r>
                    <w:rPr>
                      <w:rFonts w:hint="default" w:ascii="Times New Roman" w:hAnsi="Times New Roman" w:eastAsia="宋体" w:cs="Times New Roman"/>
                      <w:b/>
                      <w:bCs w:val="0"/>
                      <w:caps w:val="0"/>
                      <w:color w:val="000000" w:themeColor="text1"/>
                      <w:sz w:val="21"/>
                      <w:szCs w:val="21"/>
                      <w14:textFill>
                        <w14:solidFill>
                          <w14:schemeClr w14:val="tx1"/>
                        </w14:solidFill>
                      </w14:textFill>
                    </w:rPr>
                    <w:t>项目名称</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caps w:val="0"/>
                      <w:color w:val="000000" w:themeColor="text1"/>
                      <w:sz w:val="21"/>
                      <w:szCs w:val="21"/>
                      <w:lang w:eastAsia="zh-CN"/>
                      <w14:textFill>
                        <w14:solidFill>
                          <w14:schemeClr w14:val="tx1"/>
                        </w14:solidFill>
                      </w14:textFill>
                    </w:rPr>
                    <w:t>变动</w:t>
                  </w: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前</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caps w:val="0"/>
                      <w:color w:val="000000" w:themeColor="text1"/>
                      <w:sz w:val="21"/>
                      <w:szCs w:val="21"/>
                      <w:lang w:eastAsia="zh-CN"/>
                      <w14:textFill>
                        <w14:solidFill>
                          <w14:schemeClr w14:val="tx1"/>
                        </w14:solidFill>
                      </w14:textFill>
                    </w:rPr>
                    <w:t>变动</w:t>
                  </w: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后</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变化量</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主体</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工程</w:t>
                  </w: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酸洗及烘干筛分车间</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一栋一层建筑(钢结构)，建筑面积</w:t>
                  </w:r>
                  <w:r>
                    <w:rPr>
                      <w:rFonts w:hint="eastAsia" w:ascii="Times New Roman" w:hAnsi="Times New Roman" w:eastAsia="宋体" w:cs="Times New Roman"/>
                      <w:color w:val="000000" w:themeColor="text1"/>
                      <w:szCs w:val="21"/>
                      <w:lang w:val="en-US" w:eastAsia="zh-CN"/>
                      <w14:textFill>
                        <w14:solidFill>
                          <w14:schemeClr w14:val="tx1"/>
                        </w14:solidFill>
                      </w14:textFill>
                    </w:rPr>
                    <w:t>50</w:t>
                  </w:r>
                  <w:r>
                    <w:rPr>
                      <w:rFonts w:hint="default" w:ascii="Times New Roman" w:hAnsi="Times New Roman" w:eastAsia="宋体" w:cs="Times New Roman"/>
                      <w:color w:val="000000" w:themeColor="text1"/>
                      <w:szCs w:val="21"/>
                      <w14:textFill>
                        <w14:solidFill>
                          <w14:schemeClr w14:val="tx1"/>
                        </w14:solidFill>
                      </w14:textFill>
                    </w:rPr>
                    <w:t>00m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，设</w:t>
                  </w:r>
                  <w:r>
                    <w:rPr>
                      <w:rFonts w:hint="default" w:ascii="Times New Roman" w:hAnsi="Times New Roman" w:eastAsia="宋体" w:cs="Times New Roman"/>
                      <w:color w:val="000000" w:themeColor="text1"/>
                      <w:szCs w:val="21"/>
                      <w:lang w:eastAsia="zh-CN"/>
                      <w14:textFill>
                        <w14:solidFill>
                          <w14:schemeClr w14:val="tx1"/>
                        </w14:solidFill>
                      </w14:textFill>
                    </w:rPr>
                    <w:t>酸洗</w:t>
                  </w:r>
                  <w:r>
                    <w:rPr>
                      <w:rFonts w:hint="default" w:ascii="Times New Roman" w:hAnsi="Times New Roman" w:eastAsia="宋体" w:cs="Times New Roman"/>
                      <w:color w:val="000000" w:themeColor="text1"/>
                      <w:szCs w:val="21"/>
                      <w14:textFill>
                        <w14:solidFill>
                          <w14:schemeClr w14:val="tx1"/>
                        </w14:solidFill>
                      </w14:textFill>
                    </w:rPr>
                    <w:t>区、水洗区、脱水区、烘干区、</w:t>
                  </w:r>
                  <w:r>
                    <w:rPr>
                      <w:rFonts w:hint="eastAsia" w:ascii="Times New Roman" w:hAnsi="Times New Roman" w:eastAsia="宋体" w:cs="Times New Roman"/>
                      <w:color w:val="000000" w:themeColor="text1"/>
                      <w:szCs w:val="21"/>
                      <w:lang w:eastAsia="zh-CN"/>
                      <w14:textFill>
                        <w14:solidFill>
                          <w14:schemeClr w14:val="tx1"/>
                        </w14:solidFill>
                      </w14:textFill>
                    </w:rPr>
                    <w:t>筛分区、</w:t>
                  </w:r>
                  <w:r>
                    <w:rPr>
                      <w:rFonts w:hint="default" w:ascii="Times New Roman" w:hAnsi="Times New Roman" w:eastAsia="宋体" w:cs="Times New Roman"/>
                      <w:color w:val="000000" w:themeColor="text1"/>
                      <w:szCs w:val="21"/>
                      <w14:textFill>
                        <w14:solidFill>
                          <w14:schemeClr w14:val="tx1"/>
                        </w14:solidFill>
                      </w14:textFill>
                    </w:rPr>
                    <w:t>包装区、成品区</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一栋一层建筑(钢结构)，建筑面积</w:t>
                  </w:r>
                  <w:r>
                    <w:rPr>
                      <w:rFonts w:hint="eastAsia" w:ascii="Times New Roman" w:hAnsi="Times New Roman" w:eastAsia="宋体" w:cs="Times New Roman"/>
                      <w:color w:val="000000" w:themeColor="text1"/>
                      <w:szCs w:val="21"/>
                      <w:lang w:val="en-US" w:eastAsia="zh-CN"/>
                      <w14:textFill>
                        <w14:solidFill>
                          <w14:schemeClr w14:val="tx1"/>
                        </w14:solidFill>
                      </w14:textFill>
                    </w:rPr>
                    <w:t>50</w:t>
                  </w:r>
                  <w:r>
                    <w:rPr>
                      <w:rFonts w:hint="default" w:ascii="Times New Roman" w:hAnsi="Times New Roman" w:eastAsia="宋体" w:cs="Times New Roman"/>
                      <w:color w:val="000000" w:themeColor="text1"/>
                      <w:szCs w:val="21"/>
                      <w14:textFill>
                        <w14:solidFill>
                          <w14:schemeClr w14:val="tx1"/>
                        </w14:solidFill>
                      </w14:textFill>
                    </w:rPr>
                    <w:t>00m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，设</w:t>
                  </w:r>
                  <w:r>
                    <w:rPr>
                      <w:rFonts w:hint="default" w:ascii="Times New Roman" w:hAnsi="Times New Roman" w:eastAsia="宋体" w:cs="Times New Roman"/>
                      <w:color w:val="000000" w:themeColor="text1"/>
                      <w:szCs w:val="21"/>
                      <w:lang w:eastAsia="zh-CN"/>
                      <w14:textFill>
                        <w14:solidFill>
                          <w14:schemeClr w14:val="tx1"/>
                        </w14:solidFill>
                      </w14:textFill>
                    </w:rPr>
                    <w:t>酸洗</w:t>
                  </w:r>
                  <w:r>
                    <w:rPr>
                      <w:rFonts w:hint="default" w:ascii="Times New Roman" w:hAnsi="Times New Roman" w:eastAsia="宋体" w:cs="Times New Roman"/>
                      <w:color w:val="000000" w:themeColor="text1"/>
                      <w:szCs w:val="21"/>
                      <w14:textFill>
                        <w14:solidFill>
                          <w14:schemeClr w14:val="tx1"/>
                        </w14:solidFill>
                      </w14:textFill>
                    </w:rPr>
                    <w:t>区、水洗区、脱水区、烘干区、</w:t>
                  </w:r>
                  <w:r>
                    <w:rPr>
                      <w:rFonts w:hint="eastAsia" w:ascii="Times New Roman" w:hAnsi="Times New Roman" w:eastAsia="宋体" w:cs="Times New Roman"/>
                      <w:color w:val="000000" w:themeColor="text1"/>
                      <w:szCs w:val="21"/>
                      <w:lang w:eastAsia="zh-CN"/>
                      <w14:textFill>
                        <w14:solidFill>
                          <w14:schemeClr w14:val="tx1"/>
                        </w14:solidFill>
                      </w14:textFill>
                    </w:rPr>
                    <w:t>筛分区、</w:t>
                  </w:r>
                  <w:r>
                    <w:rPr>
                      <w:rFonts w:hint="default" w:ascii="Times New Roman" w:hAnsi="Times New Roman" w:eastAsia="宋体" w:cs="Times New Roman"/>
                      <w:color w:val="000000" w:themeColor="text1"/>
                      <w:szCs w:val="21"/>
                      <w14:textFill>
                        <w14:solidFill>
                          <w14:schemeClr w14:val="tx1"/>
                        </w14:solidFill>
                      </w14:textFill>
                    </w:rPr>
                    <w:t>包装区、成品区</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不改变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湿砂车间</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一栋一层建筑面积</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00m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的闲置厂房</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该</w:t>
                  </w:r>
                  <w:r>
                    <w:rPr>
                      <w:rFonts w:hint="default" w:ascii="Times New Roman" w:hAnsi="Times New Roman" w:eastAsia="宋体" w:cs="Times New Roman"/>
                      <w:color w:val="000000" w:themeColor="text1"/>
                      <w:szCs w:val="21"/>
                      <w14:textFill>
                        <w14:solidFill>
                          <w14:schemeClr w14:val="tx1"/>
                        </w14:solidFill>
                      </w14:textFill>
                    </w:rPr>
                    <w:t>栋</w:t>
                  </w:r>
                  <w:r>
                    <w:rPr>
                      <w:rFonts w:hint="default" w:ascii="Times New Roman" w:hAnsi="Times New Roman" w:eastAsia="宋体" w:cs="Times New Roman"/>
                      <w:color w:val="000000" w:themeColor="text1"/>
                      <w:szCs w:val="21"/>
                      <w:lang w:eastAsia="zh-CN"/>
                      <w14:textFill>
                        <w14:solidFill>
                          <w14:schemeClr w14:val="tx1"/>
                        </w14:solidFill>
                      </w14:textFill>
                    </w:rPr>
                    <w:t>单</w:t>
                  </w:r>
                  <w:r>
                    <w:rPr>
                      <w:rFonts w:hint="default" w:ascii="Times New Roman" w:hAnsi="Times New Roman" w:eastAsia="宋体" w:cs="Times New Roman"/>
                      <w:color w:val="000000" w:themeColor="text1"/>
                      <w:szCs w:val="21"/>
                      <w14:textFill>
                        <w14:solidFill>
                          <w14:schemeClr w14:val="tx1"/>
                        </w14:solidFill>
                      </w14:textFill>
                    </w:rPr>
                    <w:t>层建筑面积</w:t>
                  </w:r>
                  <w:r>
                    <w:rPr>
                      <w:rFonts w:hint="eastAsia"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0</w:t>
                  </w:r>
                  <w:r>
                    <w:rPr>
                      <w:rFonts w:hint="default" w:ascii="Times New Roman" w:hAnsi="Times New Roman" w:eastAsia="宋体" w:cs="Times New Roman"/>
                      <w:color w:val="000000" w:themeColor="text1"/>
                      <w:szCs w:val="21"/>
                      <w14:textFill>
                        <w14:solidFill>
                          <w14:schemeClr w14:val="tx1"/>
                        </w14:solidFill>
                      </w14:textFill>
                    </w:rPr>
                    <w:t>00m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的闲置厂房用作湿砂车间</w:t>
                  </w:r>
                  <w:r>
                    <w:rPr>
                      <w:rFonts w:hint="default" w:ascii="Times New Roman" w:hAnsi="Times New Roman" w:eastAsia="宋体" w:cs="Times New Roman"/>
                      <w:color w:val="000000" w:themeColor="text1"/>
                      <w:szCs w:val="21"/>
                      <w14:textFill>
                        <w14:solidFill>
                          <w14:schemeClr w14:val="tx1"/>
                        </w14:solidFill>
                      </w14:textFill>
                    </w:rPr>
                    <w:t>，</w:t>
                  </w:r>
                  <w:r>
                    <w:rPr>
                      <w:rFonts w:hint="eastAsia" w:ascii="Times New Roman" w:hAnsi="Times New Roman" w:eastAsia="宋体" w:cs="Times New Roman"/>
                      <w:color w:val="000000" w:themeColor="text1"/>
                      <w:szCs w:val="21"/>
                      <w:lang w:eastAsia="zh-CN"/>
                      <w14:textFill>
                        <w14:solidFill>
                          <w14:schemeClr w14:val="tx1"/>
                        </w14:solidFill>
                      </w14:textFill>
                    </w:rPr>
                    <w:t>建设</w:t>
                  </w:r>
                  <w:r>
                    <w:rPr>
                      <w:rFonts w:hint="default" w:ascii="Times New Roman" w:hAnsi="Times New Roman" w:eastAsia="宋体" w:cs="Times New Roman"/>
                      <w:color w:val="000000" w:themeColor="text1"/>
                      <w:szCs w:val="21"/>
                      <w:lang w:eastAsia="zh-CN"/>
                      <w14:textFill>
                        <w14:solidFill>
                          <w14:schemeClr w14:val="tx1"/>
                        </w14:solidFill>
                      </w14:textFill>
                    </w:rPr>
                    <w:t>一条石英湿砂生产线</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建筑物面积无变化，新增</w:t>
                  </w:r>
                  <w:r>
                    <w:rPr>
                      <w:rFonts w:hint="default" w:ascii="Times New Roman" w:hAnsi="Times New Roman" w:eastAsia="宋体" w:cs="Times New Roman"/>
                      <w:color w:val="000000" w:themeColor="text1"/>
                      <w:szCs w:val="21"/>
                      <w:lang w:eastAsia="zh-CN"/>
                      <w14:textFill>
                        <w14:solidFill>
                          <w14:schemeClr w14:val="tx1"/>
                        </w14:solidFill>
                      </w14:textFill>
                    </w:rPr>
                    <w:t>石英湿砂生产设备</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依托原有建筑重新布局、生产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储运</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工程</w:t>
                  </w: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原料堆放区</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占地面积约为</w:t>
                  </w: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500m</w:t>
                  </w:r>
                  <w:r>
                    <w:rPr>
                      <w:rFonts w:hint="default" w:ascii="Times New Roman" w:hAnsi="Times New Roman" w:eastAsia="宋体" w:cs="Times New Roman"/>
                      <w:cap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的原料堆放区</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占地面积约为</w:t>
                  </w: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500m</w:t>
                  </w:r>
                  <w:r>
                    <w:rPr>
                      <w:rFonts w:hint="default" w:ascii="Times New Roman" w:hAnsi="Times New Roman" w:eastAsia="宋体" w:cs="Times New Roman"/>
                      <w:cap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的原料堆放区</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厂区道路</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满足厂区物流及消防要求</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满足厂区物流及消防要求</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辅助</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工程</w:t>
                  </w:r>
                </w:p>
              </w:tc>
              <w:tc>
                <w:tcPr>
                  <w:tcW w:w="1521" w:type="dxa"/>
                  <w:gridSpan w:val="2"/>
                  <w:tcBorders>
                    <w:tl2br w:val="nil"/>
                    <w:tr2bl w:val="nil"/>
                  </w:tcBorders>
                  <w:noWrap w:val="0"/>
                  <w:vAlign w:val="center"/>
                </w:tcPr>
                <w:p>
                  <w:pPr>
                    <w:jc w:val="center"/>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办公楼</w:t>
                  </w:r>
                </w:p>
              </w:tc>
              <w:tc>
                <w:tcPr>
                  <w:tcW w:w="1764" w:type="dxa"/>
                  <w:tcBorders>
                    <w:tl2br w:val="nil"/>
                    <w:tr2bl w:val="nil"/>
                  </w:tcBorders>
                  <w:noWrap w:val="0"/>
                  <w:vAlign w:val="center"/>
                </w:tcPr>
                <w:p>
                  <w:pPr>
                    <w:jc w:val="center"/>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一栋二层(砼结构)，建筑面积230m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一栋二层(砼结构)，建筑面积230m</w:t>
                  </w:r>
                  <w:r>
                    <w:rPr>
                      <w:rFonts w:hint="default" w:ascii="Times New Roman" w:hAnsi="Times New Roman" w:eastAsia="宋体" w:cs="Times New Roman"/>
                      <w:color w:val="000000" w:themeColor="text1"/>
                      <w:szCs w:val="21"/>
                      <w:vertAlign w:val="superscript"/>
                      <w14:textFill>
                        <w14:solidFill>
                          <w14:schemeClr w14:val="tx1"/>
                        </w14:solidFill>
                      </w14:textFill>
                    </w:rPr>
                    <w:t>2</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1521" w:type="dxa"/>
                  <w:gridSpan w:val="2"/>
                  <w:tcBorders>
                    <w:tl2br w:val="nil"/>
                    <w:tr2bl w:val="nil"/>
                  </w:tcBorders>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其他用房</w:t>
                  </w:r>
                </w:p>
              </w:tc>
              <w:tc>
                <w:tcPr>
                  <w:tcW w:w="1764" w:type="dxa"/>
                  <w:tcBorders>
                    <w:tl2br w:val="nil"/>
                    <w:tr2bl w:val="nil"/>
                  </w:tcBorders>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w:t>
                  </w:r>
                  <w:r>
                    <w:rPr>
                      <w:rFonts w:hint="default" w:ascii="Times New Roman" w:hAnsi="Times New Roman" w:eastAsia="宋体" w:cs="Times New Roman"/>
                      <w:color w:val="000000" w:themeColor="text1"/>
                      <w:szCs w:val="21"/>
                      <w:lang w:eastAsia="zh-CN"/>
                      <w14:textFill>
                        <w14:solidFill>
                          <w14:schemeClr w14:val="tx1"/>
                        </w14:solidFill>
                      </w14:textFill>
                    </w:rPr>
                    <w:t>排</w:t>
                  </w:r>
                  <w:r>
                    <w:rPr>
                      <w:rFonts w:hint="default" w:ascii="Times New Roman" w:hAnsi="Times New Roman" w:eastAsia="宋体" w:cs="Times New Roman"/>
                      <w:color w:val="000000" w:themeColor="text1"/>
                      <w:szCs w:val="21"/>
                      <w14:textFill>
                        <w14:solidFill>
                          <w14:schemeClr w14:val="tx1"/>
                        </w14:solidFill>
                      </w14:textFill>
                    </w:rPr>
                    <w:t>建筑面积</w:t>
                  </w:r>
                  <w:r>
                    <w:rPr>
                      <w:rFonts w:hint="default" w:ascii="Times New Roman" w:hAnsi="Times New Roman" w:eastAsia="宋体" w:cs="Times New Roman"/>
                      <w:color w:val="000000" w:themeColor="text1"/>
                      <w:szCs w:val="21"/>
                      <w:lang w:eastAsia="zh-CN"/>
                      <w14:textFill>
                        <w14:solidFill>
                          <w14:schemeClr w14:val="tx1"/>
                        </w14:solidFill>
                      </w14:textFill>
                    </w:rPr>
                    <w:t>为</w:t>
                  </w:r>
                  <w:r>
                    <w:rPr>
                      <w:rFonts w:hint="default" w:ascii="Times New Roman" w:hAnsi="Times New Roman" w:eastAsia="宋体" w:cs="Times New Roman"/>
                      <w:color w:val="000000" w:themeColor="text1"/>
                      <w:szCs w:val="21"/>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14:textFill>
                        <w14:solidFill>
                          <w14:schemeClr w14:val="tx1"/>
                        </w14:solidFill>
                      </w14:textFill>
                    </w:rPr>
                    <w:t>0m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的杂物房</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一</w:t>
                  </w:r>
                  <w:r>
                    <w:rPr>
                      <w:rFonts w:hint="default" w:ascii="Times New Roman" w:hAnsi="Times New Roman" w:eastAsia="宋体" w:cs="Times New Roman"/>
                      <w:color w:val="000000" w:themeColor="text1"/>
                      <w:szCs w:val="21"/>
                      <w:lang w:eastAsia="zh-CN"/>
                      <w14:textFill>
                        <w14:solidFill>
                          <w14:schemeClr w14:val="tx1"/>
                        </w14:solidFill>
                      </w14:textFill>
                    </w:rPr>
                    <w:t>排</w:t>
                  </w:r>
                  <w:r>
                    <w:rPr>
                      <w:rFonts w:hint="default" w:ascii="Times New Roman" w:hAnsi="Times New Roman" w:eastAsia="宋体" w:cs="Times New Roman"/>
                      <w:color w:val="000000" w:themeColor="text1"/>
                      <w:szCs w:val="21"/>
                      <w14:textFill>
                        <w14:solidFill>
                          <w14:schemeClr w14:val="tx1"/>
                        </w14:solidFill>
                      </w14:textFill>
                    </w:rPr>
                    <w:t>建筑面积</w:t>
                  </w:r>
                  <w:r>
                    <w:rPr>
                      <w:rFonts w:hint="default" w:ascii="Times New Roman" w:hAnsi="Times New Roman" w:eastAsia="宋体" w:cs="Times New Roman"/>
                      <w:color w:val="000000" w:themeColor="text1"/>
                      <w:szCs w:val="21"/>
                      <w:lang w:eastAsia="zh-CN"/>
                      <w14:textFill>
                        <w14:solidFill>
                          <w14:schemeClr w14:val="tx1"/>
                        </w14:solidFill>
                      </w14:textFill>
                    </w:rPr>
                    <w:t>为</w:t>
                  </w:r>
                  <w:r>
                    <w:rPr>
                      <w:rFonts w:hint="default" w:ascii="Times New Roman" w:hAnsi="Times New Roman" w:eastAsia="宋体" w:cs="Times New Roman"/>
                      <w:color w:val="000000" w:themeColor="text1"/>
                      <w:szCs w:val="21"/>
                      <w14:textFill>
                        <w14:solidFill>
                          <w14:schemeClr w14:val="tx1"/>
                        </w14:solidFill>
                      </w14:textFill>
                    </w:rPr>
                    <w:t>2</w:t>
                  </w:r>
                  <w:r>
                    <w:rPr>
                      <w:rFonts w:hint="default" w:ascii="Times New Roman" w:hAnsi="Times New Roman" w:eastAsia="宋体"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14:textFill>
                        <w14:solidFill>
                          <w14:schemeClr w14:val="tx1"/>
                        </w14:solidFill>
                      </w14:textFill>
                    </w:rPr>
                    <w:t>0m</w:t>
                  </w:r>
                  <w:r>
                    <w:rPr>
                      <w:rFonts w:hint="default" w:ascii="Times New Roman" w:hAnsi="Times New Roman" w:eastAsia="宋体" w:cs="Times New Roman"/>
                      <w:color w:val="000000" w:themeColor="text1"/>
                      <w:szCs w:val="21"/>
                      <w:vertAlign w:val="superscript"/>
                      <w14:textFill>
                        <w14:solidFill>
                          <w14:schemeClr w14:val="tx1"/>
                        </w14:solidFill>
                      </w14:textFill>
                    </w:rPr>
                    <w:t>2</w:t>
                  </w:r>
                  <w:r>
                    <w:rPr>
                      <w:rFonts w:hint="default" w:ascii="Times New Roman" w:hAnsi="Times New Roman" w:eastAsia="宋体" w:cs="Times New Roman"/>
                      <w:color w:val="000000" w:themeColor="text1"/>
                      <w:szCs w:val="21"/>
                      <w:lang w:eastAsia="zh-CN"/>
                      <w14:textFill>
                        <w14:solidFill>
                          <w14:schemeClr w14:val="tx1"/>
                        </w14:solidFill>
                      </w14:textFill>
                    </w:rPr>
                    <w:t>的杂物房</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值班室</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在厂区西北门新增一占地</w:t>
                  </w: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面积约为</w:t>
                  </w: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50m</w:t>
                  </w:r>
                  <w:r>
                    <w:rPr>
                      <w:rFonts w:hint="default" w:ascii="Times New Roman" w:hAnsi="Times New Roman" w:eastAsia="宋体" w:cs="Times New Roman"/>
                      <w:caps w:val="0"/>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的活动集装箱房值班室</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新增</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新增活动集装箱房（临建）作为值班室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公用工程</w:t>
                  </w: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给水工程</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市政供水</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市政供水</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排水工程</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雨污分流，</w:t>
                  </w:r>
                  <w:r>
                    <w:rPr>
                      <w:rFonts w:hint="default" w:ascii="Times New Roman" w:hAnsi="Times New Roman" w:eastAsia="宋体" w:cs="Times New Roman"/>
                      <w:color w:val="000000" w:themeColor="text1"/>
                      <w:szCs w:val="21"/>
                      <w14:textFill>
                        <w14:solidFill>
                          <w14:schemeClr w14:val="tx1"/>
                        </w14:solidFill>
                      </w14:textFill>
                    </w:rPr>
                    <w:t>满足生产及生活要求</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雨污分流，</w:t>
                  </w:r>
                  <w:r>
                    <w:rPr>
                      <w:rFonts w:hint="default" w:ascii="Times New Roman" w:hAnsi="Times New Roman" w:eastAsia="宋体" w:cs="Times New Roman"/>
                      <w:color w:val="000000" w:themeColor="text1"/>
                      <w:szCs w:val="21"/>
                      <w14:textFill>
                        <w14:solidFill>
                          <w14:schemeClr w14:val="tx1"/>
                        </w14:solidFill>
                      </w14:textFill>
                    </w:rPr>
                    <w:t>满足生产及生活要求</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供电工程</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市政供电</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市政供电</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消防工程</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满足厂区生产及生活区要求</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满足厂区生产及生活区要求</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243" w:hRule="atLeast"/>
                <w:jc w:val="center"/>
              </w:trPr>
              <w:tc>
                <w:tcPr>
                  <w:tcW w:w="78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环保</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工程</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54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废水</w:t>
                  </w:r>
                </w:p>
              </w:tc>
              <w:tc>
                <w:tcPr>
                  <w:tcW w:w="9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生产废水</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一套工艺为“</w:t>
                  </w:r>
                  <w:r>
                    <w:rPr>
                      <w:rFonts w:hint="default" w:ascii="Times New Roman" w:hAnsi="Times New Roman" w:eastAsia="宋体" w:cs="Times New Roman"/>
                      <w:color w:val="000000" w:themeColor="text1"/>
                      <w:szCs w:val="21"/>
                      <w14:textFill>
                        <w14:solidFill>
                          <w14:schemeClr w14:val="tx1"/>
                        </w14:solidFill>
                      </w14:textFill>
                    </w:rPr>
                    <w:t>中和</w:t>
                  </w:r>
                  <w:r>
                    <w:rPr>
                      <w:rFonts w:hint="default" w:ascii="Times New Roman" w:hAnsi="Times New Roman" w:eastAsia="宋体" w:cs="Times New Roman"/>
                      <w:color w:val="000000" w:themeColor="text1"/>
                      <w:szCs w:val="21"/>
                      <w:lang w:eastAsia="zh-CN"/>
                      <w14:textFill>
                        <w14:solidFill>
                          <w14:schemeClr w14:val="tx1"/>
                        </w14:solidFill>
                      </w14:textFill>
                    </w:rPr>
                    <w:t>调节</w:t>
                  </w:r>
                  <w:r>
                    <w:rPr>
                      <w:rFonts w:hint="default" w:ascii="Times New Roman" w:hAnsi="Times New Roman" w:eastAsia="宋体" w:cs="Times New Roman"/>
                      <w:color w:val="000000" w:themeColor="text1"/>
                      <w:szCs w:val="21"/>
                      <w:lang w:val="en-US" w:eastAsia="zh-CN"/>
                      <w14:textFill>
                        <w14:solidFill>
                          <w14:schemeClr w14:val="tx1"/>
                        </w14:solidFill>
                      </w14:textFill>
                    </w:rPr>
                    <w:t>+混凝</w:t>
                  </w:r>
                  <w:r>
                    <w:rPr>
                      <w:rFonts w:hint="default" w:ascii="Times New Roman" w:hAnsi="Times New Roman" w:eastAsia="宋体" w:cs="Times New Roman"/>
                      <w:color w:val="000000" w:themeColor="text1"/>
                      <w:szCs w:val="21"/>
                      <w:lang w:eastAsia="zh-CN"/>
                      <w14:textFill>
                        <w14:solidFill>
                          <w14:schemeClr w14:val="tx1"/>
                        </w14:solidFill>
                      </w14:textFill>
                    </w:rPr>
                    <w:t>絮凝</w:t>
                  </w:r>
                  <w:r>
                    <w:rPr>
                      <w:rFonts w:hint="default" w:ascii="Times New Roman" w:hAnsi="Times New Roman" w:eastAsia="宋体" w:cs="Times New Roman"/>
                      <w:color w:val="000000" w:themeColor="text1"/>
                      <w:szCs w:val="21"/>
                      <w:lang w:val="en-US" w:eastAsia="zh-CN"/>
                      <w14:textFill>
                        <w14:solidFill>
                          <w14:schemeClr w14:val="tx1"/>
                        </w14:solidFill>
                      </w14:textFill>
                    </w:rPr>
                    <w:t>+沉淀+过滤”的生产废水处理设施；</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一套工艺为“</w:t>
                  </w:r>
                  <w:r>
                    <w:rPr>
                      <w:rFonts w:hint="default" w:ascii="Times New Roman" w:hAnsi="Times New Roman" w:eastAsia="宋体" w:cs="Times New Roman"/>
                      <w:color w:val="000000" w:themeColor="text1"/>
                      <w:szCs w:val="21"/>
                      <w14:textFill>
                        <w14:solidFill>
                          <w14:schemeClr w14:val="tx1"/>
                        </w14:solidFill>
                      </w14:textFill>
                    </w:rPr>
                    <w:t>中和</w:t>
                  </w:r>
                  <w:r>
                    <w:rPr>
                      <w:rFonts w:hint="default" w:ascii="Times New Roman" w:hAnsi="Times New Roman" w:eastAsia="宋体" w:cs="Times New Roman"/>
                      <w:color w:val="000000" w:themeColor="text1"/>
                      <w:szCs w:val="21"/>
                      <w:lang w:eastAsia="zh-CN"/>
                      <w14:textFill>
                        <w14:solidFill>
                          <w14:schemeClr w14:val="tx1"/>
                        </w14:solidFill>
                      </w14:textFill>
                    </w:rPr>
                    <w:t>调节</w:t>
                  </w:r>
                  <w:r>
                    <w:rPr>
                      <w:rFonts w:hint="default" w:ascii="Times New Roman" w:hAnsi="Times New Roman" w:eastAsia="宋体" w:cs="Times New Roman"/>
                      <w:color w:val="000000" w:themeColor="text1"/>
                      <w:szCs w:val="21"/>
                      <w:lang w:val="en-US" w:eastAsia="zh-CN"/>
                      <w14:textFill>
                        <w14:solidFill>
                          <w14:schemeClr w14:val="tx1"/>
                        </w14:solidFill>
                      </w14:textFill>
                    </w:rPr>
                    <w:t>+混凝</w:t>
                  </w:r>
                  <w:r>
                    <w:rPr>
                      <w:rFonts w:hint="default" w:ascii="Times New Roman" w:hAnsi="Times New Roman" w:eastAsia="宋体" w:cs="Times New Roman"/>
                      <w:color w:val="000000" w:themeColor="text1"/>
                      <w:szCs w:val="21"/>
                      <w:lang w:eastAsia="zh-CN"/>
                      <w14:textFill>
                        <w14:solidFill>
                          <w14:schemeClr w14:val="tx1"/>
                        </w14:solidFill>
                      </w14:textFill>
                    </w:rPr>
                    <w:t>絮凝</w:t>
                  </w:r>
                  <w:r>
                    <w:rPr>
                      <w:rFonts w:hint="default" w:ascii="Times New Roman" w:hAnsi="Times New Roman" w:eastAsia="宋体" w:cs="Times New Roman"/>
                      <w:color w:val="000000" w:themeColor="text1"/>
                      <w:szCs w:val="21"/>
                      <w:lang w:val="en-US" w:eastAsia="zh-CN"/>
                      <w14:textFill>
                        <w14:solidFill>
                          <w14:schemeClr w14:val="tx1"/>
                        </w14:solidFill>
                      </w14:textFill>
                    </w:rPr>
                    <w:t>+沉淀+过滤”的生产废水处理设施；</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24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5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p>
              </w:tc>
              <w:tc>
                <w:tcPr>
                  <w:tcW w:w="9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洗砂废水</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一套</w:t>
                  </w:r>
                  <w:r>
                    <w:rPr>
                      <w:rFonts w:hint="default" w:ascii="Times New Roman" w:hAnsi="Times New Roman" w:eastAsia="宋体" w:cs="Times New Roman"/>
                      <w:color w:val="000000" w:themeColor="text1"/>
                      <w:szCs w:val="21"/>
                      <w:lang w:val="en-US" w:eastAsia="zh-CN"/>
                      <w14:textFill>
                        <w14:solidFill>
                          <w14:schemeClr w14:val="tx1"/>
                        </w14:solidFill>
                      </w14:textFill>
                    </w:rPr>
                    <w:t>90t/h</w:t>
                  </w:r>
                  <w:r>
                    <w:rPr>
                      <w:rFonts w:hint="default" w:ascii="Times New Roman" w:hAnsi="Times New Roman" w:eastAsia="宋体" w:cs="Times New Roman"/>
                      <w:color w:val="000000" w:themeColor="text1"/>
                      <w:szCs w:val="21"/>
                      <w:lang w:eastAsia="zh-CN"/>
                      <w14:textFill>
                        <w14:solidFill>
                          <w14:schemeClr w14:val="tx1"/>
                        </w14:solidFill>
                      </w14:textFill>
                    </w:rPr>
                    <w:t>的“</w:t>
                  </w:r>
                  <w:r>
                    <w:rPr>
                      <w:rFonts w:hint="default" w:ascii="Times New Roman" w:hAnsi="Times New Roman" w:eastAsia="宋体" w:cs="Times New Roman"/>
                      <w:color w:val="000000" w:themeColor="text1"/>
                      <w:szCs w:val="21"/>
                      <w:lang w:val="en-US" w:eastAsia="zh-CN"/>
                      <w14:textFill>
                        <w14:solidFill>
                          <w14:schemeClr w14:val="tx1"/>
                        </w14:solidFill>
                      </w14:textFill>
                    </w:rPr>
                    <w:t>混凝</w:t>
                  </w:r>
                  <w:r>
                    <w:rPr>
                      <w:rFonts w:hint="default" w:ascii="Times New Roman" w:hAnsi="Times New Roman" w:eastAsia="宋体" w:cs="Times New Roman"/>
                      <w:color w:val="000000" w:themeColor="text1"/>
                      <w:szCs w:val="21"/>
                      <w:lang w:eastAsia="zh-CN"/>
                      <w14:textFill>
                        <w14:solidFill>
                          <w14:schemeClr w14:val="tx1"/>
                        </w14:solidFill>
                      </w14:textFill>
                    </w:rPr>
                    <w:t>絮凝</w:t>
                  </w:r>
                  <w:r>
                    <w:rPr>
                      <w:rFonts w:hint="default" w:ascii="Times New Roman" w:hAnsi="Times New Roman" w:eastAsia="宋体" w:cs="Times New Roman"/>
                      <w:color w:val="000000" w:themeColor="text1"/>
                      <w:szCs w:val="21"/>
                      <w:lang w:val="en-US" w:eastAsia="zh-CN"/>
                      <w14:textFill>
                        <w14:solidFill>
                          <w14:schemeClr w14:val="tx1"/>
                        </w14:solidFill>
                      </w14:textFill>
                    </w:rPr>
                    <w:t>+沉淀+过滤”湿砂车间</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洗砂废水循环处理设施</w:t>
                  </w: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有变化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新增湿砂车间</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洗砂废水循环处理设施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5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9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生活污水处</w:t>
                  </w: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理</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1套处理能力为5t/d的</w:t>
                  </w: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一体化生活污水处理系统</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1套处理能力为5t/d的</w:t>
                  </w: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一体化生活污水处理系统</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依托变动前原项目的污水处理设施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5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废气</w:t>
                  </w:r>
                </w:p>
              </w:tc>
              <w:tc>
                <w:tcPr>
                  <w:tcW w:w="9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生产废气</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Cs w:val="22"/>
                      <w:lang w:eastAsia="zh-CN"/>
                      <w14:textFill>
                        <w14:solidFill>
                          <w14:schemeClr w14:val="tx1"/>
                        </w14:solidFill>
                      </w14:textFill>
                    </w:rPr>
                  </w:pPr>
                  <w:r>
                    <w:rPr>
                      <w:rFonts w:hint="default" w:ascii="Times New Roman" w:hAnsi="Times New Roman" w:eastAsia="宋体" w:cs="Times New Roman"/>
                      <w:b w:val="0"/>
                      <w:bCs w:val="0"/>
                      <w:color w:val="000000" w:themeColor="text1"/>
                      <w:szCs w:val="22"/>
                      <w:lang w:eastAsia="zh-CN"/>
                      <w14:textFill>
                        <w14:solidFill>
                          <w14:schemeClr w14:val="tx1"/>
                        </w14:solidFill>
                      </w14:textFill>
                    </w:rPr>
                    <w:t>筛分粉尘：</w:t>
                  </w:r>
                  <w:r>
                    <w:rPr>
                      <w:rFonts w:eastAsia="宋体"/>
                      <w:b w:val="0"/>
                      <w:bCs w:val="0"/>
                      <w:color w:val="000000" w:themeColor="text1"/>
                      <w:szCs w:val="21"/>
                      <w14:textFill>
                        <w14:solidFill>
                          <w14:schemeClr w14:val="tx1"/>
                        </w14:solidFill>
                      </w14:textFill>
                    </w:rPr>
                    <w:t>集气罩+引风机+</w:t>
                  </w:r>
                  <w:r>
                    <w:rPr>
                      <w:rFonts w:hint="eastAsia" w:eastAsia="宋体"/>
                      <w:b w:val="0"/>
                      <w:bCs w:val="0"/>
                      <w:color w:val="000000" w:themeColor="text1"/>
                      <w:szCs w:val="21"/>
                      <w14:textFill>
                        <w14:solidFill>
                          <w14:schemeClr w14:val="tx1"/>
                        </w14:solidFill>
                      </w14:textFill>
                    </w:rPr>
                    <w:t>脉冲除尘器+</w:t>
                  </w:r>
                  <w:r>
                    <w:rPr>
                      <w:rFonts w:eastAsia="宋体"/>
                      <w:b w:val="0"/>
                      <w:bCs w:val="0"/>
                      <w:color w:val="000000" w:themeColor="text1"/>
                      <w:szCs w:val="21"/>
                      <w14:textFill>
                        <w14:solidFill>
                          <w14:schemeClr w14:val="tx1"/>
                        </w14:solidFill>
                      </w14:textFill>
                    </w:rPr>
                    <w:t>15m排气筒</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Cs w:val="22"/>
                      <w:lang w:val="en-US" w:eastAsia="zh-CN"/>
                      <w14:textFill>
                        <w14:solidFill>
                          <w14:schemeClr w14:val="tx1"/>
                        </w14:solidFill>
                      </w14:textFill>
                    </w:rPr>
                  </w:pP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Cs w:val="2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Cs w:val="22"/>
                      <w:lang w:eastAsia="zh-CN"/>
                      <w14:textFill>
                        <w14:solidFill>
                          <w14:schemeClr w14:val="tx1"/>
                        </w14:solidFill>
                      </w14:textFill>
                    </w:rPr>
                  </w:pPr>
                  <w:r>
                    <w:rPr>
                      <w:rFonts w:hint="default" w:ascii="Times New Roman" w:hAnsi="Times New Roman" w:eastAsia="宋体" w:cs="Times New Roman"/>
                      <w:b w:val="0"/>
                      <w:bCs w:val="0"/>
                      <w:color w:val="000000" w:themeColor="text1"/>
                      <w:szCs w:val="22"/>
                      <w:lang w:eastAsia="zh-CN"/>
                      <w14:textFill>
                        <w14:solidFill>
                          <w14:schemeClr w14:val="tx1"/>
                        </w14:solidFill>
                      </w14:textFill>
                    </w:rPr>
                    <w:t>热水炉燃烧废气</w:t>
                  </w:r>
                  <w:r>
                    <w:rPr>
                      <w:rFonts w:hint="eastAsia" w:ascii="Times New Roman" w:hAnsi="Times New Roman" w:eastAsia="宋体" w:cs="Times New Roman"/>
                      <w:b w:val="0"/>
                      <w:bCs w:val="0"/>
                      <w:color w:val="000000" w:themeColor="text1"/>
                      <w:szCs w:val="22"/>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szCs w:val="22"/>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2"/>
                      <w:lang w:eastAsia="zh-CN"/>
                      <w14:textFill>
                        <w14:solidFill>
                          <w14:schemeClr w14:val="tx1"/>
                        </w14:solidFill>
                      </w14:textFill>
                    </w:rPr>
                    <w:t>烘干炉废气</w:t>
                  </w:r>
                  <w:r>
                    <w:rPr>
                      <w:rFonts w:hint="eastAsia" w:ascii="Times New Roman" w:hAnsi="Times New Roman" w:eastAsia="宋体" w:cs="Times New Roman"/>
                      <w:b w:val="0"/>
                      <w:bCs w:val="0"/>
                      <w:color w:val="000000" w:themeColor="text1"/>
                      <w:szCs w:val="22"/>
                      <w:lang w:eastAsia="zh-CN"/>
                      <w14:textFill>
                        <w14:solidFill>
                          <w14:schemeClr w14:val="tx1"/>
                        </w14:solidFill>
                      </w14:textFill>
                    </w:rPr>
                    <w:t>、烘干</w:t>
                  </w:r>
                  <w:r>
                    <w:rPr>
                      <w:rFonts w:hint="default" w:ascii="Times New Roman" w:hAnsi="Times New Roman" w:eastAsia="宋体" w:cs="Times New Roman"/>
                      <w:b w:val="0"/>
                      <w:bCs w:val="0"/>
                      <w:color w:val="000000" w:themeColor="text1"/>
                      <w:szCs w:val="22"/>
                      <w:lang w:eastAsia="zh-CN"/>
                      <w14:textFill>
                        <w14:solidFill>
                          <w14:schemeClr w14:val="tx1"/>
                        </w14:solidFill>
                      </w14:textFill>
                    </w:rPr>
                    <w:t>筛分粉尘</w:t>
                  </w:r>
                  <w:r>
                    <w:rPr>
                      <w:rFonts w:hint="eastAsia" w:ascii="Times New Roman" w:hAnsi="Times New Roman" w:cs="Times New Roman"/>
                      <w:b w:val="0"/>
                      <w:bCs w:val="0"/>
                      <w:color w:val="000000" w:themeColor="text1"/>
                      <w:szCs w:val="22"/>
                      <w:lang w:eastAsia="zh-CN"/>
                      <w14:textFill>
                        <w14:solidFill>
                          <w14:schemeClr w14:val="tx1"/>
                        </w14:solidFill>
                      </w14:textFill>
                    </w:rPr>
                    <w:t>经“</w:t>
                  </w:r>
                  <w:r>
                    <w:rPr>
                      <w:rFonts w:hint="default" w:ascii="Times New Roman" w:hAnsi="Times New Roman" w:eastAsia="宋体" w:cs="Times New Roman"/>
                      <w:b w:val="0"/>
                      <w:bCs w:val="0"/>
                      <w:color w:val="000000" w:themeColor="text1"/>
                      <w:szCs w:val="22"/>
                      <w:lang w:val="en-US" w:eastAsia="zh-CN"/>
                      <w14:textFill>
                        <w14:solidFill>
                          <w14:schemeClr w14:val="tx1"/>
                        </w14:solidFill>
                      </w14:textFill>
                    </w:rPr>
                    <w:t>旋风除尘+麻石</w:t>
                  </w:r>
                  <w:r>
                    <w:rPr>
                      <w:rFonts w:hint="eastAsia" w:ascii="Times New Roman" w:hAnsi="Times New Roman" w:eastAsia="宋体" w:cs="Times New Roman"/>
                      <w:b w:val="0"/>
                      <w:bCs w:val="0"/>
                      <w:color w:val="000000" w:themeColor="text1"/>
                      <w:szCs w:val="22"/>
                      <w:lang w:val="en-US" w:eastAsia="zh-CN"/>
                      <w14:textFill>
                        <w14:solidFill>
                          <w14:schemeClr w14:val="tx1"/>
                        </w14:solidFill>
                      </w14:textFill>
                    </w:rPr>
                    <w:t>水膜除尘”后通过1根</w:t>
                  </w:r>
                  <w:r>
                    <w:rPr>
                      <w:rFonts w:hint="default" w:ascii="Times New Roman" w:hAnsi="Times New Roman" w:eastAsia="宋体" w:cs="Times New Roman"/>
                      <w:b w:val="0"/>
                      <w:bCs w:val="0"/>
                      <w:color w:val="000000" w:themeColor="text1"/>
                      <w:szCs w:val="22"/>
                      <w:lang w:val="en-US" w:eastAsia="zh-CN"/>
                      <w14:textFill>
                        <w14:solidFill>
                          <w14:schemeClr w14:val="tx1"/>
                        </w14:solidFill>
                      </w14:textFill>
                    </w:rPr>
                    <w:t>15m高排气筒（</w:t>
                  </w:r>
                  <w:r>
                    <w:rPr>
                      <w:rFonts w:hint="eastAsia" w:ascii="Times New Roman" w:hAnsi="Times New Roman" w:eastAsia="宋体" w:cs="Times New Roman"/>
                      <w:b w:val="0"/>
                      <w:bCs w:val="0"/>
                      <w:color w:val="000000" w:themeColor="text1"/>
                      <w:szCs w:val="22"/>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Cs w:val="22"/>
                      <w:lang w:val="en-US" w:eastAsia="zh-CN"/>
                      <w14:textFill>
                        <w14:solidFill>
                          <w14:schemeClr w14:val="tx1"/>
                        </w14:solidFill>
                      </w14:textFill>
                    </w:rPr>
                    <w:t>#排气筒）</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有变化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152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噪声治理</w:t>
                  </w:r>
                </w:p>
              </w:tc>
              <w:tc>
                <w:tcPr>
                  <w:tcW w:w="176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满足环保要求</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满足环保要求</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54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14:textFill>
                        <w14:solidFill>
                          <w14:schemeClr w14:val="tx1"/>
                        </w14:solidFill>
                      </w14:textFill>
                    </w:rPr>
                    <w:t>固废存放设施</w:t>
                  </w:r>
                </w:p>
              </w:tc>
              <w:tc>
                <w:tcPr>
                  <w:tcW w:w="974" w:type="dxa"/>
                  <w:tcBorders>
                    <w:tl2br w:val="nil"/>
                    <w:tr2bl w:val="nil"/>
                  </w:tcBorders>
                  <w:noWrap w:val="0"/>
                  <w:vAlign w:val="center"/>
                </w:tcPr>
                <w:p>
                  <w:pPr>
                    <w:jc w:val="center"/>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一般固废</w:t>
                  </w:r>
                </w:p>
              </w:tc>
              <w:tc>
                <w:tcPr>
                  <w:tcW w:w="1764" w:type="dxa"/>
                  <w:tcBorders>
                    <w:tl2br w:val="nil"/>
                    <w:tr2bl w:val="nil"/>
                  </w:tcBorders>
                  <w:noWrap w:val="0"/>
                  <w:vAlign w:val="center"/>
                </w:tcPr>
                <w:p>
                  <w:pPr>
                    <w:jc w:val="center"/>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分类收集暂存仓</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分类收集暂存仓</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依托原有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5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974" w:type="dxa"/>
                  <w:tcBorders>
                    <w:tl2br w:val="nil"/>
                    <w:tr2bl w:val="nil"/>
                  </w:tcBorders>
                  <w:noWrap w:val="0"/>
                  <w:vAlign w:val="center"/>
                </w:tcPr>
                <w:p>
                  <w:pPr>
                    <w:jc w:val="center"/>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危险废物</w:t>
                  </w:r>
                </w:p>
              </w:tc>
              <w:tc>
                <w:tcPr>
                  <w:tcW w:w="1764" w:type="dxa"/>
                  <w:tcBorders>
                    <w:tl2br w:val="nil"/>
                    <w:tr2bl w:val="nil"/>
                  </w:tcBorders>
                  <w:noWrap w:val="0"/>
                  <w:vAlign w:val="center"/>
                </w:tcPr>
                <w:p>
                  <w:pPr>
                    <w:jc w:val="cente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分类收集暂存仓</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分类收集暂存仓</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新增废旧润滑油的收集点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54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p>
              </w:tc>
              <w:tc>
                <w:tcPr>
                  <w:tcW w:w="974" w:type="dxa"/>
                  <w:tcBorders>
                    <w:tl2br w:val="nil"/>
                    <w:tr2bl w:val="nil"/>
                  </w:tcBorders>
                  <w:noWrap w:val="0"/>
                  <w:vAlign w:val="center"/>
                </w:tcPr>
                <w:p>
                  <w:pPr>
                    <w:jc w:val="center"/>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w:t>
                  </w:r>
                </w:p>
              </w:tc>
              <w:tc>
                <w:tcPr>
                  <w:tcW w:w="1764" w:type="dxa"/>
                  <w:tcBorders>
                    <w:tl2br w:val="nil"/>
                    <w:tr2bl w:val="nil"/>
                  </w:tcBorders>
                  <w:noWrap w:val="0"/>
                  <w:vAlign w:val="center"/>
                </w:tcPr>
                <w:p>
                  <w:pPr>
                    <w:jc w:val="center"/>
                    <w:rPr>
                      <w:rFonts w:hint="default" w:ascii="Times New Roman" w:hAnsi="Times New Roman" w:eastAsia="宋体" w:cs="Times New Roman"/>
                      <w:caps w:val="0"/>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分类收集暂存垃圾点</w:t>
                  </w:r>
                </w:p>
              </w:tc>
              <w:tc>
                <w:tcPr>
                  <w:tcW w:w="21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分类收集暂存垃圾点</w:t>
                  </w:r>
                </w:p>
              </w:tc>
              <w:tc>
                <w:tcPr>
                  <w:tcW w:w="128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无变化</w:t>
                  </w:r>
                </w:p>
              </w:tc>
              <w:tc>
                <w:tcPr>
                  <w:tcW w:w="16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lang w:eastAsia="zh-CN"/>
                      <w14:textFill>
                        <w14:solidFill>
                          <w14:schemeClr w14:val="tx1"/>
                        </w14:solidFill>
                      </w14:textFill>
                    </w:rPr>
                    <w:t>依托原有</w:t>
                  </w:r>
                </w:p>
              </w:tc>
            </w:tr>
          </w:tbl>
          <w:p>
            <w:pPr>
              <w:keepNext w:val="0"/>
              <w:keepLines w:val="0"/>
              <w:pageBreakBefore w:val="0"/>
              <w:widowControl w:val="0"/>
              <w:kinsoku/>
              <w:wordWrap/>
              <w:overflowPunct/>
              <w:topLinePunct w:val="0"/>
              <w:autoSpaceDE/>
              <w:autoSpaceDN/>
              <w:bidi w:val="0"/>
              <w:adjustRightInd/>
              <w:snapToGrid/>
              <w:spacing w:beforeLines="50" w:line="360" w:lineRule="auto"/>
              <w:textAlignment w:val="auto"/>
              <w:outlineLvl w:val="9"/>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1.2.3总图布置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从本项目总平面布置来分析，厂区主入口设在东南侧，紧邻106国道，生产车间利用三门再生纸厂厂房，酸洗及烘干筛分车间位于项目中部，酸洗及烘干筛分车间东南侧为办公楼；酸洗及烘干筛分车间东北侧为停车场，方便物料装卸运输，停车场东侧为杂物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本次变动涉及的湿砂车间位于酸洗及烘干筛分车间西北侧，湿砂车间的西侧为原料堆放区，原料堆放区连接厂区的出入口（即西北出入口），本项目在西北出入口设置活动集装箱房用作值班室。本项目总平面布置功能分区合理，满足工艺流程要求。本项目总平面布置详见附图3。</w:t>
            </w:r>
          </w:p>
          <w:p>
            <w:pPr>
              <w:pStyle w:val="72"/>
              <w:keepNext w:val="0"/>
              <w:keepLines w:val="0"/>
              <w:pageBreakBefore w:val="0"/>
              <w:widowControl w:val="0"/>
              <w:kinsoku/>
              <w:wordWrap/>
              <w:overflowPunct/>
              <w:topLinePunct w:val="0"/>
              <w:autoSpaceDE/>
              <w:autoSpaceDN/>
              <w:bidi w:val="0"/>
              <w:adjustRightInd/>
              <w:snapToGrid/>
              <w:ind w:firstLine="0"/>
              <w:jc w:val="left"/>
              <w:textAlignment w:val="baseline"/>
              <w:outlineLvl w:val="9"/>
              <w:rPr>
                <w:rFonts w:hint="default" w:ascii="Times New Roman" w:hAnsi="Times New Roman" w:eastAsia="宋体" w:cs="Times New Roman"/>
                <w:b/>
                <w:bCs/>
                <w:iCs/>
                <w:caps w:val="0"/>
                <w:color w:val="000000" w:themeColor="text1"/>
                <w14:textFill>
                  <w14:solidFill>
                    <w14:schemeClr w14:val="tx1"/>
                  </w14:solidFill>
                </w14:textFill>
              </w:rPr>
            </w:pPr>
            <w:r>
              <w:rPr>
                <w:rFonts w:hint="default" w:ascii="Times New Roman" w:hAnsi="Times New Roman" w:eastAsia="宋体" w:cs="Times New Roman"/>
                <w:b/>
                <w:bCs/>
                <w:iCs/>
                <w:caps w:val="0"/>
                <w:color w:val="000000" w:themeColor="text1"/>
                <w14:textFill>
                  <w14:solidFill>
                    <w14:schemeClr w14:val="tx1"/>
                  </w14:solidFill>
                </w14:textFill>
              </w:rPr>
              <w:t>1.</w:t>
            </w:r>
            <w:r>
              <w:rPr>
                <w:rFonts w:hint="default" w:ascii="Times New Roman" w:hAnsi="Times New Roman" w:eastAsia="宋体" w:cs="Times New Roman"/>
                <w:b/>
                <w:bCs/>
                <w:iCs/>
                <w:caps w:val="0"/>
                <w:color w:val="000000" w:themeColor="text1"/>
                <w:lang w:val="en-US" w:eastAsia="zh-CN"/>
                <w14:textFill>
                  <w14:solidFill>
                    <w14:schemeClr w14:val="tx1"/>
                  </w14:solidFill>
                </w14:textFill>
              </w:rPr>
              <w:t>2</w:t>
            </w:r>
            <w:r>
              <w:rPr>
                <w:rFonts w:hint="default" w:ascii="Times New Roman" w:hAnsi="Times New Roman" w:eastAsia="宋体" w:cs="Times New Roman"/>
                <w:b/>
                <w:bCs/>
                <w:iCs/>
                <w:caps w:val="0"/>
                <w:color w:val="000000" w:themeColor="text1"/>
                <w14:textFill>
                  <w14:solidFill>
                    <w14:schemeClr w14:val="tx1"/>
                  </w14:solidFill>
                </w14:textFill>
              </w:rPr>
              <w:t>.</w:t>
            </w:r>
            <w:r>
              <w:rPr>
                <w:rFonts w:hint="default" w:ascii="Times New Roman" w:hAnsi="Times New Roman" w:eastAsia="宋体" w:cs="Times New Roman"/>
                <w:b/>
                <w:bCs/>
                <w:iCs/>
                <w:caps w:val="0"/>
                <w:color w:val="000000" w:themeColor="text1"/>
                <w:lang w:val="en-US" w:eastAsia="zh-CN"/>
                <w14:textFill>
                  <w14:solidFill>
                    <w14:schemeClr w14:val="tx1"/>
                  </w14:solidFill>
                </w14:textFill>
              </w:rPr>
              <w:t>4</w:t>
            </w:r>
            <w:r>
              <w:rPr>
                <w:rFonts w:hint="default" w:ascii="Times New Roman" w:hAnsi="Times New Roman" w:eastAsia="宋体" w:cs="Times New Roman"/>
                <w:b/>
                <w:bCs/>
                <w:iCs/>
                <w:caps w:val="0"/>
                <w:color w:val="000000" w:themeColor="text1"/>
                <w14:textFill>
                  <w14:solidFill>
                    <w14:schemeClr w14:val="tx1"/>
                  </w14:solidFill>
                </w14:textFill>
              </w:rPr>
              <w:t>主要原辅材料及能源</w:t>
            </w:r>
            <w:r>
              <w:rPr>
                <w:rFonts w:hint="default" w:ascii="Times New Roman" w:hAnsi="Times New Roman" w:eastAsia="宋体" w:cs="Times New Roman"/>
                <w:b/>
                <w:bCs/>
                <w:iCs/>
                <w:caps w:val="0"/>
                <w:color w:val="000000" w:themeColor="text1"/>
                <w:lang w:eastAsia="zh-CN"/>
                <w14:textFill>
                  <w14:solidFill>
                    <w14:schemeClr w14:val="tx1"/>
                  </w14:solidFill>
                </w14:textFill>
              </w:rPr>
              <w:t>使用</w:t>
            </w:r>
            <w:r>
              <w:rPr>
                <w:rFonts w:hint="default" w:ascii="Times New Roman" w:hAnsi="Times New Roman" w:eastAsia="宋体" w:cs="Times New Roman"/>
                <w:b/>
                <w:bCs/>
                <w:iCs/>
                <w:caps w:val="0"/>
                <w:color w:val="000000" w:themeColor="text1"/>
                <w14:textFill>
                  <w14:solidFill>
                    <w14:schemeClr w14:val="tx1"/>
                  </w14:solidFill>
                </w14:textFill>
              </w:rPr>
              <w:t>消耗</w:t>
            </w:r>
          </w:p>
          <w:p>
            <w:pPr>
              <w:spacing w:line="360" w:lineRule="auto"/>
              <w:rPr>
                <w:rFonts w:hint="default" w:ascii="Times New Roman" w:hAnsi="Times New Roman" w:eastAsia="宋体" w:cs="Times New Roman"/>
                <w:b/>
                <w:caps w:val="0"/>
                <w:color w:val="000000" w:themeColor="text1"/>
                <w:sz w:val="24"/>
                <w:szCs w:val="24"/>
                <w14:textFill>
                  <w14:solidFill>
                    <w14:schemeClr w14:val="tx1"/>
                  </w14:solidFill>
                </w14:textFill>
              </w:rPr>
            </w:pPr>
            <w:r>
              <w:rPr>
                <w:rFonts w:hint="default" w:ascii="Times New Roman" w:hAnsi="Times New Roman" w:eastAsia="宋体" w:cs="Times New Roman"/>
                <w:b/>
                <w:bCs/>
                <w:iCs/>
                <w:caps w:val="0"/>
                <w:color w:val="000000" w:themeColor="text1"/>
                <w:sz w:val="24"/>
                <w:szCs w:val="24"/>
                <w14:textFill>
                  <w14:solidFill>
                    <w14:schemeClr w14:val="tx1"/>
                  </w14:solidFill>
                </w14:textFill>
              </w:rPr>
              <w:t>1.</w:t>
            </w:r>
            <w:r>
              <w:rPr>
                <w:rFonts w:hint="default" w:ascii="Times New Roman" w:hAnsi="Times New Roman" w:eastAsia="宋体" w:cs="Times New Roman"/>
                <w:b/>
                <w:bCs/>
                <w:iCs/>
                <w:cap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iCs/>
                <w:caps w:val="0"/>
                <w:color w:val="000000" w:themeColor="text1"/>
                <w:sz w:val="24"/>
                <w:szCs w:val="24"/>
                <w14:textFill>
                  <w14:solidFill>
                    <w14:schemeClr w14:val="tx1"/>
                  </w14:solidFill>
                </w14:textFill>
              </w:rPr>
              <w:t>.</w:t>
            </w:r>
            <w:r>
              <w:rPr>
                <w:rFonts w:hint="default" w:ascii="Times New Roman" w:hAnsi="Times New Roman" w:eastAsia="宋体" w:cs="Times New Roman"/>
                <w:b/>
                <w:bCs/>
                <w:iCs/>
                <w:caps w:val="0"/>
                <w:color w:val="000000" w:themeColor="text1"/>
                <w:sz w:val="24"/>
                <w:szCs w:val="24"/>
                <w:lang w:val="en-US" w:eastAsia="zh-CN"/>
                <w14:textFill>
                  <w14:solidFill>
                    <w14:schemeClr w14:val="tx1"/>
                  </w14:solidFill>
                </w14:textFill>
              </w:rPr>
              <w:t>4.1变动前、后项目</w:t>
            </w:r>
            <w:r>
              <w:rPr>
                <w:rFonts w:hint="default" w:ascii="Times New Roman" w:hAnsi="Times New Roman" w:eastAsia="宋体" w:cs="Times New Roman"/>
                <w:b/>
                <w:bCs/>
                <w:caps w:val="0"/>
                <w:color w:val="000000" w:themeColor="text1"/>
                <w:sz w:val="24"/>
                <w14:textFill>
                  <w14:solidFill>
                    <w14:schemeClr w14:val="tx1"/>
                  </w14:solidFill>
                </w14:textFill>
              </w:rPr>
              <w:t>主要</w:t>
            </w:r>
            <w:r>
              <w:rPr>
                <w:rFonts w:hint="default" w:ascii="Times New Roman" w:hAnsi="Times New Roman" w:eastAsia="宋体" w:cs="Times New Roman"/>
                <w:b/>
                <w:caps w:val="0"/>
                <w:color w:val="000000" w:themeColor="text1"/>
                <w:sz w:val="24"/>
                <w:szCs w:val="24"/>
                <w14:textFill>
                  <w14:solidFill>
                    <w14:schemeClr w14:val="tx1"/>
                  </w14:solidFill>
                </w14:textFill>
              </w:rPr>
              <w:t>原辅材料</w:t>
            </w:r>
            <w:r>
              <w:rPr>
                <w:rFonts w:hint="default" w:ascii="Times New Roman" w:hAnsi="Times New Roman" w:eastAsia="宋体" w:cs="Times New Roman"/>
                <w:b/>
                <w:caps w:val="0"/>
                <w:color w:val="000000" w:themeColor="text1"/>
                <w:sz w:val="24"/>
                <w:szCs w:val="24"/>
                <w:lang w:eastAsia="zh-CN"/>
                <w14:textFill>
                  <w14:solidFill>
                    <w14:schemeClr w14:val="tx1"/>
                  </w14:solidFill>
                </w14:textFill>
              </w:rPr>
              <w:t>使用</w:t>
            </w:r>
            <w:r>
              <w:rPr>
                <w:rFonts w:hint="default" w:ascii="Times New Roman" w:hAnsi="Times New Roman" w:eastAsia="宋体" w:cs="Times New Roman"/>
                <w:b/>
                <w:caps w:val="0"/>
                <w:color w:val="000000" w:themeColor="text1"/>
                <w:sz w:val="24"/>
                <w:szCs w:val="24"/>
                <w14:textFill>
                  <w14:solidFill>
                    <w14:schemeClr w14:val="tx1"/>
                  </w14:solidFill>
                </w14:textFill>
              </w:rPr>
              <w:t>消耗情况</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outlineLvl w:val="9"/>
              <w:rPr>
                <w:rFonts w:hint="default" w:ascii="Times New Roman" w:hAnsi="Times New Roman" w:eastAsia="宋体" w:cs="Times New Roman"/>
                <w:b/>
                <w:caps w:val="0"/>
                <w:color w:val="000000" w:themeColor="text1"/>
                <w:sz w:val="24"/>
                <w:szCs w:val="24"/>
                <w14:textFill>
                  <w14:solidFill>
                    <w14:schemeClr w14:val="tx1"/>
                  </w14:solidFill>
                </w14:textFill>
              </w:rPr>
            </w:pPr>
            <w:r>
              <w:rPr>
                <w:rFonts w:hint="default" w:ascii="Times New Roman" w:hAnsi="Times New Roman" w:eastAsia="宋体" w:cs="Times New Roman"/>
                <w:b/>
                <w:caps w:val="0"/>
                <w:color w:val="000000" w:themeColor="text1"/>
                <w:sz w:val="24"/>
                <w:szCs w:val="24"/>
                <w14:textFill>
                  <w14:solidFill>
                    <w14:schemeClr w14:val="tx1"/>
                  </w14:solidFill>
                </w14:textFill>
              </w:rPr>
              <w:t>表</w:t>
            </w:r>
            <w:r>
              <w:rPr>
                <w:rFonts w:hint="default" w:ascii="Times New Roman" w:hAnsi="Times New Roman" w:eastAsia="宋体" w:cs="Times New Roman"/>
                <w:b/>
                <w:bCs w:val="0"/>
                <w:caps w:val="0"/>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b/>
                <w:caps w:val="0"/>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aps w:val="0"/>
                <w:color w:val="000000" w:themeColor="text1"/>
                <w:sz w:val="24"/>
                <w:szCs w:val="24"/>
                <w14:textFill>
                  <w14:solidFill>
                    <w14:schemeClr w14:val="tx1"/>
                  </w14:solidFill>
                </w14:textFill>
              </w:rPr>
              <w:t>　</w:t>
            </w:r>
            <w:r>
              <w:rPr>
                <w:rFonts w:hint="default" w:ascii="Times New Roman" w:hAnsi="Times New Roman" w:eastAsia="宋体" w:cs="Times New Roman"/>
                <w:b/>
                <w:caps w:val="0"/>
                <w:color w:val="000000" w:themeColor="text1"/>
                <w:sz w:val="24"/>
                <w:szCs w:val="24"/>
                <w:lang w:eastAsia="zh-CN"/>
                <w14:textFill>
                  <w14:solidFill>
                    <w14:schemeClr w14:val="tx1"/>
                  </w14:solidFill>
                </w14:textFill>
              </w:rPr>
              <w:t>变动</w:t>
            </w:r>
            <w:r>
              <w:rPr>
                <w:rFonts w:hint="default" w:ascii="Times New Roman" w:hAnsi="Times New Roman" w:eastAsia="宋体" w:cs="Times New Roman"/>
                <w:b/>
                <w:bCs/>
                <w:iCs/>
                <w:caps w:val="0"/>
                <w:color w:val="000000" w:themeColor="text1"/>
                <w:sz w:val="24"/>
                <w:szCs w:val="24"/>
                <w:lang w:val="en-US" w:eastAsia="zh-CN"/>
                <w14:textFill>
                  <w14:solidFill>
                    <w14:schemeClr w14:val="tx1"/>
                  </w14:solidFill>
                </w14:textFill>
              </w:rPr>
              <w:t>前、后项目</w:t>
            </w:r>
            <w:r>
              <w:rPr>
                <w:rFonts w:hint="default" w:ascii="Times New Roman" w:hAnsi="Times New Roman" w:eastAsia="宋体" w:cs="Times New Roman"/>
                <w:b/>
                <w:bCs/>
                <w:caps w:val="0"/>
                <w:color w:val="000000" w:themeColor="text1"/>
                <w:sz w:val="24"/>
                <w14:textFill>
                  <w14:solidFill>
                    <w14:schemeClr w14:val="tx1"/>
                  </w14:solidFill>
                </w14:textFill>
              </w:rPr>
              <w:t>主要</w:t>
            </w:r>
            <w:r>
              <w:rPr>
                <w:rFonts w:hint="default" w:ascii="Times New Roman" w:hAnsi="Times New Roman" w:eastAsia="宋体" w:cs="Times New Roman"/>
                <w:b/>
                <w:caps w:val="0"/>
                <w:color w:val="000000" w:themeColor="text1"/>
                <w:sz w:val="24"/>
                <w:szCs w:val="24"/>
                <w14:textFill>
                  <w14:solidFill>
                    <w14:schemeClr w14:val="tx1"/>
                  </w14:solidFill>
                </w14:textFill>
              </w:rPr>
              <w:t>原辅材料</w:t>
            </w:r>
            <w:r>
              <w:rPr>
                <w:rFonts w:hint="default" w:ascii="Times New Roman" w:hAnsi="Times New Roman" w:eastAsia="宋体" w:cs="Times New Roman"/>
                <w:b/>
                <w:caps w:val="0"/>
                <w:color w:val="000000" w:themeColor="text1"/>
                <w:sz w:val="24"/>
                <w:szCs w:val="24"/>
                <w:lang w:eastAsia="zh-CN"/>
                <w14:textFill>
                  <w14:solidFill>
                    <w14:schemeClr w14:val="tx1"/>
                  </w14:solidFill>
                </w14:textFill>
              </w:rPr>
              <w:t>使用</w:t>
            </w:r>
            <w:r>
              <w:rPr>
                <w:rFonts w:hint="default" w:ascii="Times New Roman" w:hAnsi="Times New Roman" w:eastAsia="宋体" w:cs="Times New Roman"/>
                <w:b/>
                <w:caps w:val="0"/>
                <w:color w:val="000000" w:themeColor="text1"/>
                <w:sz w:val="24"/>
                <w:szCs w:val="24"/>
                <w14:textFill>
                  <w14:solidFill>
                    <w14:schemeClr w14:val="tx1"/>
                  </w14:solidFill>
                </w14:textFill>
              </w:rPr>
              <w:t>消耗一览表</w:t>
            </w:r>
          </w:p>
          <w:tbl>
            <w:tblPr>
              <w:tblStyle w:val="26"/>
              <w:tblW w:w="92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985"/>
              <w:gridCol w:w="1086"/>
              <w:gridCol w:w="1271"/>
              <w:gridCol w:w="1088"/>
              <w:gridCol w:w="1"/>
              <w:gridCol w:w="1533"/>
              <w:gridCol w:w="2"/>
              <w:gridCol w:w="1533"/>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5" w:hRule="atLeast"/>
                <w:jc w:val="center"/>
              </w:trPr>
              <w:tc>
                <w:tcPr>
                  <w:tcW w:w="719" w:type="dxa"/>
                  <w:vMerge w:val="restart"/>
                  <w:noWrap w:val="0"/>
                  <w:vAlign w:val="center"/>
                </w:tcPr>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序号</w:t>
                  </w:r>
                </w:p>
              </w:tc>
              <w:tc>
                <w:tcPr>
                  <w:tcW w:w="1985" w:type="dxa"/>
                  <w:vMerge w:val="restart"/>
                  <w:noWrap w:val="0"/>
                  <w:vAlign w:val="center"/>
                </w:tcPr>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原辅材料名称</w:t>
                  </w:r>
                </w:p>
              </w:tc>
              <w:tc>
                <w:tcPr>
                  <w:tcW w:w="3446"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aps w:val="0"/>
                      <w:color w:val="000000" w:themeColor="text1"/>
                      <w:sz w:val="21"/>
                      <w:szCs w:val="21"/>
                      <w14:textFill>
                        <w14:solidFill>
                          <w14:schemeClr w14:val="tx1"/>
                        </w14:solidFill>
                      </w14:textFill>
                    </w:rPr>
                    <w:t>年耗量</w:t>
                  </w:r>
                </w:p>
              </w:tc>
              <w:tc>
                <w:tcPr>
                  <w:tcW w:w="1535"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最大储量（</w:t>
                  </w: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t/a</w:t>
                  </w: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w:t>
                  </w:r>
                </w:p>
              </w:tc>
              <w:tc>
                <w:tcPr>
                  <w:tcW w:w="1534" w:type="dxa"/>
                  <w:gridSpan w:val="2"/>
                  <w:vMerge w:val="restart"/>
                  <w:noWrap w:val="0"/>
                  <w:vAlign w:val="center"/>
                </w:tcPr>
                <w:p>
                  <w:pPr>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278" w:hRule="atLeast"/>
                <w:jc w:val="center"/>
              </w:trPr>
              <w:tc>
                <w:tcPr>
                  <w:tcW w:w="719" w:type="dxa"/>
                  <w:vMerge w:val="continue"/>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1985" w:type="dxa"/>
                  <w:vMerge w:val="continue"/>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108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变动前（</w:t>
                  </w: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t/a</w:t>
                  </w: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w:t>
                  </w:r>
                </w:p>
              </w:tc>
              <w:tc>
                <w:tcPr>
                  <w:tcW w:w="12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aps w:val="0"/>
                      <w:color w:val="000000" w:themeColor="text1"/>
                      <w:sz w:val="21"/>
                      <w:szCs w:val="21"/>
                      <w:lang w:eastAsia="zh-CN"/>
                      <w14:textFill>
                        <w14:solidFill>
                          <w14:schemeClr w14:val="tx1"/>
                        </w14:solidFill>
                      </w14:textFill>
                    </w:rPr>
                    <w:t>变动</w:t>
                  </w:r>
                  <w:r>
                    <w:rPr>
                      <w:rFonts w:hint="default" w:ascii="Times New Roman" w:hAnsi="Times New Roman" w:eastAsia="宋体" w:cs="Times New Roman"/>
                      <w:b/>
                      <w:bCs/>
                      <w:iCs/>
                      <w:caps w:val="0"/>
                      <w:color w:val="000000" w:themeColor="text1"/>
                      <w:sz w:val="21"/>
                      <w:szCs w:val="21"/>
                      <w:lang w:val="en-US" w:eastAsia="zh-CN"/>
                      <w14:textFill>
                        <w14:solidFill>
                          <w14:schemeClr w14:val="tx1"/>
                        </w14:solidFill>
                      </w14:textFill>
                    </w:rPr>
                    <w:t>后（</w:t>
                  </w: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t/a</w:t>
                  </w:r>
                  <w:r>
                    <w:rPr>
                      <w:rFonts w:hint="default" w:ascii="Times New Roman" w:hAnsi="Times New Roman" w:eastAsia="宋体" w:cs="Times New Roman"/>
                      <w:b/>
                      <w:bCs/>
                      <w:iCs/>
                      <w:caps w:val="0"/>
                      <w:color w:val="000000" w:themeColor="text1"/>
                      <w:sz w:val="21"/>
                      <w:szCs w:val="21"/>
                      <w:lang w:val="en-US" w:eastAsia="zh-CN"/>
                      <w14:textFill>
                        <w14:solidFill>
                          <w14:schemeClr w14:val="tx1"/>
                        </w14:solidFill>
                      </w14:textFill>
                    </w:rPr>
                    <w:t>）</w:t>
                  </w:r>
                </w:p>
              </w:tc>
              <w:tc>
                <w:tcPr>
                  <w:tcW w:w="108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变化量（</w:t>
                  </w:r>
                  <w:r>
                    <w:rPr>
                      <w:rFonts w:hint="default" w:ascii="Times New Roman" w:hAnsi="Times New Roman" w:eastAsia="宋体" w:cs="Times New Roman"/>
                      <w:caps w:val="0"/>
                      <w:color w:val="000000" w:themeColor="text1"/>
                      <w:sz w:val="21"/>
                      <w:szCs w:val="21"/>
                      <w:lang w:val="en-US" w:eastAsia="zh-CN"/>
                      <w14:textFill>
                        <w14:solidFill>
                          <w14:schemeClr w14:val="tx1"/>
                        </w14:solidFill>
                      </w14:textFill>
                    </w:rPr>
                    <w:t>t/a</w:t>
                  </w: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w:t>
                  </w:r>
                </w:p>
              </w:tc>
              <w:tc>
                <w:tcPr>
                  <w:tcW w:w="1534"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pPr>
                </w:p>
              </w:tc>
              <w:tc>
                <w:tcPr>
                  <w:tcW w:w="1535" w:type="dxa"/>
                  <w:gridSpan w:val="2"/>
                  <w:vMerge w:val="continue"/>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41" w:hRule="atLeast"/>
                <w:jc w:val="center"/>
              </w:trPr>
              <w:tc>
                <w:tcPr>
                  <w:tcW w:w="719" w:type="dxa"/>
                  <w:noWrap w:val="0"/>
                  <w:vAlign w:val="center"/>
                </w:tcPr>
                <w:p>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1</w:t>
                  </w:r>
                </w:p>
              </w:tc>
              <w:tc>
                <w:tcPr>
                  <w:tcW w:w="198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石英砂</w:t>
                  </w:r>
                </w:p>
              </w:tc>
              <w:tc>
                <w:tcPr>
                  <w:tcW w:w="1086" w:type="dxa"/>
                  <w:noWrap w:val="0"/>
                  <w:vAlign w:val="center"/>
                </w:tcPr>
                <w:p>
                  <w:pPr>
                    <w:jc w:val="center"/>
                    <w:rPr>
                      <w:rFonts w:hint="default" w:ascii="Times New Roman" w:hAnsi="Times New Roman" w:eastAsia="宋体" w:cs="Times New Roman"/>
                      <w:color w:val="000000" w:themeColor="text1"/>
                      <w:highlight w:val="yellow"/>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60000</w:t>
                  </w:r>
                </w:p>
              </w:tc>
              <w:tc>
                <w:tcPr>
                  <w:tcW w:w="1271" w:type="dxa"/>
                  <w:noWrap w:val="0"/>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8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-60000</w:t>
                  </w:r>
                </w:p>
              </w:tc>
              <w:tc>
                <w:tcPr>
                  <w:tcW w:w="1534" w:type="dxa"/>
                  <w:gridSpan w:val="2"/>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535" w:type="dxa"/>
                  <w:gridSpan w:val="2"/>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粒径约0.15~0.42mm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41" w:hRule="atLeast"/>
                <w:jc w:val="center"/>
              </w:trPr>
              <w:tc>
                <w:tcPr>
                  <w:tcW w:w="719" w:type="dxa"/>
                  <w:noWrap w:val="0"/>
                  <w:vAlign w:val="center"/>
                </w:tcPr>
                <w:p>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2</w:t>
                  </w:r>
                </w:p>
              </w:tc>
              <w:tc>
                <w:tcPr>
                  <w:tcW w:w="1985" w:type="dxa"/>
                  <w:noWrap w:val="0"/>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石英岩矿</w:t>
                  </w:r>
                </w:p>
              </w:tc>
              <w:tc>
                <w:tcPr>
                  <w:tcW w:w="1086"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271"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62100</w:t>
                  </w:r>
                </w:p>
              </w:tc>
              <w:tc>
                <w:tcPr>
                  <w:tcW w:w="108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+62100</w:t>
                  </w:r>
                </w:p>
              </w:tc>
              <w:tc>
                <w:tcPr>
                  <w:tcW w:w="1534" w:type="dxa"/>
                  <w:gridSpan w:val="2"/>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1000</w:t>
                  </w:r>
                </w:p>
              </w:tc>
              <w:tc>
                <w:tcPr>
                  <w:tcW w:w="1535" w:type="dxa"/>
                  <w:gridSpan w:val="2"/>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直径</w:t>
                  </w:r>
                  <w:r>
                    <w:rPr>
                      <w:rFonts w:hint="default" w:ascii="Times New Roman" w:hAnsi="Times New Roman" w:eastAsia="宋体" w:cs="Times New Roman"/>
                      <w:color w:val="000000" w:themeColor="text1"/>
                      <w:lang w:val="en-US" w:eastAsia="zh-CN"/>
                      <w14:textFill>
                        <w14:solidFill>
                          <w14:schemeClr w14:val="tx1"/>
                        </w14:solidFill>
                      </w14:textFill>
                    </w:rPr>
                    <w:t>2.5~5cm，用于湿砂生产的原料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41" w:hRule="atLeast"/>
                <w:jc w:val="center"/>
              </w:trPr>
              <w:tc>
                <w:tcPr>
                  <w:tcW w:w="719" w:type="dxa"/>
                  <w:noWrap w:val="0"/>
                  <w:vAlign w:val="center"/>
                </w:tcPr>
                <w:p>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3</w:t>
                  </w:r>
                </w:p>
              </w:tc>
              <w:tc>
                <w:tcPr>
                  <w:tcW w:w="198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草酸晶体（95%）</w:t>
                  </w:r>
                </w:p>
              </w:tc>
              <w:tc>
                <w:tcPr>
                  <w:tcW w:w="1086"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1271"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100</w:t>
                  </w:r>
                </w:p>
              </w:tc>
              <w:tc>
                <w:tcPr>
                  <w:tcW w:w="108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534" w:type="dxa"/>
                  <w:gridSpan w:val="2"/>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w:t>
                  </w:r>
                </w:p>
              </w:tc>
              <w:tc>
                <w:tcPr>
                  <w:tcW w:w="1535" w:type="dxa"/>
                  <w:gridSpan w:val="2"/>
                  <w:vMerge w:val="restart"/>
                  <w:noWrap w:val="0"/>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无变化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41" w:hRule="atLeast"/>
                <w:jc w:val="center"/>
              </w:trPr>
              <w:tc>
                <w:tcPr>
                  <w:tcW w:w="719" w:type="dxa"/>
                  <w:noWrap w:val="0"/>
                  <w:vAlign w:val="center"/>
                </w:tcPr>
                <w:p>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4</w:t>
                  </w:r>
                </w:p>
              </w:tc>
              <w:tc>
                <w:tcPr>
                  <w:tcW w:w="198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氢氧化钠</w:t>
                  </w:r>
                </w:p>
              </w:tc>
              <w:tc>
                <w:tcPr>
                  <w:tcW w:w="1086" w:type="dxa"/>
                  <w:noWrap w:val="0"/>
                  <w:vAlign w:val="center"/>
                </w:tcPr>
                <w:p>
                  <w:pPr>
                    <w:jc w:val="center"/>
                    <w:rPr>
                      <w:rFonts w:hint="default" w:ascii="Times New Roman" w:hAnsi="Times New Roman" w:eastAsia="宋体" w:cs="Times New Roman"/>
                      <w:color w:val="000000" w:themeColor="text1"/>
                      <w:lang w:val="en-US"/>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1271"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50</w:t>
                  </w:r>
                </w:p>
              </w:tc>
              <w:tc>
                <w:tcPr>
                  <w:tcW w:w="108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534" w:type="dxa"/>
                  <w:gridSpan w:val="2"/>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2.5</w:t>
                  </w:r>
                </w:p>
              </w:tc>
              <w:tc>
                <w:tcPr>
                  <w:tcW w:w="1535" w:type="dxa"/>
                  <w:gridSpan w:val="2"/>
                  <w:vMerge w:val="continue"/>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41" w:hRule="atLeast"/>
                <w:jc w:val="center"/>
              </w:trPr>
              <w:tc>
                <w:tcPr>
                  <w:tcW w:w="719" w:type="dxa"/>
                  <w:noWrap w:val="0"/>
                  <w:vAlign w:val="center"/>
                </w:tcPr>
                <w:p>
                  <w:pPr>
                    <w:jc w:val="center"/>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5</w:t>
                  </w:r>
                </w:p>
              </w:tc>
              <w:tc>
                <w:tcPr>
                  <w:tcW w:w="1985" w:type="dxa"/>
                  <w:noWrap w:val="0"/>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聚丙烯酰胺（</w:t>
                  </w:r>
                  <w:r>
                    <w:rPr>
                      <w:rFonts w:hint="default" w:ascii="Times New Roman" w:hAnsi="Times New Roman" w:eastAsia="宋体" w:cs="Times New Roman"/>
                      <w:color w:val="000000" w:themeColor="text1"/>
                      <w:lang w:val="en-US" w:eastAsia="zh-CN"/>
                      <w14:textFill>
                        <w14:solidFill>
                          <w14:schemeClr w14:val="tx1"/>
                        </w14:solidFill>
                      </w14:textFill>
                    </w:rPr>
                    <w:t>PAM</w:t>
                  </w:r>
                  <w:r>
                    <w:rPr>
                      <w:rFonts w:hint="default" w:ascii="Times New Roman" w:hAnsi="Times New Roman" w:eastAsia="宋体" w:cs="Times New Roman"/>
                      <w:color w:val="000000" w:themeColor="text1"/>
                      <w:lang w:eastAsia="zh-CN"/>
                      <w14:textFill>
                        <w14:solidFill>
                          <w14:schemeClr w14:val="tx1"/>
                        </w14:solidFill>
                      </w14:textFill>
                    </w:rPr>
                    <w:t>）</w:t>
                  </w:r>
                </w:p>
              </w:tc>
              <w:tc>
                <w:tcPr>
                  <w:tcW w:w="1086"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271"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108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w:t>
                  </w:r>
                </w:p>
              </w:tc>
              <w:tc>
                <w:tcPr>
                  <w:tcW w:w="1534" w:type="dxa"/>
                  <w:gridSpan w:val="2"/>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0.5</w:t>
                  </w:r>
                </w:p>
              </w:tc>
              <w:tc>
                <w:tcPr>
                  <w:tcW w:w="1535" w:type="dxa"/>
                  <w:gridSpan w:val="2"/>
                  <w:noWrap w:val="0"/>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絮凝剂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541" w:hRule="atLeast"/>
                <w:jc w:val="center"/>
              </w:trPr>
              <w:tc>
                <w:tcPr>
                  <w:tcW w:w="719" w:type="dxa"/>
                  <w:noWrap w:val="0"/>
                  <w:vAlign w:val="center"/>
                </w:tcPr>
                <w:p>
                  <w:pPr>
                    <w:jc w:val="center"/>
                    <w:rPr>
                      <w:rFonts w:hint="default"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eastAsia="宋体" w:cs="Times New Roman"/>
                      <w:bCs/>
                      <w:color w:val="000000" w:themeColor="text1"/>
                      <w:lang w:val="en-US" w:eastAsia="zh-CN"/>
                      <w14:textFill>
                        <w14:solidFill>
                          <w14:schemeClr w14:val="tx1"/>
                        </w14:solidFill>
                      </w14:textFill>
                    </w:rPr>
                    <w:t>6</w:t>
                  </w:r>
                </w:p>
              </w:tc>
              <w:tc>
                <w:tcPr>
                  <w:tcW w:w="198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碱式氯化铝（PAC）</w:t>
                  </w:r>
                </w:p>
              </w:tc>
              <w:tc>
                <w:tcPr>
                  <w:tcW w:w="1086"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0.05</w:t>
                  </w:r>
                </w:p>
              </w:tc>
              <w:tc>
                <w:tcPr>
                  <w:tcW w:w="1271" w:type="dxa"/>
                  <w:noWrap w:val="0"/>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w:t>
                  </w:r>
                </w:p>
              </w:tc>
              <w:tc>
                <w:tcPr>
                  <w:tcW w:w="108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+0.95</w:t>
                  </w:r>
                </w:p>
              </w:tc>
              <w:tc>
                <w:tcPr>
                  <w:tcW w:w="1534" w:type="dxa"/>
                  <w:gridSpan w:val="2"/>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0.2</w:t>
                  </w:r>
                </w:p>
              </w:tc>
              <w:tc>
                <w:tcPr>
                  <w:tcW w:w="1535" w:type="dxa"/>
                  <w:gridSpan w:val="2"/>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混凝剂</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9"/>
              <w:rPr>
                <w:rFonts w:hint="default" w:ascii="Times New Roman" w:hAnsi="Times New Roman" w:eastAsia="宋体" w:cs="Times New Roman"/>
                <w:b/>
                <w:caps w:val="0"/>
                <w:color w:val="000000" w:themeColor="text1"/>
                <w:sz w:val="24"/>
                <w:szCs w:val="24"/>
                <w14:textFill>
                  <w14:solidFill>
                    <w14:schemeClr w14:val="tx1"/>
                  </w14:solidFill>
                </w14:textFill>
              </w:rPr>
            </w:pPr>
            <w:r>
              <w:rPr>
                <w:rFonts w:hint="default" w:ascii="Times New Roman" w:hAnsi="Times New Roman" w:eastAsia="宋体" w:cs="Times New Roman"/>
                <w:b/>
                <w:bCs/>
                <w:iCs/>
                <w:caps w:val="0"/>
                <w:color w:val="000000" w:themeColor="text1"/>
                <w:sz w:val="24"/>
                <w:szCs w:val="24"/>
                <w14:textFill>
                  <w14:solidFill>
                    <w14:schemeClr w14:val="tx1"/>
                  </w14:solidFill>
                </w14:textFill>
              </w:rPr>
              <w:t>1.</w:t>
            </w:r>
            <w:r>
              <w:rPr>
                <w:rFonts w:hint="default" w:ascii="Times New Roman" w:hAnsi="Times New Roman" w:eastAsia="宋体" w:cs="Times New Roman"/>
                <w:b/>
                <w:bCs/>
                <w:iCs/>
                <w:cap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iCs/>
                <w:caps w:val="0"/>
                <w:color w:val="000000" w:themeColor="text1"/>
                <w:sz w:val="24"/>
                <w:szCs w:val="24"/>
                <w14:textFill>
                  <w14:solidFill>
                    <w14:schemeClr w14:val="tx1"/>
                  </w14:solidFill>
                </w14:textFill>
              </w:rPr>
              <w:t>.</w:t>
            </w:r>
            <w:r>
              <w:rPr>
                <w:rFonts w:hint="default" w:ascii="Times New Roman" w:hAnsi="Times New Roman" w:eastAsia="宋体" w:cs="Times New Roman"/>
                <w:b/>
                <w:bCs/>
                <w:iCs/>
                <w:caps w:val="0"/>
                <w:color w:val="000000" w:themeColor="text1"/>
                <w:sz w:val="24"/>
                <w:szCs w:val="24"/>
                <w:lang w:val="en-US" w:eastAsia="zh-CN"/>
                <w14:textFill>
                  <w14:solidFill>
                    <w14:schemeClr w14:val="tx1"/>
                  </w14:solidFill>
                </w14:textFill>
              </w:rPr>
              <w:t>4.2变动前、后项目</w:t>
            </w:r>
            <w:r>
              <w:rPr>
                <w:rFonts w:hint="default" w:ascii="Times New Roman" w:hAnsi="Times New Roman" w:eastAsia="宋体" w:cs="Times New Roman"/>
                <w:b/>
                <w:bCs/>
                <w:caps w:val="0"/>
                <w:color w:val="000000" w:themeColor="text1"/>
                <w:sz w:val="24"/>
                <w:lang w:eastAsia="zh-CN"/>
                <w14:textFill>
                  <w14:solidFill>
                    <w14:schemeClr w14:val="tx1"/>
                  </w14:solidFill>
                </w14:textFill>
              </w:rPr>
              <w:t>能源及资源使用</w:t>
            </w:r>
            <w:r>
              <w:rPr>
                <w:rFonts w:hint="default" w:ascii="Times New Roman" w:hAnsi="Times New Roman" w:eastAsia="宋体" w:cs="Times New Roman"/>
                <w:b/>
                <w:caps w:val="0"/>
                <w:color w:val="000000" w:themeColor="text1"/>
                <w:sz w:val="24"/>
                <w:szCs w:val="24"/>
                <w14:textFill>
                  <w14:solidFill>
                    <w14:schemeClr w14:val="tx1"/>
                  </w14:solidFill>
                </w14:textFill>
              </w:rPr>
              <w:t>消耗情况</w:t>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b/>
                <w:caps w:val="0"/>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b/>
                <w:caps w:val="0"/>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b/>
                <w:caps w:val="0"/>
                <w:color w:val="000000" w:themeColor="text1"/>
                <w:sz w:val="24"/>
                <w:szCs w:val="24"/>
                <w14:textFill>
                  <w14:solidFill>
                    <w14:schemeClr w14:val="tx1"/>
                  </w14:solidFill>
                </w14:textFill>
              </w:rPr>
            </w:pPr>
            <w:r>
              <w:rPr>
                <w:rFonts w:hint="default" w:ascii="Times New Roman" w:hAnsi="Times New Roman" w:eastAsia="宋体" w:cs="Times New Roman"/>
                <w:b/>
                <w:caps w:val="0"/>
                <w:color w:val="000000" w:themeColor="text1"/>
                <w:sz w:val="24"/>
                <w:szCs w:val="24"/>
                <w14:textFill>
                  <w14:solidFill>
                    <w14:schemeClr w14:val="tx1"/>
                  </w14:solidFill>
                </w14:textFill>
              </w:rPr>
              <w:t>表</w:t>
            </w:r>
            <w:r>
              <w:rPr>
                <w:rFonts w:hint="default" w:ascii="Times New Roman" w:hAnsi="Times New Roman" w:eastAsia="宋体" w:cs="Times New Roman"/>
                <w:b/>
                <w:bCs w:val="0"/>
                <w:caps w:val="0"/>
                <w:color w:val="000000" w:themeColor="text1"/>
                <w:sz w:val="24"/>
                <w:szCs w:val="24"/>
                <w:lang w:val="en-US" w:eastAsia="zh-CN"/>
                <w14:textFill>
                  <w14:solidFill>
                    <w14:schemeClr w14:val="tx1"/>
                  </w14:solidFill>
                </w14:textFill>
              </w:rPr>
              <w:t>1.2-</w:t>
            </w:r>
            <w:r>
              <w:rPr>
                <w:rFonts w:hint="default" w:ascii="Times New Roman" w:hAnsi="Times New Roman" w:eastAsia="宋体" w:cs="Times New Roman"/>
                <w:b/>
                <w:cap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caps w:val="0"/>
                <w:color w:val="000000" w:themeColor="text1"/>
                <w:sz w:val="24"/>
                <w:szCs w:val="24"/>
                <w14:textFill>
                  <w14:solidFill>
                    <w14:schemeClr w14:val="tx1"/>
                  </w14:solidFill>
                </w14:textFill>
              </w:rPr>
              <w:t>　</w:t>
            </w:r>
            <w:r>
              <w:rPr>
                <w:rFonts w:hint="default" w:ascii="Times New Roman" w:hAnsi="Times New Roman" w:eastAsia="宋体" w:cs="Times New Roman"/>
                <w:b/>
                <w:caps w:val="0"/>
                <w:color w:val="000000" w:themeColor="text1"/>
                <w:sz w:val="24"/>
                <w:szCs w:val="24"/>
                <w:lang w:val="en-US" w:eastAsia="zh-CN"/>
                <w14:textFill>
                  <w14:solidFill>
                    <w14:schemeClr w14:val="tx1"/>
                  </w14:solidFill>
                </w14:textFill>
              </w:rPr>
              <w:t>变动前、后项目</w:t>
            </w:r>
            <w:r>
              <w:rPr>
                <w:rFonts w:hint="default" w:ascii="Times New Roman" w:hAnsi="Times New Roman" w:eastAsia="宋体" w:cs="Times New Roman"/>
                <w:b/>
                <w:caps w:val="0"/>
                <w:color w:val="000000" w:themeColor="text1"/>
                <w:sz w:val="24"/>
                <w:szCs w:val="24"/>
                <w:lang w:eastAsia="zh-CN"/>
                <w14:textFill>
                  <w14:solidFill>
                    <w14:schemeClr w14:val="tx1"/>
                  </w14:solidFill>
                </w14:textFill>
              </w:rPr>
              <w:t>能源及资源使用</w:t>
            </w:r>
            <w:r>
              <w:rPr>
                <w:rFonts w:hint="default" w:ascii="Times New Roman" w:hAnsi="Times New Roman" w:eastAsia="宋体" w:cs="Times New Roman"/>
                <w:b/>
                <w:caps w:val="0"/>
                <w:color w:val="000000" w:themeColor="text1"/>
                <w:sz w:val="24"/>
                <w:szCs w:val="24"/>
                <w14:textFill>
                  <w14:solidFill>
                    <w14:schemeClr w14:val="tx1"/>
                  </w14:solidFill>
                </w14:textFill>
              </w:rPr>
              <w:t>消耗一览表</w:t>
            </w:r>
          </w:p>
          <w:tbl>
            <w:tblPr>
              <w:tblStyle w:val="26"/>
              <w:tblW w:w="915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1554"/>
              <w:gridCol w:w="1200"/>
              <w:gridCol w:w="1338"/>
              <w:gridCol w:w="1103"/>
              <w:gridCol w:w="2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aps w:val="0"/>
                      <w:color w:val="000000" w:themeColor="text1"/>
                      <w:sz w:val="21"/>
                      <w:szCs w:val="21"/>
                      <w:highlight w:val="none"/>
                      <w:lang w:eastAsia="zh-CN"/>
                      <w14:textFill>
                        <w14:solidFill>
                          <w14:schemeClr w14:val="tx1"/>
                        </w14:solidFill>
                      </w14:textFill>
                    </w:rPr>
                    <w:t>能源及资源</w:t>
                  </w:r>
                  <w:r>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t>名称</w:t>
                  </w:r>
                </w:p>
              </w:tc>
              <w:tc>
                <w:tcPr>
                  <w:tcW w:w="4092"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t>年耗量</w:t>
                  </w:r>
                </w:p>
              </w:tc>
              <w:tc>
                <w:tcPr>
                  <w:tcW w:w="110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t>来源</w:t>
                  </w:r>
                </w:p>
              </w:tc>
              <w:tc>
                <w:tcPr>
                  <w:tcW w:w="217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aps w:val="0"/>
                      <w:color w:val="000000" w:themeColor="text1"/>
                      <w:sz w:val="21"/>
                      <w:szCs w:val="21"/>
                      <w:highlight w:val="none"/>
                      <w:lang w:eastAsia="zh-CN"/>
                      <w14:textFill>
                        <w14:solidFill>
                          <w14:schemeClr w14:val="tx1"/>
                        </w14:solidFill>
                      </w14:textFill>
                    </w:rPr>
                    <w:t>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pPr>
                </w:p>
              </w:tc>
              <w:tc>
                <w:tcPr>
                  <w:tcW w:w="1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变动前</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iCs/>
                      <w:caps w:val="0"/>
                      <w:color w:val="000000" w:themeColor="text1"/>
                      <w:sz w:val="21"/>
                      <w:szCs w:val="21"/>
                      <w:lang w:val="en-US" w:eastAsia="zh-CN"/>
                      <w14:textFill>
                        <w14:solidFill>
                          <w14:schemeClr w14:val="tx1"/>
                        </w14:solidFill>
                      </w14:textFill>
                    </w:rPr>
                    <w:t>变动后</w:t>
                  </w:r>
                </w:p>
              </w:tc>
              <w:tc>
                <w:tcPr>
                  <w:tcW w:w="13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本项目引起变化量</w:t>
                  </w:r>
                </w:p>
              </w:tc>
              <w:tc>
                <w:tcPr>
                  <w:tcW w:w="11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pPr>
                </w:p>
              </w:tc>
              <w:tc>
                <w:tcPr>
                  <w:tcW w:w="217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用电</w:t>
                  </w: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万度/a</w:t>
                  </w: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w:t>
                  </w:r>
                </w:p>
              </w:tc>
              <w:tc>
                <w:tcPr>
                  <w:tcW w:w="1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20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40</w:t>
                  </w:r>
                </w:p>
              </w:tc>
              <w:tc>
                <w:tcPr>
                  <w:tcW w:w="13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+20</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市政电网</w:t>
                  </w:r>
                </w:p>
              </w:tc>
              <w:tc>
                <w:tcPr>
                  <w:tcW w:w="21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生活和生产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生活用水（</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t/a</w:t>
                  </w: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w:t>
                  </w:r>
                </w:p>
              </w:tc>
              <w:tc>
                <w:tcPr>
                  <w:tcW w:w="1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120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48</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13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36</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市政供水</w:t>
                  </w:r>
                </w:p>
              </w:tc>
              <w:tc>
                <w:tcPr>
                  <w:tcW w:w="21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生活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天然气（</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万m</w:t>
                  </w:r>
                  <w:r>
                    <w:rPr>
                      <w:rFonts w:hint="default" w:ascii="Times New Roman" w:hAnsi="Times New Roman" w:eastAsia="宋体" w:cs="Times New Roman"/>
                      <w:cap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/a</w:t>
                  </w: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w:t>
                  </w:r>
                </w:p>
              </w:tc>
              <w:tc>
                <w:tcPr>
                  <w:tcW w:w="1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13.20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39.24</w:t>
                  </w:r>
                </w:p>
              </w:tc>
              <w:tc>
                <w:tcPr>
                  <w:tcW w:w="13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6.04</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市政供气</w:t>
                  </w:r>
                </w:p>
              </w:tc>
              <w:tc>
                <w:tcPr>
                  <w:tcW w:w="21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生产用水（</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t/a</w:t>
                  </w: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w:t>
                  </w:r>
                </w:p>
              </w:tc>
              <w:tc>
                <w:tcPr>
                  <w:tcW w:w="1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120260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5790</w:t>
                  </w:r>
                </w:p>
              </w:tc>
              <w:tc>
                <w:tcPr>
                  <w:tcW w:w="13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-114470</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市政供水</w:t>
                  </w:r>
                </w:p>
              </w:tc>
              <w:tc>
                <w:tcPr>
                  <w:tcW w:w="21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酸洗及烘干车间用水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p>
              </w:tc>
              <w:tc>
                <w:tcPr>
                  <w:tcW w:w="1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0</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20900</w:t>
                  </w:r>
                </w:p>
              </w:tc>
              <w:tc>
                <w:tcPr>
                  <w:tcW w:w="13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+20900</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市政供水</w:t>
                  </w:r>
                </w:p>
              </w:tc>
              <w:tc>
                <w:tcPr>
                  <w:tcW w:w="21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湿砂车间用水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79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eastAsia" w:ascii="Times New Roman" w:hAnsi="Times New Roman" w:cs="Times New Roman"/>
                      <w:caps w:val="0"/>
                      <w:color w:val="000000" w:themeColor="text1"/>
                      <w:sz w:val="21"/>
                      <w:szCs w:val="21"/>
                      <w:highlight w:val="none"/>
                      <w:lang w:eastAsia="zh-CN"/>
                      <w14:textFill>
                        <w14:solidFill>
                          <w14:schemeClr w14:val="tx1"/>
                        </w14:solidFill>
                      </w14:textFill>
                    </w:rPr>
                    <w:t>除尘设施</w:t>
                  </w: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用水（</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t/a</w:t>
                  </w: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w:t>
                  </w:r>
                </w:p>
              </w:tc>
              <w:tc>
                <w:tcPr>
                  <w:tcW w:w="15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w:t>
                  </w:r>
                </w:p>
              </w:tc>
              <w:tc>
                <w:tcPr>
                  <w:tcW w:w="12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30</w:t>
                  </w:r>
                </w:p>
              </w:tc>
              <w:tc>
                <w:tcPr>
                  <w:tcW w:w="133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+30</w:t>
                  </w:r>
                </w:p>
              </w:tc>
              <w:tc>
                <w:tcPr>
                  <w:tcW w:w="11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市政供水</w:t>
                  </w:r>
                </w:p>
              </w:tc>
              <w:tc>
                <w:tcPr>
                  <w:tcW w:w="21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eastAsia" w:ascii="Times New Roman" w:hAnsi="Times New Roman" w:cs="Times New Roman"/>
                      <w:caps w:val="0"/>
                      <w:color w:val="000000" w:themeColor="text1"/>
                      <w:sz w:val="21"/>
                      <w:szCs w:val="21"/>
                      <w:highlight w:val="none"/>
                      <w:lang w:eastAsia="zh-CN"/>
                      <w14:textFill>
                        <w14:solidFill>
                          <w14:schemeClr w14:val="tx1"/>
                        </w14:solidFill>
                      </w14:textFill>
                    </w:rPr>
                    <w:t>麻石水膜除尘</w:t>
                  </w: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用水</w:t>
                  </w:r>
                </w:p>
              </w:tc>
            </w:tr>
          </w:tbl>
          <w:p>
            <w:pPr>
              <w:keepNext w:val="0"/>
              <w:keepLines w:val="0"/>
              <w:pageBreakBefore w:val="0"/>
              <w:widowControl w:val="0"/>
              <w:kinsoku/>
              <w:wordWrap/>
              <w:overflowPunct/>
              <w:topLinePunct w:val="0"/>
              <w:autoSpaceDE w:val="0"/>
              <w:autoSpaceDN w:val="0"/>
              <w:bidi w:val="0"/>
              <w:adjustRightInd/>
              <w:snapToGrid/>
              <w:spacing w:before="157" w:beforeLines="50" w:line="360" w:lineRule="auto"/>
              <w:textAlignment w:val="auto"/>
              <w:outlineLvl w:val="9"/>
              <w:rPr>
                <w:rFonts w:hint="default" w:ascii="Times New Roman" w:hAnsi="Times New Roman" w:eastAsia="宋体" w:cs="Times New Roman"/>
                <w:b/>
                <w:bCs/>
                <w:caps w:val="0"/>
                <w:color w:val="000000" w:themeColor="text1"/>
                <w:sz w:val="24"/>
                <w:szCs w:val="24"/>
                <w14:textFill>
                  <w14:solidFill>
                    <w14:schemeClr w14:val="tx1"/>
                  </w14:solidFill>
                </w14:textFill>
              </w:rPr>
            </w:pPr>
            <w:r>
              <w:rPr>
                <w:rFonts w:hint="default" w:ascii="Times New Roman" w:hAnsi="Times New Roman" w:eastAsia="宋体" w:cs="Times New Roman"/>
                <w:b/>
                <w:bCs/>
                <w:iCs/>
                <w:caps w:val="0"/>
                <w:color w:val="000000" w:themeColor="text1"/>
                <w:sz w:val="24"/>
                <w:szCs w:val="24"/>
                <w14:textFill>
                  <w14:solidFill>
                    <w14:schemeClr w14:val="tx1"/>
                  </w14:solidFill>
                </w14:textFill>
              </w:rPr>
              <w:t>1.</w:t>
            </w:r>
            <w:r>
              <w:rPr>
                <w:rFonts w:hint="default" w:ascii="Times New Roman" w:hAnsi="Times New Roman" w:eastAsia="宋体" w:cs="Times New Roman"/>
                <w:b/>
                <w:bCs/>
                <w:iCs/>
                <w:caps w:val="0"/>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iCs/>
                <w:caps w:val="0"/>
                <w:color w:val="000000" w:themeColor="text1"/>
                <w:sz w:val="24"/>
                <w:szCs w:val="24"/>
                <w14:textFill>
                  <w14:solidFill>
                    <w14:schemeClr w14:val="tx1"/>
                  </w14:solidFill>
                </w14:textFill>
              </w:rPr>
              <w:t>.</w:t>
            </w:r>
            <w:r>
              <w:rPr>
                <w:rFonts w:hint="default" w:ascii="Times New Roman" w:hAnsi="Times New Roman" w:eastAsia="宋体" w:cs="Times New Roman"/>
                <w:b/>
                <w:bCs/>
                <w:iCs/>
                <w:caps w:val="0"/>
                <w:color w:val="000000" w:themeColor="text1"/>
                <w:sz w:val="24"/>
                <w:szCs w:val="24"/>
                <w:lang w:val="en-US" w:eastAsia="zh-CN"/>
                <w14:textFill>
                  <w14:solidFill>
                    <w14:schemeClr w14:val="tx1"/>
                  </w14:solidFill>
                </w14:textFill>
              </w:rPr>
              <w:t>4.3 新增</w:t>
            </w:r>
            <w:r>
              <w:rPr>
                <w:rFonts w:hint="default" w:ascii="Times New Roman" w:hAnsi="Times New Roman" w:eastAsia="宋体" w:cs="Times New Roman"/>
                <w:b/>
                <w:caps w:val="0"/>
                <w:color w:val="000000" w:themeColor="text1"/>
                <w:sz w:val="24"/>
                <w14:textFill>
                  <w14:solidFill>
                    <w14:schemeClr w14:val="tx1"/>
                  </w14:solidFill>
                </w14:textFill>
              </w:rPr>
              <w:t>主要原辅料</w:t>
            </w:r>
            <w:r>
              <w:rPr>
                <w:rFonts w:hint="default" w:ascii="Times New Roman" w:hAnsi="Times New Roman" w:eastAsia="宋体" w:cs="Times New Roman"/>
                <w:b/>
                <w:caps w:val="0"/>
                <w:color w:val="000000" w:themeColor="text1"/>
                <w:sz w:val="24"/>
                <w:lang w:eastAsia="zh-CN"/>
                <w14:textFill>
                  <w14:solidFill>
                    <w14:schemeClr w14:val="tx1"/>
                  </w14:solidFill>
                </w14:textFill>
              </w:rPr>
              <w:t>的</w:t>
            </w:r>
            <w:r>
              <w:rPr>
                <w:rFonts w:hint="default" w:ascii="Times New Roman" w:hAnsi="Times New Roman" w:eastAsia="宋体" w:cs="Times New Roman"/>
                <w:b/>
                <w:caps w:val="0"/>
                <w:color w:val="000000" w:themeColor="text1"/>
                <w:sz w:val="24"/>
                <w14:textFill>
                  <w14:solidFill>
                    <w14:schemeClr w14:val="tx1"/>
                  </w14:solidFill>
                </w14:textFill>
              </w:rPr>
              <w:t>理化性质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sz w:val="24"/>
                <w:szCs w:val="24"/>
                <w:u w:val="none"/>
                <w14:textFill>
                  <w14:solidFill>
                    <w14:schemeClr w14:val="tx1"/>
                  </w14:solidFill>
                </w14:textFill>
              </w:rPr>
            </w:pPr>
            <w:r>
              <w:rPr>
                <w:rFonts w:hint="default" w:ascii="Times New Roman" w:hAnsi="Times New Roman" w:eastAsia="宋体" w:cs="Times New Roman"/>
                <w:b/>
                <w:bCs/>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u w:val="none"/>
                <w14:textFill>
                  <w14:solidFill>
                    <w14:schemeClr w14:val="tx1"/>
                  </w14:solidFill>
                </w14:textFill>
              </w:rPr>
              <w:t>石英岩矿</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sz w:val="24"/>
                <w:szCs w:val="24"/>
                <w:u w:val="none"/>
                <w14:textFill>
                  <w14:solidFill>
                    <w14:schemeClr w14:val="tx1"/>
                  </w14:solidFill>
                </w14:textFill>
              </w:rPr>
            </w:pPr>
            <w:r>
              <w:rPr>
                <w:rFonts w:hint="default" w:ascii="Times New Roman" w:hAnsi="Times New Roman" w:eastAsia="宋体" w:cs="Times New Roman"/>
                <w:b/>
                <w:bCs/>
                <w:color w:val="000000" w:themeColor="text1"/>
                <w:sz w:val="24"/>
                <w:szCs w:val="24"/>
                <w:u w:val="none"/>
                <w14:textFill>
                  <w14:solidFill>
                    <w14:schemeClr w14:val="tx1"/>
                  </w14:solidFill>
                </w14:textFill>
              </w:rPr>
              <w:t>1）基本资料</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508" w:firstLineChars="200"/>
              <w:textAlignment w:val="auto"/>
              <w:outlineLvl w:val="9"/>
              <w:rPr>
                <w:rFonts w:hint="default" w:ascii="Times New Roman" w:hAnsi="Times New Roman" w:eastAsia="宋体" w:cs="Times New Roman"/>
                <w:color w:val="000000" w:themeColor="text1"/>
                <w:spacing w:val="7"/>
                <w:sz w:val="24"/>
                <w:szCs w:val="24"/>
                <w:u w:val="none"/>
                <w14:textFill>
                  <w14:solidFill>
                    <w14:schemeClr w14:val="tx1"/>
                  </w14:solidFill>
                </w14:textFill>
              </w:rPr>
            </w:pPr>
            <w:r>
              <w:rPr>
                <w:rFonts w:hint="default" w:ascii="Times New Roman" w:hAnsi="Times New Roman" w:eastAsia="宋体" w:cs="Times New Roman"/>
                <w:color w:val="000000" w:themeColor="text1"/>
                <w:spacing w:val="7"/>
                <w:sz w:val="24"/>
                <w:szCs w:val="24"/>
                <w:u w:val="none"/>
                <w14:textFill>
                  <w14:solidFill>
                    <w14:schemeClr w14:val="tx1"/>
                  </w14:solidFill>
                </w14:textFill>
              </w:rPr>
              <w:t>中文名：石英石</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508" w:firstLineChars="200"/>
              <w:textAlignment w:val="auto"/>
              <w:outlineLvl w:val="9"/>
              <w:rPr>
                <w:rFonts w:hint="default" w:ascii="Times New Roman" w:hAnsi="Times New Roman" w:eastAsia="宋体" w:cs="Times New Roman"/>
                <w:color w:val="000000" w:themeColor="text1"/>
                <w:spacing w:val="7"/>
                <w:sz w:val="24"/>
                <w:szCs w:val="24"/>
                <w:u w:val="none"/>
                <w14:textFill>
                  <w14:solidFill>
                    <w14:schemeClr w14:val="tx1"/>
                  </w14:solidFill>
                </w14:textFill>
              </w:rPr>
            </w:pPr>
            <w:r>
              <w:rPr>
                <w:rFonts w:hint="default" w:ascii="Times New Roman" w:hAnsi="Times New Roman" w:eastAsia="宋体" w:cs="Times New Roman"/>
                <w:color w:val="000000" w:themeColor="text1"/>
                <w:spacing w:val="7"/>
                <w:sz w:val="24"/>
                <w:szCs w:val="24"/>
                <w:u w:val="none"/>
                <w14:textFill>
                  <w14:solidFill>
                    <w14:schemeClr w14:val="tx1"/>
                  </w14:solidFill>
                </w14:textFill>
              </w:rPr>
              <w:t>英文名：Quartzite</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硅的</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"http://baike.baidu.com/view/11182.htm"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氧化物</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矿物成分为SiO</w:t>
            </w:r>
            <w:r>
              <w:rPr>
                <w:rFonts w:hint="default" w:ascii="Times New Roman" w:hAnsi="Times New Roman" w:eastAsia="宋体" w:cs="Times New Roman"/>
                <w:color w:val="000000" w:themeColor="text1"/>
                <w:sz w:val="24"/>
                <w:szCs w:val="24"/>
                <w:u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u w:val="none"/>
                <w14:textFill>
                  <w14:solidFill>
                    <w14:schemeClr w14:val="tx1"/>
                  </w14:solidFill>
                </w14:textFill>
              </w:rPr>
              <w:t>。主要指分布广泛的三方晶系的低温</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"http://baike.baidu.com/view/35665.htm"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石英</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（α-石英）。当温度在573℃以上时，则成为六方晶系的高温石英（β-石英）。低温</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"http://baike.baidu.com/view/1305122.htm"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石英晶体</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常呈带尖顶的六方柱状。柱面上有横纹，有左形晶与右形晶的区别。</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"http://baike.baidu.com/view/743275.htm"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双晶</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很普遍，最常见的为道芬双晶和</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"http://baike.baidu.com/view/5399.htm"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巴西</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双晶。通常呈晶族或粒状、块状</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"http://baike.baidu.com/view/574577.htm"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集合体</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。纯净者为无色透明，但大多因含微量色素离子或细分散色裹体，或因具有色心而呈各种颜色，并使</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"http://baike.baidu.com/view/198437.htm"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透明度</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降低。玻璃光泽，</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"http://baike.baidu.com/view/460700.htm"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断口</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常呈油脂光泽。</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"http://baike.baidu.com/view/88969.htm"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莫氏硬度</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7，比重2.65。</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"http://baike.baidu.com/view/25551.htm"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贝壳</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断口。具强压电性和旋光性。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sz w:val="24"/>
                <w:szCs w:val="24"/>
                <w:u w:val="none"/>
                <w14:textFill>
                  <w14:solidFill>
                    <w14:schemeClr w14:val="tx1"/>
                  </w14:solidFill>
                </w14:textFill>
              </w:rPr>
            </w:pPr>
            <w:r>
              <w:rPr>
                <w:rFonts w:hint="default" w:ascii="Times New Roman" w:hAnsi="Times New Roman" w:eastAsia="宋体" w:cs="Times New Roman"/>
                <w:b/>
                <w:bCs/>
                <w:color w:val="000000" w:themeColor="text1"/>
                <w:sz w:val="24"/>
                <w:szCs w:val="24"/>
                <w:u w:val="none"/>
                <w14:textFill>
                  <w14:solidFill>
                    <w14:schemeClr w14:val="tx1"/>
                  </w14:solidFill>
                </w14:textFill>
              </w:rPr>
              <w:t>2）物理性质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晶系：六方晶系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"http://baike.baidu.com/view/51869.htm"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晶体</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：等轴状、柱状、六方双锥面形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集合体型态：块状、粗粒状、钟乳状、结核状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"http://baike.baidu.com/view/34359.htm"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硬度</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：摩氏硬度为7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"http://baike.baidu.com/view/65006.htm"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解理</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/断口：</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"http://baike.baidu.com/view/497589.htm"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贝壳状断口</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光泽：玻璃光泽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颜色：无、白，带有点灰、黄到橙黄、紫、深紫、粉红、灰褐、褐、黑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"http://baike.baidu.com/view/399217.htm"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条痕</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：白色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比重：2.65~2.66</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sz w:val="24"/>
                <w:szCs w:val="24"/>
                <w:u w:val="none"/>
                <w14:textFill>
                  <w14:solidFill>
                    <w14:schemeClr w14:val="tx1"/>
                  </w14:solidFill>
                </w14:textFill>
              </w:rPr>
            </w:pPr>
            <w:r>
              <w:rPr>
                <w:rFonts w:hint="default" w:ascii="Times New Roman" w:hAnsi="Times New Roman" w:eastAsia="宋体" w:cs="Times New Roman"/>
                <w:b/>
                <w:bCs/>
                <w:color w:val="000000" w:themeColor="text1"/>
                <w:sz w:val="24"/>
                <w:szCs w:val="24"/>
                <w:u w:val="none"/>
                <w14:textFill>
                  <w14:solidFill>
                    <w14:schemeClr w14:val="tx1"/>
                  </w14:solidFill>
                </w14:textFill>
              </w:rPr>
              <w:t>3）其他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◆具</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"http://baike.baidu.com/view/546836.htm"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脆性</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◆具有热电性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"http://baike.baidu.com/view/42992.htm"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折射率</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1.533~1.541,</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"http://baike.baidu.com/view/1633517.htm"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双折射率</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差0.009，色散0.013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◆石英具有强烈的压电性（Piezoelectricproperty），即用力敲击摩擦时会产生火花，这也就是燧石取火的方法。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◆石英内常见的包裹体有：</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"http://baike.baidu.com/view/10373.htm"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发晶</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（Haircrystal）－主要是</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"http://baike.baidu.com/view/128978.htm"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金红石</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；草入水晶－主要为</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"http://baike.baidu.com/view/30546.htm"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电气石</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；水胆水晶－石英中有液态包裹体；青石英－内含浅蓝色金红石针状物；乳石英－由细水孔洞引起混浊状；绿石英－由板状或碎片状的</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"http://baike.baidu.com/view/131910.htm"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绿泥石</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组成，有时可能是绿色针状的阳起石；砂金石（Aventurine）－</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"http://baike.baidu.com/view/387231.htm"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石英岩</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内部含有绿色或红褐色的云母细片，又名耀石英，俗称东陵石。常见烟黑色至暗褐色的</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"http://baike.baidu.com/view/106166.htm"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烟水晶</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，主要是这些岩类含有较多量具有</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"http://baike.baidu.com/view/66557.htm"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放射性</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之铀、钍</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"http://baike.baidu.com/view/19993.htm"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元素</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的关系。</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outlineLvl w:val="9"/>
              <w:rPr>
                <w:rFonts w:hint="default" w:ascii="Times New Roman" w:hAnsi="Times New Roman" w:eastAsia="宋体" w:cs="Times New Roman"/>
                <w:b/>
                <w:bCs/>
                <w:color w:val="000000" w:themeColor="text1"/>
                <w:sz w:val="24"/>
                <w:szCs w:val="24"/>
                <w:u w:val="none"/>
                <w14:textFill>
                  <w14:solidFill>
                    <w14:schemeClr w14:val="tx1"/>
                  </w14:solidFill>
                </w14:textFill>
              </w:rPr>
            </w:pPr>
            <w:r>
              <w:rPr>
                <w:rFonts w:hint="default" w:ascii="Times New Roman" w:hAnsi="Times New Roman" w:eastAsia="宋体" w:cs="Times New Roman"/>
                <w:b/>
                <w:bCs/>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none"/>
                <w14:textFill>
                  <w14:solidFill>
                    <w14:schemeClr w14:val="tx1"/>
                  </w14:solidFill>
                </w14:textFill>
              </w:rPr>
              <w:t>2</w:t>
            </w:r>
            <w:r>
              <w:rPr>
                <w:rFonts w:hint="default" w:ascii="Times New Roman" w:hAnsi="Times New Roman" w:eastAsia="宋体" w:cs="Times New Roman"/>
                <w:b/>
                <w:bCs/>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none"/>
                <w14:textFill>
                  <w14:solidFill>
                    <w14:schemeClr w14:val="tx1"/>
                  </w14:solidFill>
                </w14:textFill>
              </w:rPr>
              <w:t>碱式氯化铝</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t>无机</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"http://baike.sogou.com/lemma/ShowInnerLink.htm?lemmaId=362715"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高分子聚合物</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，是利用工业铝灰和活性</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"http://baike.sogou.com/lemma/ShowInnerLink.htm?lemmaId=11233"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铝矾土</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为原料经过精制加工聚合而成的絮凝剂。外光呈灰色或黑色，粒状固体，AL</w:t>
            </w:r>
            <w:r>
              <w:rPr>
                <w:rFonts w:hint="default" w:ascii="Times New Roman" w:hAnsi="Times New Roman" w:eastAsia="宋体" w:cs="Times New Roman"/>
                <w:color w:val="000000" w:themeColor="text1"/>
                <w:sz w:val="24"/>
                <w:szCs w:val="24"/>
                <w:u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u w:val="none"/>
                <w14:textFill>
                  <w14:solidFill>
                    <w14:schemeClr w14:val="tx1"/>
                  </w14:solidFill>
                </w14:textFill>
              </w:rPr>
              <w:t>O</w:t>
            </w:r>
            <w:r>
              <w:rPr>
                <w:rFonts w:hint="default" w:ascii="Times New Roman" w:hAnsi="Times New Roman" w:eastAsia="宋体" w:cs="Times New Roman"/>
                <w:color w:val="000000" w:themeColor="text1"/>
                <w:sz w:val="24"/>
                <w:szCs w:val="24"/>
                <w:u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u w:val="none"/>
                <w14:textFill>
                  <w14:solidFill>
                    <w14:schemeClr w14:val="tx1"/>
                  </w14:solidFill>
                </w14:textFill>
              </w:rPr>
              <w:t>含量高于27%，盐酸度介于45-95%之间，PH值约4.5左右。产品活性较高，对于污水除菌，除臭、脱色、除氟、铝、铬、酚、除油、除浊、除重金属盐、除</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"http://baike.sogou.com/lemma/ShowInnerLink.htm?lemmaId=239733" \t "_blank"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放射性污染</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物质都具有很好的作用。</w:t>
            </w:r>
          </w:p>
          <w:p>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u w:val="none"/>
                <w14:textFill>
                  <w14:solidFill>
                    <w14:schemeClr w14:val="tx1"/>
                  </w14:solidFill>
                </w14:textFill>
              </w:rPr>
            </w:pPr>
            <w:r>
              <w:rPr>
                <w:rFonts w:hint="default" w:ascii="Times New Roman" w:hAnsi="Times New Roman" w:eastAsia="宋体" w:cs="Times New Roman"/>
                <w:b/>
                <w:bCs/>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none"/>
                <w14:textFill>
                  <w14:solidFill>
                    <w14:schemeClr w14:val="tx1"/>
                  </w14:solidFill>
                </w14:textFill>
              </w:rPr>
              <w:t>3</w:t>
            </w:r>
            <w:r>
              <w:rPr>
                <w:rFonts w:hint="default" w:ascii="Times New Roman" w:hAnsi="Times New Roman" w:eastAsia="宋体" w:cs="Times New Roman"/>
                <w:b/>
                <w:bCs/>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b/>
                <w:bCs/>
                <w:color w:val="000000" w:themeColor="text1"/>
                <w:sz w:val="24"/>
                <w:szCs w:val="24"/>
                <w:u w:val="none"/>
                <w14:textFill>
                  <w14:solidFill>
                    <w14:schemeClr w14:val="tx1"/>
                  </w14:solidFill>
                </w14:textFill>
              </w:rPr>
              <w:instrText xml:space="preserve"> HYPERLINK "https://baike.baidu.com/item/%E8%81%9A%E4%B8%99%E7%83%AF%E9%85%B0%E8%83%BA" \t "https://baike.baidu.com/item/%28PAM%29%E8%81%9A%E4%B8%99%E7%83%AF%E9%85%B0%E8%83%BA/_blank" </w:instrText>
            </w:r>
            <w:r>
              <w:rPr>
                <w:rFonts w:hint="default" w:ascii="Times New Roman" w:hAnsi="Times New Roman" w:eastAsia="宋体" w:cs="Times New Roman"/>
                <w:b/>
                <w:bCs/>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b/>
                <w:bCs/>
                <w:color w:val="000000" w:themeColor="text1"/>
                <w:sz w:val="24"/>
                <w:szCs w:val="24"/>
                <w:u w:val="none"/>
                <w14:textFill>
                  <w14:solidFill>
                    <w14:schemeClr w14:val="tx1"/>
                  </w14:solidFill>
                </w14:textFill>
              </w:rPr>
              <w:t>聚丙烯酰胺</w:t>
            </w:r>
            <w:r>
              <w:rPr>
                <w:rFonts w:hint="default" w:ascii="Times New Roman" w:hAnsi="Times New Roman" w:eastAsia="宋体" w:cs="Times New Roman"/>
                <w:b/>
                <w:bCs/>
                <w:color w:val="000000" w:themeColor="text1"/>
                <w:sz w:val="24"/>
                <w:szCs w:val="24"/>
                <w:u w:val="none"/>
                <w14:textFill>
                  <w14:solidFill>
                    <w14:schemeClr w14:val="tx1"/>
                  </w14:solidFill>
                </w14:textFill>
              </w:rPr>
              <w:fldChar w:fldCharType="end"/>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none"/>
                <w14:textFill>
                  <w14:solidFill>
                    <w14:schemeClr w14:val="tx1"/>
                  </w14:solidFill>
                </w14:textFill>
              </w:rPr>
            </w:pP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"https://baike.baidu.com/item/%E8%81%9A%E4%B8%99%E7%83%AF%E9%85%B0%E8%83%BA" \t "https://baike.baidu.com/item/%28PAM%29%E8%81%9A%E4%B8%99%E7%83%AF%E9%85%B0%E8%83%BA/_blank"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聚丙烯酰胺</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PAM）为白色粉状物，密度为1．320g/cm(23℃)，玻璃化温度为188℃，软化温度近于210℃，一般方法干燥时含有少量的水。干时又会很快从环境中吸取水分。用冷冻干燥法分离的均聚物是白色松软的非结晶固体，但是当从溶液中沉淀并干燥后则为玻璃状部分透明的固体。完全干燥的（PAM）聚丙烯酰胺是脆性的白色固体。由于（PAM）聚丙烯酰胺分子链上含有酰胺基，有些还有离子基团，故其显著特点是亲水性高，比其他大多数水溶性高分子的亲水性高得多。它易吸附水分和保留水分，使其在干燥时具有强烈的水分保留性，在干燥后又具有强烈的吸水性，且吸水率随</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14:textFill>
                  <w14:solidFill>
                    <w14:schemeClr w14:val="tx1"/>
                  </w14:solidFill>
                </w14:textFill>
              </w:rPr>
              <w:instrText xml:space="preserve"> HYPERLINK "https://baike.baidu.com/item/%E8%A1%8D%E7%94%9F%E7%89%A9" \t "https://baike.baidu.com/item/%28PAM%29%E8%81%9A%E4%B8%99%E7%83%AF%E9%85%B0%E8%83%BA/_blank" </w:instrTex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14:textFill>
                  <w14:solidFill>
                    <w14:schemeClr w14:val="tx1"/>
                  </w14:solidFill>
                </w14:textFill>
              </w:rPr>
              <w:t>衍生物</w:t>
            </w:r>
            <w:r>
              <w:rPr>
                <w:rFonts w:hint="default" w:ascii="Times New Roman" w:hAnsi="Times New Roman" w:eastAsia="宋体" w:cs="Times New Roman"/>
                <w:color w:val="000000" w:themeColor="text1"/>
                <w:sz w:val="24"/>
                <w:szCs w:val="24"/>
                <w:u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14:textFill>
                  <w14:solidFill>
                    <w14:schemeClr w14:val="tx1"/>
                  </w14:solidFill>
                </w14:textFill>
              </w:rPr>
              <w:t>的离子性增加而增加。</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color w:val="000000" w:themeColor="text1"/>
                <w:sz w:val="24"/>
                <w:szCs w:val="24"/>
                <w:u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u w:val="none"/>
                <w:lang w:eastAsia="zh-CN"/>
                <w14:textFill>
                  <w14:solidFill>
                    <w14:schemeClr w14:val="tx1"/>
                  </w14:solidFill>
                </w14:textFill>
              </w:rPr>
              <w:t>草酸：</w:t>
            </w:r>
            <w:r>
              <w:rPr>
                <w:rFonts w:hint="default" w:ascii="Times New Roman" w:hAnsi="Times New Roman" w:eastAsia="宋体" w:cs="Times New Roman"/>
                <w:bCs/>
                <w:iCs/>
                <w:color w:val="000000" w:themeColor="text1"/>
                <w:sz w:val="24"/>
                <w:szCs w:val="24"/>
                <w14:textFill>
                  <w14:solidFill>
                    <w14:schemeClr w14:val="tx1"/>
                  </w14:solidFill>
                </w14:textFill>
              </w:rPr>
              <w:t>又名乙二酸，为白色粉末，味酸，无臭，溶于水乙醇、沸乙醇、乙醚、甘油；不溶于苯、氯仿和石油醚，相对密度1.9，熔点101~102℃（187℃无水），低毒。本项目草酸用于酸洗反应罐酸洗除矿石表面杂质，</w:t>
            </w:r>
            <w:r>
              <w:rPr>
                <w:rFonts w:hint="default" w:ascii="Times New Roman" w:hAnsi="Times New Roman" w:eastAsia="宋体" w:cs="Times New Roman"/>
                <w:bCs/>
                <w:iCs/>
                <w:color w:val="000000" w:themeColor="text1"/>
                <w:sz w:val="24"/>
                <w:szCs w:val="24"/>
                <w:lang w:eastAsia="zh-CN"/>
                <w14:textFill>
                  <w14:solidFill>
                    <w14:schemeClr w14:val="tx1"/>
                  </w14:solidFill>
                </w14:textFill>
              </w:rPr>
              <w:t>杂质</w:t>
            </w:r>
            <w:r>
              <w:rPr>
                <w:rFonts w:hint="default" w:ascii="Times New Roman" w:hAnsi="Times New Roman" w:eastAsia="宋体" w:cs="Times New Roman"/>
                <w:bCs/>
                <w:iCs/>
                <w:color w:val="000000" w:themeColor="text1"/>
                <w:sz w:val="24"/>
                <w:szCs w:val="24"/>
                <w14:textFill>
                  <w14:solidFill>
                    <w14:schemeClr w14:val="tx1"/>
                  </w14:solidFill>
                </w14:textFill>
              </w:rPr>
              <w:t>成份主要为氧化铁Fe</w:t>
            </w:r>
            <w:r>
              <w:rPr>
                <w:rFonts w:hint="default" w:ascii="Times New Roman" w:hAnsi="Times New Roman" w:eastAsia="宋体" w:cs="Times New Roman"/>
                <w:bCs/>
                <w:i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iCs/>
                <w:color w:val="000000" w:themeColor="text1"/>
                <w:sz w:val="24"/>
                <w:szCs w:val="24"/>
                <w14:textFill>
                  <w14:solidFill>
                    <w14:schemeClr w14:val="tx1"/>
                  </w14:solidFill>
                </w14:textFill>
              </w:rPr>
              <w:t>O</w:t>
            </w:r>
            <w:r>
              <w:rPr>
                <w:rFonts w:hint="default" w:ascii="Times New Roman" w:hAnsi="Times New Roman" w:eastAsia="宋体" w:cs="Times New Roman"/>
                <w:bCs/>
                <w:iCs/>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Cs/>
                <w:iCs/>
                <w:color w:val="000000" w:themeColor="text1"/>
                <w:sz w:val="24"/>
                <w:szCs w:val="24"/>
                <w14:textFill>
                  <w14:solidFill>
                    <w14:schemeClr w14:val="tx1"/>
                  </w14:solidFill>
                </w14:textFill>
              </w:rPr>
              <w:t>、氧化镁MgO、氧化铝Al</w:t>
            </w:r>
            <w:r>
              <w:rPr>
                <w:rFonts w:hint="default" w:ascii="Times New Roman" w:hAnsi="Times New Roman" w:eastAsia="宋体" w:cs="Times New Roman"/>
                <w:bCs/>
                <w:iCs/>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bCs/>
                <w:iCs/>
                <w:color w:val="000000" w:themeColor="text1"/>
                <w:sz w:val="24"/>
                <w:szCs w:val="24"/>
                <w14:textFill>
                  <w14:solidFill>
                    <w14:schemeClr w14:val="tx1"/>
                  </w14:solidFill>
                </w14:textFill>
              </w:rPr>
              <w:t>O</w:t>
            </w:r>
            <w:r>
              <w:rPr>
                <w:rFonts w:hint="default" w:ascii="Times New Roman" w:hAnsi="Times New Roman" w:eastAsia="宋体" w:cs="Times New Roman"/>
                <w:bCs/>
                <w:iCs/>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bCs/>
                <w:iCs/>
                <w:color w:val="000000" w:themeColor="text1"/>
                <w:sz w:val="24"/>
                <w:szCs w:val="24"/>
                <w14:textFill>
                  <w14:solidFill>
                    <w14:schemeClr w14:val="tx1"/>
                  </w14:solidFill>
                </w14:textFill>
              </w:rPr>
              <w:t>等。</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具有强烈刺激性和腐蚀性。其粉尘或浓溶液可导致皮肤、眼或粘膜的严重损害。</w:t>
            </w:r>
          </w:p>
          <w:p>
            <w:pPr>
              <w:pStyle w:val="2"/>
              <w:keepNext w:val="0"/>
              <w:keepLines w:val="0"/>
              <w:pageBreakBefore w:val="0"/>
              <w:widowControl w:val="0"/>
              <w:numPr>
                <w:ilvl w:val="0"/>
                <w:numId w:val="1"/>
              </w:numPr>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color w:val="000000" w:themeColor="text1"/>
                <w:sz w:val="24"/>
                <w:szCs w:val="22"/>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u w:val="none"/>
                <w:lang w:eastAsia="zh-CN"/>
                <w14:textFill>
                  <w14:solidFill>
                    <w14:schemeClr w14:val="tx1"/>
                  </w14:solidFill>
                </w14:textFill>
              </w:rPr>
              <w:t>氢氧化钠：</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instrText xml:space="preserve"> HYPERLINK "https://baike.so.com/doc/804239-850746.html" \t "https://baike.so.com/doc/_blank" </w:instrTex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化学式</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为NaOH，俗称烧碱、火碱、苛性钠，为一种具有强腐蚀性的</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instrText xml:space="preserve"> HYPERLINK "https://baike.so.com/doc/81217-85715.html" \t "https://baike.so.com/doc/_blank" </w:instrTex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强碱</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，一般为片状或颗粒形态，易溶于水(溶于水时放热)并形成碱性溶液，另有</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instrText xml:space="preserve"> HYPERLINK "https://baike.so.com/doc/2628817-2775779.html" \t "https://baike.so.com/doc/_blank" </w:instrTex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潮解性</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，易吸取空气中的水蒸气(潮解)和二氧化碳(变质)。NaOH是</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instrText xml:space="preserve"> HYPERLINK "https://baike.so.com/doc/6554657-6768406.html" \t "https://baike.so.com/doc/_blank" </w:instrTex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化学实验室</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其中一种必备的化学品，亦为常见的化工品之一。纯品是无色透明的晶体。密度2.130g/cm³。熔点318.4℃。沸点1390℃。工业品含有少量的</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instrText xml:space="preserve"> HYPERLINK "https://baike.so.com/doc/1243217-1314844.html" \t "https://baike.so.com/doc/_blank" </w:instrTex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氯化钠</w:t>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u w:val="none"/>
                <w:lang w:eastAsia="zh-CN"/>
                <w14:textFill>
                  <w14:solidFill>
                    <w14:schemeClr w14:val="tx1"/>
                  </w14:solidFill>
                </w14:textFill>
              </w:rPr>
              <w:t>和碳酸钠，是白色不透明的晶体。有块状，片状，粒状和棒状等。式量40.01氢氧化钠在水处理中可作为碱性清洗剂，溶于乙醇和甘油，不溶于丙醇、乙醚。在高温下对碳钠也有腐蚀作用。与氯、溴、碘等卤素发生歧化反应，与酸类起中和作用而生成盐和水。</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textAlignment w:val="auto"/>
              <w:rPr>
                <w:rFonts w:hint="default" w:ascii="Times New Roman" w:hAnsi="Times New Roman" w:eastAsia="宋体" w:cs="Times New Roman"/>
                <w:b/>
                <w:color w:val="000000" w:themeColor="text1"/>
                <w:sz w:val="24"/>
                <w:szCs w:val="22"/>
                <w:highlight w:val="none"/>
                <w14:textFill>
                  <w14:solidFill>
                    <w14:schemeClr w14:val="tx1"/>
                  </w14:solidFill>
                </w14:textFill>
              </w:rPr>
            </w:pPr>
            <w:r>
              <w:rPr>
                <w:rFonts w:hint="default" w:ascii="Times New Roman" w:hAnsi="Times New Roman" w:eastAsia="宋体" w:cs="Times New Roman"/>
                <w:b/>
                <w:color w:val="000000" w:themeColor="text1"/>
                <w:sz w:val="24"/>
                <w:szCs w:val="22"/>
                <w:highlight w:val="none"/>
                <w14:textFill>
                  <w14:solidFill>
                    <w14:schemeClr w14:val="tx1"/>
                  </w14:solidFill>
                </w14:textFill>
              </w:rPr>
              <w:t>1.2.5项目主要设备</w:t>
            </w:r>
          </w:p>
          <w:p>
            <w:pPr>
              <w:spacing w:line="360" w:lineRule="auto"/>
              <w:ind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本次变动只对湿砂车间新增设备，湿砂车间</w:t>
            </w:r>
            <w:r>
              <w:rPr>
                <w:rFonts w:hint="default" w:ascii="Times New Roman" w:hAnsi="Times New Roman" w:eastAsia="宋体" w:cs="Times New Roman"/>
                <w:bCs/>
                <w:color w:val="000000" w:themeColor="text1"/>
                <w:sz w:val="24"/>
                <w:szCs w:val="24"/>
                <w:highlight w:val="none"/>
                <w14:textFill>
                  <w14:solidFill>
                    <w14:schemeClr w14:val="tx1"/>
                  </w14:solidFill>
                </w14:textFill>
              </w:rPr>
              <w:t>主要生产设备见详表1.2-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50"/>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表1.2-</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w:t>
            </w:r>
            <w:r>
              <w:rPr>
                <w:rFonts w:hint="default" w:ascii="Times New Roman" w:hAnsi="Times New Roman" w:eastAsia="宋体" w:cs="Times New Roman"/>
                <w:b/>
                <w:bCs/>
                <w:iCs/>
                <w:caps w:val="0"/>
                <w:color w:val="000000" w:themeColor="text1"/>
                <w:sz w:val="24"/>
                <w:szCs w:val="24"/>
                <w:lang w:val="en-US" w:eastAsia="zh-CN"/>
                <w14:textFill>
                  <w14:solidFill>
                    <w14:schemeClr w14:val="tx1"/>
                  </w14:solidFill>
                </w14:textFill>
              </w:rPr>
              <w:t>湿砂车间</w:t>
            </w:r>
            <w:r>
              <w:rPr>
                <w:rFonts w:hint="default" w:ascii="Times New Roman" w:hAnsi="Times New Roman" w:eastAsia="宋体" w:cs="Times New Roman"/>
                <w:b/>
                <w:color w:val="000000" w:themeColor="text1"/>
                <w:sz w:val="24"/>
                <w:highlight w:val="none"/>
                <w14:textFill>
                  <w14:solidFill>
                    <w14:schemeClr w14:val="tx1"/>
                  </w14:solidFill>
                </w14:textFill>
              </w:rPr>
              <w:t>主要生产设备一览表</w:t>
            </w:r>
          </w:p>
          <w:tbl>
            <w:tblPr>
              <w:tblStyle w:val="26"/>
              <w:tblW w:w="92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7"/>
              <w:gridCol w:w="768"/>
              <w:gridCol w:w="705"/>
              <w:gridCol w:w="1910"/>
              <w:gridCol w:w="1038"/>
              <w:gridCol w:w="1056"/>
              <w:gridCol w:w="1450"/>
              <w:gridCol w:w="18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0" w:hRule="atLeast"/>
                <w:jc w:val="center"/>
              </w:trPr>
              <w:tc>
                <w:tcPr>
                  <w:tcW w:w="437" w:type="dxa"/>
                  <w:vMerge w:val="restart"/>
                  <w:noWrap w:val="0"/>
                  <w:vAlign w:val="center"/>
                </w:tcPr>
                <w:p>
                  <w:pPr>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序号</w:t>
                  </w:r>
                </w:p>
              </w:tc>
              <w:tc>
                <w:tcPr>
                  <w:tcW w:w="1473" w:type="dxa"/>
                  <w:gridSpan w:val="2"/>
                  <w:vMerge w:val="restart"/>
                  <w:noWrap w:val="0"/>
                  <w:vAlign w:val="center"/>
                </w:tcPr>
                <w:p>
                  <w:pPr>
                    <w:ind w:firstLine="316" w:firstLineChars="150"/>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名  称</w:t>
                  </w:r>
                </w:p>
              </w:tc>
              <w:tc>
                <w:tcPr>
                  <w:tcW w:w="1910" w:type="dxa"/>
                  <w:vMerge w:val="restart"/>
                  <w:noWrap w:val="0"/>
                  <w:vAlign w:val="center"/>
                </w:tcPr>
                <w:p>
                  <w:pPr>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规模型号</w:t>
                  </w:r>
                </w:p>
              </w:tc>
              <w:tc>
                <w:tcPr>
                  <w:tcW w:w="3544" w:type="dxa"/>
                  <w:gridSpan w:val="3"/>
                  <w:noWrap w:val="0"/>
                  <w:vAlign w:val="center"/>
                </w:tcPr>
                <w:p>
                  <w:pPr>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数  量</w:t>
                  </w:r>
                </w:p>
              </w:tc>
              <w:tc>
                <w:tcPr>
                  <w:tcW w:w="1855" w:type="dxa"/>
                  <w:vMerge w:val="restart"/>
                  <w:noWrap w:val="0"/>
                  <w:vAlign w:val="center"/>
                </w:tcPr>
                <w:p>
                  <w:pPr>
                    <w:jc w:val="center"/>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olor w:val="000000" w:themeColor="text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437"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73" w:type="dxa"/>
                  <w:gridSpan w:val="2"/>
                  <w:vMerge w:val="continue"/>
                  <w:noWrap w:val="0"/>
                  <w:vAlign w:val="center"/>
                </w:tcPr>
                <w:p>
                  <w:pPr>
                    <w:ind w:firstLine="315" w:firstLineChars="150"/>
                    <w:jc w:val="center"/>
                    <w:rPr>
                      <w:rFonts w:hint="default" w:ascii="Times New Roman" w:hAnsi="Times New Roman" w:eastAsia="宋体" w:cs="Times New Roman"/>
                      <w:color w:val="000000" w:themeColor="text1"/>
                      <w:szCs w:val="21"/>
                      <w14:textFill>
                        <w14:solidFill>
                          <w14:schemeClr w14:val="tx1"/>
                        </w14:solidFill>
                      </w14:textFill>
                    </w:rPr>
                  </w:pPr>
                </w:p>
              </w:tc>
              <w:tc>
                <w:tcPr>
                  <w:tcW w:w="1910"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变动前</w:t>
                  </w:r>
                </w:p>
              </w:tc>
              <w:tc>
                <w:tcPr>
                  <w:tcW w:w="105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eastAsia="宋体" w:cs="Times New Roman"/>
                      <w:b/>
                      <w:bCs w:val="0"/>
                      <w:color w:val="000000" w:themeColor="text1"/>
                      <w:szCs w:val="21"/>
                      <w14:textFill>
                        <w14:solidFill>
                          <w14:schemeClr w14:val="tx1"/>
                        </w14:solidFill>
                      </w14:textFill>
                    </w:rPr>
                  </w:pP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变动后</w:t>
                  </w:r>
                </w:p>
              </w:tc>
              <w:tc>
                <w:tcPr>
                  <w:tcW w:w="14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outlineLvl w:val="9"/>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val="0"/>
                      <w:caps w:val="0"/>
                      <w:color w:val="000000" w:themeColor="text1"/>
                      <w:sz w:val="21"/>
                      <w:szCs w:val="21"/>
                      <w:lang w:eastAsia="zh-CN"/>
                      <w14:textFill>
                        <w14:solidFill>
                          <w14:schemeClr w14:val="tx1"/>
                        </w14:solidFill>
                      </w14:textFill>
                    </w:rPr>
                    <w:t>变化量</w:t>
                  </w:r>
                </w:p>
              </w:tc>
              <w:tc>
                <w:tcPr>
                  <w:tcW w:w="1855"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9219" w:type="dxa"/>
                  <w:gridSpan w:val="8"/>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一、湿砂车间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473" w:type="dxa"/>
                  <w:gridSpan w:val="2"/>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圆锥</w:t>
                  </w:r>
                  <w:r>
                    <w:rPr>
                      <w:rFonts w:hint="default" w:ascii="Times New Roman" w:hAnsi="Times New Roman" w:eastAsia="宋体" w:cs="Times New Roman"/>
                      <w:bCs/>
                      <w:color w:val="000000" w:themeColor="text1"/>
                      <w:kern w:val="0"/>
                      <w:sz w:val="21"/>
                      <w:szCs w:val="21"/>
                      <w14:textFill>
                        <w14:solidFill>
                          <w14:schemeClr w14:val="tx1"/>
                        </w14:solidFill>
                      </w14:textFill>
                    </w:rPr>
                    <w:t>破碎机</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25</w:t>
                  </w:r>
                  <w:r>
                    <w:rPr>
                      <w:rFonts w:hint="default" w:ascii="Times New Roman" w:hAnsi="Times New Roman" w:eastAsia="宋体" w:cs="Times New Roman"/>
                      <w:bCs/>
                      <w:color w:val="000000" w:themeColor="text1"/>
                      <w:sz w:val="21"/>
                      <w:szCs w:val="21"/>
                      <w14:textFill>
                        <w14:solidFill>
                          <w14:schemeClr w14:val="tx1"/>
                        </w14:solidFill>
                      </w14:textFill>
                    </w:rPr>
                    <w:t>0x</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sz w:val="21"/>
                      <w:szCs w:val="21"/>
                      <w14:textFill>
                        <w14:solidFill>
                          <w14:schemeClr w14:val="tx1"/>
                        </w14:solidFill>
                      </w14:textFill>
                    </w:rPr>
                    <w:t>00</w:t>
                  </w: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1套</w:t>
                  </w:r>
                </w:p>
              </w:tc>
              <w:tc>
                <w:tcPr>
                  <w:tcW w:w="1450"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1套</w:t>
                  </w:r>
                </w:p>
              </w:tc>
              <w:tc>
                <w:tcPr>
                  <w:tcW w:w="185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将25~50mm左右粒径的石英岩矿破碎成10mm左右的颗粒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473" w:type="dxa"/>
                  <w:gridSpan w:val="2"/>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滚筒洗矿机</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1台</w:t>
                  </w:r>
                </w:p>
              </w:tc>
              <w:tc>
                <w:tcPr>
                  <w:tcW w:w="1450"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1台</w:t>
                  </w:r>
                </w:p>
              </w:tc>
              <w:tc>
                <w:tcPr>
                  <w:tcW w:w="185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8"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473" w:type="dxa"/>
                  <w:gridSpan w:val="2"/>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打砂机</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w:t>
                  </w: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1套</w:t>
                  </w:r>
                </w:p>
              </w:tc>
              <w:tc>
                <w:tcPr>
                  <w:tcW w:w="1450"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+1套</w:t>
                  </w:r>
                </w:p>
              </w:tc>
              <w:tc>
                <w:tcPr>
                  <w:tcW w:w="185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将10mm左右粒径的石英岩矿破碎成4.5mm左右的颗粒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1473" w:type="dxa"/>
                  <w:gridSpan w:val="2"/>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球磨机</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14:textFill>
                        <w14:solidFill>
                          <w14:schemeClr w14:val="tx1"/>
                        </w14:solidFill>
                      </w14:textFill>
                    </w:rPr>
                    <w:t>套</w:t>
                  </w:r>
                </w:p>
              </w:tc>
              <w:tc>
                <w:tcPr>
                  <w:tcW w:w="1450"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14:textFill>
                        <w14:solidFill>
                          <w14:schemeClr w14:val="tx1"/>
                        </w14:solidFill>
                      </w14:textFill>
                    </w:rPr>
                    <w:t>套</w:t>
                  </w:r>
                </w:p>
              </w:tc>
              <w:tc>
                <w:tcPr>
                  <w:tcW w:w="185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将4.5mm左右粒径的石英岩矿破碎成0.15~0.71mm的颗粒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1473" w:type="dxa"/>
                  <w:gridSpan w:val="2"/>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筛分机</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套</w:t>
                  </w:r>
                </w:p>
              </w:tc>
              <w:tc>
                <w:tcPr>
                  <w:tcW w:w="1450"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套</w:t>
                  </w:r>
                </w:p>
              </w:tc>
              <w:tc>
                <w:tcPr>
                  <w:tcW w:w="185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1473" w:type="dxa"/>
                  <w:gridSpan w:val="2"/>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磁选机</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0.9X1.8</w:t>
                  </w: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2套</w:t>
                  </w:r>
                </w:p>
              </w:tc>
              <w:tc>
                <w:tcPr>
                  <w:tcW w:w="1450"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2套</w:t>
                  </w:r>
                </w:p>
              </w:tc>
              <w:tc>
                <w:tcPr>
                  <w:tcW w:w="185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c>
                <w:tcPr>
                  <w:tcW w:w="1473" w:type="dxa"/>
                  <w:gridSpan w:val="2"/>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过滤设施</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2套</w:t>
                  </w:r>
                </w:p>
              </w:tc>
              <w:tc>
                <w:tcPr>
                  <w:tcW w:w="1450"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+2套</w:t>
                  </w:r>
                </w:p>
              </w:tc>
              <w:tc>
                <w:tcPr>
                  <w:tcW w:w="185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w:t>
                  </w:r>
                </w:p>
              </w:tc>
              <w:tc>
                <w:tcPr>
                  <w:tcW w:w="1473" w:type="dxa"/>
                  <w:gridSpan w:val="2"/>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皮带机</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4套</w:t>
                  </w:r>
                </w:p>
              </w:tc>
              <w:tc>
                <w:tcPr>
                  <w:tcW w:w="1450"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+4套</w:t>
                  </w:r>
                </w:p>
              </w:tc>
              <w:tc>
                <w:tcPr>
                  <w:tcW w:w="1855"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6" w:hRule="atLeast"/>
                <w:jc w:val="center"/>
              </w:trPr>
              <w:tc>
                <w:tcPr>
                  <w:tcW w:w="437" w:type="dxa"/>
                  <w:vMerge w:val="restart"/>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9</w:t>
                  </w:r>
                </w:p>
              </w:tc>
              <w:tc>
                <w:tcPr>
                  <w:tcW w:w="768" w:type="dxa"/>
                  <w:vMerge w:val="restart"/>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洗砂废水循环处理设施（处理能力</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90</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/h</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w:t>
                  </w:r>
                </w:p>
              </w:tc>
              <w:tc>
                <w:tcPr>
                  <w:tcW w:w="705"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沉淀池</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尺寸为15m*4m*1.5m有效容积90m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vMerge w:val="restart"/>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1套</w:t>
                  </w:r>
                </w:p>
              </w:tc>
              <w:tc>
                <w:tcPr>
                  <w:tcW w:w="1450"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+1套</w:t>
                  </w:r>
                </w:p>
              </w:tc>
              <w:tc>
                <w:tcPr>
                  <w:tcW w:w="1855" w:type="dxa"/>
                  <w:vMerge w:val="restart"/>
                  <w:noWrap w:val="0"/>
                  <w:vAlign w:val="center"/>
                </w:tcPr>
                <w:p>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既是环保设施也是生产设施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68" w:hRule="atLeast"/>
                <w:jc w:val="center"/>
              </w:trPr>
              <w:tc>
                <w:tcPr>
                  <w:tcW w:w="437"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8" w:type="dxa"/>
                  <w:vMerge w:val="continue"/>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705"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清水池</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尺寸为15m*4m*1.5m有效容积90m</w:t>
                  </w:r>
                  <w:r>
                    <w:rPr>
                      <w:rFonts w:hint="default"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3</w:t>
                  </w: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vMerge w:val="continue"/>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1450"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1套</w:t>
                  </w:r>
                </w:p>
              </w:tc>
              <w:tc>
                <w:tcPr>
                  <w:tcW w:w="1855" w:type="dxa"/>
                  <w:vMerge w:val="continue"/>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437"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68" w:type="dxa"/>
                  <w:vMerge w:val="continue"/>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705" w:type="dxa"/>
                  <w:noWrap w:val="0"/>
                  <w:vAlign w:val="center"/>
                </w:tcPr>
                <w:p>
                  <w:pPr>
                    <w:widowControl/>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过滤</w:t>
                  </w:r>
                </w:p>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设施</w:t>
                  </w:r>
                </w:p>
              </w:tc>
              <w:tc>
                <w:tcPr>
                  <w:tcW w:w="1910" w:type="dxa"/>
                  <w:noWrap w:val="0"/>
                  <w:vAlign w:val="center"/>
                </w:tcPr>
                <w:p>
                  <w:pPr>
                    <w:widowControl/>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038" w:type="dxa"/>
                  <w:noWrap w:val="0"/>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0</w:t>
                  </w:r>
                </w:p>
              </w:tc>
              <w:tc>
                <w:tcPr>
                  <w:tcW w:w="1056" w:type="dxa"/>
                  <w:vMerge w:val="continue"/>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c>
                <w:tcPr>
                  <w:tcW w:w="1450" w:type="dxa"/>
                  <w:noWrap w:val="0"/>
                  <w:vAlign w:val="center"/>
                </w:tcPr>
                <w:p>
                  <w:pPr>
                    <w:tabs>
                      <w:tab w:val="left" w:pos="535"/>
                      <w:tab w:val="center" w:pos="897"/>
                    </w:tabs>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ab/>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ab/>
                  </w:r>
                  <w:r>
                    <w:rPr>
                      <w:rFonts w:hint="default" w:ascii="Times New Roman" w:hAnsi="Times New Roman" w:eastAsia="宋体" w:cs="Times New Roman"/>
                      <w:color w:val="000000" w:themeColor="text1"/>
                      <w:sz w:val="21"/>
                      <w:szCs w:val="21"/>
                      <w14:textFill>
                        <w14:solidFill>
                          <w14:schemeClr w14:val="tx1"/>
                        </w14:solidFill>
                      </w14:textFill>
                    </w:rPr>
                    <w:t>1台</w:t>
                  </w:r>
                </w:p>
              </w:tc>
              <w:tc>
                <w:tcPr>
                  <w:tcW w:w="1855" w:type="dxa"/>
                  <w:vMerge w:val="continue"/>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jc w:val="center"/>
              </w:trPr>
              <w:tc>
                <w:tcPr>
                  <w:tcW w:w="7364" w:type="dxa"/>
                  <w:gridSpan w:val="7"/>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二</w:t>
                  </w:r>
                  <w:r>
                    <w:rPr>
                      <w:rFonts w:hint="default" w:ascii="Times New Roman" w:hAnsi="Times New Roman" w:eastAsia="宋体" w:cs="Times New Roman"/>
                      <w:b/>
                      <w:bCs/>
                      <w:color w:val="000000" w:themeColor="text1"/>
                      <w:szCs w:val="21"/>
                      <w14:textFill>
                        <w14:solidFill>
                          <w14:schemeClr w14:val="tx1"/>
                        </w14:solidFill>
                      </w14:textFill>
                    </w:rPr>
                    <w:t>、酸洗</w:t>
                  </w:r>
                  <w:r>
                    <w:rPr>
                      <w:rFonts w:hint="default" w:ascii="Times New Roman" w:hAnsi="Times New Roman" w:eastAsia="宋体" w:cs="Times New Roman"/>
                      <w:b/>
                      <w:bCs/>
                      <w:color w:val="000000" w:themeColor="text1"/>
                      <w:szCs w:val="21"/>
                      <w:lang w:eastAsia="zh-CN"/>
                      <w14:textFill>
                        <w14:solidFill>
                          <w14:schemeClr w14:val="tx1"/>
                        </w14:solidFill>
                      </w14:textFill>
                    </w:rPr>
                    <w:t>筛分</w:t>
                  </w:r>
                  <w:r>
                    <w:rPr>
                      <w:rFonts w:hint="default" w:ascii="Times New Roman" w:hAnsi="Times New Roman" w:eastAsia="宋体" w:cs="Times New Roman"/>
                      <w:b/>
                      <w:bCs/>
                      <w:color w:val="000000" w:themeColor="text1"/>
                      <w:szCs w:val="21"/>
                      <w14:textFill>
                        <w14:solidFill>
                          <w14:schemeClr w14:val="tx1"/>
                        </w14:solidFill>
                      </w14:textFill>
                    </w:rPr>
                    <w:t>车间主要设备</w:t>
                  </w:r>
                </w:p>
              </w:tc>
              <w:tc>
                <w:tcPr>
                  <w:tcW w:w="1855" w:type="dxa"/>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酸洗罐</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5个</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w:t>
                  </w:r>
                  <w:r>
                    <w:rPr>
                      <w:rFonts w:hint="default" w:ascii="Times New Roman" w:hAnsi="Times New Roman" w:eastAsia="宋体" w:cs="Times New Roman"/>
                      <w:color w:val="000000" w:themeColor="text1"/>
                      <w:szCs w:val="21"/>
                      <w14:textFill>
                        <w14:solidFill>
                          <w14:schemeClr w14:val="tx1"/>
                        </w14:solidFill>
                      </w14:textFill>
                    </w:rPr>
                    <w:t>个</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+7个</w:t>
                  </w:r>
                </w:p>
              </w:tc>
              <w:tc>
                <w:tcPr>
                  <w:tcW w:w="1855"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8"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热水炉</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最高温度80</w:t>
                  </w:r>
                  <w:r>
                    <w:rPr>
                      <w:rFonts w:hint="default" w:ascii="Times New Roman" w:hAnsi="Times New Roman" w:eastAsia="宋体" w:cs="Times New Roman"/>
                      <w:bCs/>
                      <w:color w:val="000000" w:themeColor="text1"/>
                      <w:kern w:val="0"/>
                      <w:sz w:val="24"/>
                      <w:szCs w:val="24"/>
                      <w14:textFill>
                        <w14:solidFill>
                          <w14:schemeClr w14:val="tx1"/>
                        </w14:solidFill>
                      </w14:textFill>
                    </w:rPr>
                    <w:t>℃</w:t>
                  </w: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台</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3用1备</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1855" w:type="dxa"/>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5台相同的热水炉（4用1备），单台</w:t>
                  </w:r>
                  <w:r>
                    <w:rPr>
                      <w:rFonts w:hint="default" w:ascii="Times New Roman" w:hAnsi="Times New Roman" w:eastAsia="宋体" w:cs="Times New Roman"/>
                      <w:color w:val="000000" w:themeColor="text1"/>
                      <w:sz w:val="21"/>
                      <w:szCs w:val="21"/>
                      <w14:textFill>
                        <w14:solidFill>
                          <w14:schemeClr w14:val="tx1"/>
                        </w14:solidFill>
                      </w14:textFill>
                    </w:rPr>
                    <w:t>额定热功率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30万大卡；单台（</w:t>
                  </w:r>
                  <w:r>
                    <w:rPr>
                      <w:rFonts w:hint="default" w:ascii="Times New Roman" w:hAnsi="Times New Roman" w:eastAsia="宋体" w:cs="Times New Roman"/>
                      <w:color w:val="000000" w:themeColor="text1"/>
                      <w:sz w:val="21"/>
                      <w:szCs w:val="21"/>
                      <w14:textFill>
                        <w14:solidFill>
                          <w14:schemeClr w14:val="tx1"/>
                        </w14:solidFill>
                      </w14:textFill>
                    </w:rPr>
                    <w:t>额定功率时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天然气消耗量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24</w:t>
                  </w:r>
                  <w:r>
                    <w:rPr>
                      <w:rFonts w:hint="default" w:ascii="Times New Roman" w:hAnsi="Times New Roman" w:eastAsia="宋体" w:cs="Times New Roman"/>
                      <w:color w:val="000000" w:themeColor="text1"/>
                      <w:sz w:val="21"/>
                      <w:szCs w:val="21"/>
                      <w14:textFill>
                        <w14:solidFill>
                          <w14:schemeClr w14:val="tx1"/>
                        </w14:solidFill>
                      </w14:textFill>
                    </w:rPr>
                    <w:t>Nm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 xml:space="preserve">3 </w:t>
                  </w:r>
                  <w:r>
                    <w:rPr>
                      <w:rFonts w:hint="default" w:ascii="Times New Roman" w:hAnsi="Times New Roman" w:eastAsia="宋体" w:cs="Times New Roman"/>
                      <w:color w:val="000000" w:themeColor="text1"/>
                      <w:sz w:val="21"/>
                      <w:szCs w:val="21"/>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螺旋机</w:t>
                  </w:r>
                </w:p>
              </w:tc>
              <w:tc>
                <w:tcPr>
                  <w:tcW w:w="191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台</w:t>
                  </w:r>
                  <w:r>
                    <w:rPr>
                      <w:rFonts w:hint="default" w:ascii="Times New Roman" w:hAnsi="Times New Roman" w:eastAsia="宋体" w:cs="Times New Roman"/>
                      <w:color w:val="000000" w:themeColor="text1"/>
                      <w:szCs w:val="21"/>
                      <w:lang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3用1备</w:t>
                  </w:r>
                  <w:r>
                    <w:rPr>
                      <w:rFonts w:hint="default" w:ascii="Times New Roman" w:hAnsi="Times New Roman" w:eastAsia="宋体" w:cs="Times New Roman"/>
                      <w:color w:val="000000" w:themeColor="text1"/>
                      <w:szCs w:val="21"/>
                      <w:lang w:eastAsia="zh-CN"/>
                      <w14:textFill>
                        <w14:solidFill>
                          <w14:schemeClr w14:val="tx1"/>
                        </w14:solidFill>
                      </w14:textFill>
                    </w:rPr>
                    <w:t>）</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1473" w:type="dxa"/>
                  <w:gridSpan w:val="2"/>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 xml:space="preserve"> </w:t>
                  </w:r>
                  <w:r>
                    <w:rPr>
                      <w:rFonts w:hint="default" w:ascii="Times New Roman" w:hAnsi="Times New Roman" w:eastAsia="宋体" w:cs="Times New Roman"/>
                      <w:color w:val="000000" w:themeColor="text1"/>
                      <w:szCs w:val="21"/>
                      <w:lang w:eastAsia="zh-CN"/>
                      <w14:textFill>
                        <w14:solidFill>
                          <w14:schemeClr w14:val="tx1"/>
                        </w14:solidFill>
                      </w14:textFill>
                    </w:rPr>
                    <w:t>脱水罐</w:t>
                  </w:r>
                </w:p>
              </w:tc>
              <w:tc>
                <w:tcPr>
                  <w:tcW w:w="1910" w:type="dxa"/>
                  <w:noWrap w:val="0"/>
                  <w:vAlign w:val="center"/>
                </w:tcPr>
                <w:p>
                  <w:pPr>
                    <w:jc w:val="center"/>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台</w:t>
                  </w:r>
                </w:p>
              </w:tc>
              <w:tc>
                <w:tcPr>
                  <w:tcW w:w="1855" w:type="dxa"/>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旋转下料机</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6</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+5</w:t>
                  </w:r>
                  <w:r>
                    <w:rPr>
                      <w:rFonts w:hint="default" w:ascii="Times New Roman" w:hAnsi="Times New Roman" w:eastAsia="宋体" w:cs="Times New Roman"/>
                      <w:color w:val="000000" w:themeColor="text1"/>
                      <w:szCs w:val="21"/>
                      <w14:textFill>
                        <w14:solidFill>
                          <w14:schemeClr w14:val="tx1"/>
                        </w14:solidFill>
                      </w14:textFill>
                    </w:rPr>
                    <w:t>台</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给料机</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250型</w:t>
                  </w: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2台</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输送带</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23米</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46</w:t>
                  </w:r>
                  <w:r>
                    <w:rPr>
                      <w:rFonts w:hint="default" w:ascii="Times New Roman" w:hAnsi="Times New Roman" w:eastAsia="宋体" w:cs="Times New Roman"/>
                      <w:color w:val="000000" w:themeColor="text1"/>
                      <w:szCs w:val="21"/>
                      <w14:textFill>
                        <w14:solidFill>
                          <w14:schemeClr w14:val="tx1"/>
                        </w14:solidFill>
                      </w14:textFill>
                    </w:rPr>
                    <w:t>米</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23米</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耐酸泵</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1台</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9</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热水压力泵</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1台</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循环酸桶</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3个</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14:textFill>
                        <w14:solidFill>
                          <w14:schemeClr w14:val="tx1"/>
                        </w14:solidFill>
                      </w14:textFill>
                    </w:rPr>
                    <w:t>个</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+4个</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11</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石英砂料仓</w:t>
                  </w:r>
                </w:p>
              </w:tc>
              <w:tc>
                <w:tcPr>
                  <w:tcW w:w="191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eastAsia="宋体" w:cs="Times New Roman"/>
                      <w:color w:val="000000" w:themeColor="text1"/>
                      <w:szCs w:val="21"/>
                      <w:lang w:eastAsia="zh-CN"/>
                      <w14:textFill>
                        <w14:solidFill>
                          <w14:schemeClr w14:val="tx1"/>
                        </w14:solidFill>
                      </w14:textFill>
                    </w:rPr>
                    <w:t>套</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12套</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+11套</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r>
                    <w:rPr>
                      <w:rFonts w:hint="default" w:ascii="Times New Roman" w:hAnsi="Times New Roman" w:eastAsia="宋体" w:cs="Times New Roman"/>
                      <w:color w:val="000000" w:themeColor="text1"/>
                      <w:szCs w:val="21"/>
                      <w:lang w:val="en-US" w:eastAsia="zh-CN"/>
                      <w14:textFill>
                        <w14:solidFill>
                          <w14:schemeClr w14:val="tx1"/>
                        </w14:solidFill>
                      </w14:textFill>
                    </w:rPr>
                    <w:t>2</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烘</w:t>
                  </w:r>
                  <w:r>
                    <w:rPr>
                      <w:rFonts w:hint="default" w:ascii="Times New Roman" w:hAnsi="Times New Roman" w:eastAsia="宋体" w:cs="Times New Roman"/>
                      <w:color w:val="000000" w:themeColor="text1"/>
                      <w:szCs w:val="21"/>
                      <w:lang w:eastAsia="zh-CN"/>
                      <w14:textFill>
                        <w14:solidFill>
                          <w14:schemeClr w14:val="tx1"/>
                        </w14:solidFill>
                      </w14:textFill>
                    </w:rPr>
                    <w:t>干</w:t>
                  </w:r>
                  <w:r>
                    <w:rPr>
                      <w:rFonts w:hint="default" w:ascii="Times New Roman" w:hAnsi="Times New Roman" w:eastAsia="宋体" w:cs="Times New Roman"/>
                      <w:color w:val="000000" w:themeColor="text1"/>
                      <w:szCs w:val="21"/>
                      <w14:textFill>
                        <w14:solidFill>
                          <w14:schemeClr w14:val="tx1"/>
                        </w14:solidFill>
                      </w14:textFill>
                    </w:rPr>
                    <w:t>炉</w:t>
                  </w:r>
                </w:p>
              </w:tc>
              <w:tc>
                <w:tcPr>
                  <w:tcW w:w="191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w:t>
                  </w:r>
                  <w:r>
                    <w:rPr>
                      <w:rFonts w:hint="default" w:ascii="Times New Roman" w:hAnsi="Times New Roman" w:eastAsia="宋体" w:cs="Times New Roman"/>
                      <w:color w:val="000000" w:themeColor="text1"/>
                      <w:szCs w:val="21"/>
                      <w14:textFill>
                        <w14:solidFill>
                          <w14:schemeClr w14:val="tx1"/>
                        </w14:solidFill>
                      </w14:textFill>
                    </w:rPr>
                    <w:t>台</w:t>
                  </w:r>
                </w:p>
              </w:tc>
              <w:tc>
                <w:tcPr>
                  <w:tcW w:w="1855"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3台相同的烘干炉，单台</w:t>
                  </w:r>
                  <w:r>
                    <w:rPr>
                      <w:rFonts w:hint="default" w:ascii="Times New Roman" w:hAnsi="Times New Roman" w:eastAsia="宋体" w:cs="Times New Roman"/>
                      <w:color w:val="000000" w:themeColor="text1"/>
                      <w:sz w:val="21"/>
                      <w:szCs w:val="21"/>
                      <w14:textFill>
                        <w14:solidFill>
                          <w14:schemeClr w14:val="tx1"/>
                        </w14:solidFill>
                      </w14:textFill>
                    </w:rPr>
                    <w:t>额定热功率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28万大卡；单台（</w:t>
                  </w:r>
                  <w:r>
                    <w:rPr>
                      <w:rFonts w:hint="default" w:ascii="Times New Roman" w:hAnsi="Times New Roman" w:eastAsia="宋体" w:cs="Times New Roman"/>
                      <w:color w:val="000000" w:themeColor="text1"/>
                      <w:sz w:val="21"/>
                      <w:szCs w:val="21"/>
                      <w14:textFill>
                        <w14:solidFill>
                          <w14:schemeClr w14:val="tx1"/>
                        </w14:solidFill>
                      </w14:textFill>
                    </w:rPr>
                    <w:t>额定功率时</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天然气消耗量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22.5</w:t>
                  </w:r>
                  <w:r>
                    <w:rPr>
                      <w:rFonts w:hint="default" w:ascii="Times New Roman" w:hAnsi="Times New Roman" w:eastAsia="宋体" w:cs="Times New Roman"/>
                      <w:color w:val="000000" w:themeColor="text1"/>
                      <w:sz w:val="21"/>
                      <w:szCs w:val="21"/>
                      <w14:textFill>
                        <w14:solidFill>
                          <w14:schemeClr w14:val="tx1"/>
                        </w14:solidFill>
                      </w14:textFill>
                    </w:rPr>
                    <w:t>Nm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 xml:space="preserve">3 </w:t>
                  </w:r>
                  <w:r>
                    <w:rPr>
                      <w:rFonts w:hint="default" w:ascii="Times New Roman" w:hAnsi="Times New Roman" w:eastAsia="宋体" w:cs="Times New Roman"/>
                      <w:color w:val="000000" w:themeColor="text1"/>
                      <w:sz w:val="21"/>
                      <w:szCs w:val="21"/>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13</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直线筛</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9</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+7</w:t>
                  </w:r>
                  <w:r>
                    <w:rPr>
                      <w:rFonts w:hint="default" w:ascii="Times New Roman" w:hAnsi="Times New Roman" w:eastAsia="宋体" w:cs="Times New Roman"/>
                      <w:color w:val="000000" w:themeColor="text1"/>
                      <w:szCs w:val="21"/>
                      <w14:textFill>
                        <w14:solidFill>
                          <w14:schemeClr w14:val="tx1"/>
                        </w14:solidFill>
                      </w14:textFill>
                    </w:rPr>
                    <w:t>台</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14</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除铁机</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6台</w:t>
                  </w:r>
                </w:p>
              </w:tc>
              <w:tc>
                <w:tcPr>
                  <w:tcW w:w="1450" w:type="dxa"/>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6"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15</w:t>
                  </w:r>
                </w:p>
              </w:tc>
              <w:tc>
                <w:tcPr>
                  <w:tcW w:w="1473"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提升机</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1台</w:t>
                  </w:r>
                </w:p>
              </w:tc>
              <w:tc>
                <w:tcPr>
                  <w:tcW w:w="10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+2台</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16</w:t>
                  </w:r>
                </w:p>
              </w:tc>
              <w:tc>
                <w:tcPr>
                  <w:tcW w:w="1473" w:type="dxa"/>
                  <w:gridSpan w:val="2"/>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石英砂色选机</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4套</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+4套</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17</w:t>
                  </w:r>
                </w:p>
              </w:tc>
              <w:tc>
                <w:tcPr>
                  <w:tcW w:w="1473" w:type="dxa"/>
                  <w:gridSpan w:val="2"/>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强磁机</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05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+4台</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18</w:t>
                  </w:r>
                </w:p>
              </w:tc>
              <w:tc>
                <w:tcPr>
                  <w:tcW w:w="1473" w:type="dxa"/>
                  <w:gridSpan w:val="2"/>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自动包装机</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6台</w:t>
                  </w:r>
                </w:p>
              </w:tc>
              <w:tc>
                <w:tcPr>
                  <w:tcW w:w="105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jc w:val="center"/>
              </w:trPr>
              <w:tc>
                <w:tcPr>
                  <w:tcW w:w="9219" w:type="dxa"/>
                  <w:gridSpan w:val="8"/>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b/>
                      <w:bCs/>
                      <w:color w:val="000000" w:themeColor="text1"/>
                      <w:szCs w:val="21"/>
                      <w:lang w:eastAsia="zh-CN"/>
                      <w14:textFill>
                        <w14:solidFill>
                          <w14:schemeClr w14:val="tx1"/>
                        </w14:solidFill>
                      </w14:textFill>
                    </w:rPr>
                    <w:t>三、辅助设备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4" w:hRule="atLeast"/>
                <w:jc w:val="center"/>
              </w:trPr>
              <w:tc>
                <w:tcPr>
                  <w:tcW w:w="437"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19</w:t>
                  </w:r>
                </w:p>
              </w:tc>
              <w:tc>
                <w:tcPr>
                  <w:tcW w:w="1473" w:type="dxa"/>
                  <w:gridSpan w:val="2"/>
                  <w:noWrap w:val="0"/>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空压机</w:t>
                  </w:r>
                </w:p>
              </w:tc>
              <w:tc>
                <w:tcPr>
                  <w:tcW w:w="19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038"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1台</w:t>
                  </w:r>
                </w:p>
              </w:tc>
              <w:tc>
                <w:tcPr>
                  <w:tcW w:w="1056"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台</w:t>
                  </w:r>
                </w:p>
              </w:tc>
              <w:tc>
                <w:tcPr>
                  <w:tcW w:w="1450"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+2台</w:t>
                  </w:r>
                </w:p>
              </w:tc>
              <w:tc>
                <w:tcPr>
                  <w:tcW w:w="18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bl>
          <w:p>
            <w:pPr>
              <w:spacing w:beforeLines="50" w:line="360" w:lineRule="auto"/>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1.2.6</w:t>
            </w:r>
            <w:r>
              <w:rPr>
                <w:rFonts w:hint="default" w:ascii="Times New Roman" w:hAnsi="Times New Roman" w:eastAsia="宋体" w:cs="Times New Roman"/>
                <w:b/>
                <w:color w:val="000000" w:themeColor="text1"/>
                <w:sz w:val="24"/>
                <w:szCs w:val="24"/>
                <w:highlight w:val="none"/>
                <w14:textFill>
                  <w14:solidFill>
                    <w14:schemeClr w14:val="tx1"/>
                  </w14:solidFill>
                </w14:textFill>
              </w:rPr>
              <w:t>公用工程</w:t>
            </w:r>
            <w:r>
              <w:rPr>
                <w:rFonts w:hint="default" w:ascii="Times New Roman" w:hAnsi="Times New Roman" w:eastAsia="宋体" w:cs="Times New Roman"/>
                <w:b/>
                <w:color w:val="000000" w:themeColor="text1"/>
                <w:spacing w:val="6"/>
                <w:sz w:val="24"/>
                <w:highlight w:val="none"/>
                <w14:textFill>
                  <w14:solidFill>
                    <w14:schemeClr w14:val="tx1"/>
                  </w14:solidFill>
                </w14:textFill>
              </w:rPr>
              <w:t xml:space="preserve">   </w:t>
            </w:r>
          </w:p>
          <w:p>
            <w:pPr>
              <w:spacing w:line="360" w:lineRule="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 xml:space="preserve">1.2.6.1 </w:t>
            </w:r>
            <w:r>
              <w:rPr>
                <w:rFonts w:hint="default" w:ascii="Times New Roman" w:hAnsi="Times New Roman" w:eastAsia="宋体" w:cs="Times New Roman"/>
                <w:b/>
                <w:bCs/>
                <w:color w:val="000000" w:themeColor="text1"/>
                <w:sz w:val="24"/>
                <w:highlight w:val="none"/>
                <w14:textFill>
                  <w14:solidFill>
                    <w14:schemeClr w14:val="tx1"/>
                  </w14:solidFill>
                </w14:textFill>
              </w:rPr>
              <w:t>给排水</w:t>
            </w:r>
            <w:r>
              <w:rPr>
                <w:rFonts w:hint="default" w:ascii="Times New Roman" w:hAnsi="Times New Roman" w:eastAsia="宋体" w:cs="Times New Roman"/>
                <w:b/>
                <w:color w:val="000000" w:themeColor="text1"/>
                <w:sz w:val="24"/>
                <w:szCs w:val="24"/>
                <w:highlight w:val="none"/>
                <w14:textFill>
                  <w14:solidFill>
                    <w14:schemeClr w14:val="tx1"/>
                  </w14:solidFill>
                </w14:textFill>
              </w:rPr>
              <w:t>工程</w:t>
            </w:r>
          </w:p>
          <w:p>
            <w:pPr>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标准规范：</w:t>
            </w:r>
            <w:r>
              <w:rPr>
                <w:rFonts w:hint="default" w:ascii="Times New Roman" w:hAnsi="Times New Roman" w:eastAsia="宋体" w:cs="Times New Roman"/>
                <w:color w:val="000000" w:themeColor="text1"/>
                <w:sz w:val="24"/>
                <w:highlight w:val="none"/>
                <w14:textFill>
                  <w14:solidFill>
                    <w14:schemeClr w14:val="tx1"/>
                  </w14:solidFill>
                </w14:textFill>
              </w:rPr>
              <w:t>《室外给水设计规范》</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GB500B-2006</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《室外排水设计规范》</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GB50014-2006</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《建筑给水排水设计规范》</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GB50015-2003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pPr>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 xml:space="preserve">    设计范围：</w:t>
            </w:r>
            <w:r>
              <w:rPr>
                <w:rFonts w:hint="default" w:ascii="Times New Roman" w:hAnsi="Times New Roman" w:eastAsia="宋体" w:cs="Times New Roman"/>
                <w:color w:val="000000" w:themeColor="text1"/>
                <w:sz w:val="24"/>
                <w:highlight w:val="none"/>
                <w14:textFill>
                  <w14:solidFill>
                    <w14:schemeClr w14:val="tx1"/>
                  </w14:solidFill>
                </w14:textFill>
              </w:rPr>
              <w:t>本</w:t>
            </w:r>
            <w:r>
              <w:rPr>
                <w:rFonts w:hint="default" w:ascii="Times New Roman" w:hAnsi="Times New Roman" w:eastAsia="宋体" w:cs="Times New Roman"/>
                <w:bCs/>
                <w:color w:val="000000" w:themeColor="text1"/>
                <w:spacing w:val="-6"/>
                <w:sz w:val="24"/>
                <w:highlight w:val="none"/>
                <w14:textFill>
                  <w14:solidFill>
                    <w14:schemeClr w14:val="tx1"/>
                  </w14:solidFill>
                </w14:textFill>
              </w:rPr>
              <w:t>项目</w:t>
            </w:r>
            <w:r>
              <w:rPr>
                <w:rFonts w:hint="default" w:ascii="Times New Roman" w:hAnsi="Times New Roman" w:eastAsia="宋体" w:cs="Times New Roman"/>
                <w:color w:val="000000" w:themeColor="text1"/>
                <w:sz w:val="24"/>
                <w:highlight w:val="none"/>
                <w14:textFill>
                  <w14:solidFill>
                    <w14:schemeClr w14:val="tx1"/>
                  </w14:solidFill>
                </w14:textFill>
              </w:rPr>
              <w:t>设计包括厂区生产、生活及消防的给水、排水系统设计。</w:t>
            </w:r>
          </w:p>
          <w:p>
            <w:pPr>
              <w:spacing w:line="360" w:lineRule="auto"/>
              <w:ind w:firstLine="482"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14:textFill>
                  <w14:solidFill>
                    <w14:schemeClr w14:val="tx1"/>
                  </w14:solidFill>
                </w14:textFill>
              </w:rPr>
              <w:t>给水</w:t>
            </w:r>
            <w:r>
              <w:rPr>
                <w:rFonts w:hint="default" w:ascii="Times New Roman" w:hAnsi="Times New Roman" w:eastAsia="宋体" w:cs="Times New Roman"/>
                <w:b/>
                <w:caps w:val="0"/>
                <w:color w:val="000000" w:themeColor="text1"/>
                <w:sz w:val="24"/>
                <w:szCs w:val="24"/>
                <w:highlight w:val="none"/>
                <w:lang w:eastAsia="zh-CN"/>
                <w14:textFill>
                  <w14:solidFill>
                    <w14:schemeClr w14:val="tx1"/>
                  </w14:solidFill>
                </w14:textFill>
              </w:rPr>
              <w:t>工程</w:t>
            </w:r>
            <w:r>
              <w:rPr>
                <w:rFonts w:hint="default" w:ascii="Times New Roman" w:hAnsi="Times New Roman" w:eastAsia="宋体" w:cs="Times New Roman"/>
                <w:b/>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本项目劳动定员</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0人，</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均不在厂内食宿，</w:t>
            </w:r>
            <w:r>
              <w:rPr>
                <w:rFonts w:hint="default" w:ascii="Times New Roman" w:hAnsi="Times New Roman" w:eastAsia="宋体" w:cs="Times New Roman"/>
                <w:b w:val="0"/>
                <w:bCs/>
                <w:color w:val="000000" w:themeColor="text1"/>
                <w:sz w:val="24"/>
                <w:highlight w:val="none"/>
                <w14:textFill>
                  <w14:solidFill>
                    <w14:schemeClr w14:val="tx1"/>
                  </w14:solidFill>
                </w14:textFill>
              </w:rPr>
              <w:t>生活用</w:t>
            </w:r>
            <w:r>
              <w:rPr>
                <w:rFonts w:hint="default" w:ascii="Times New Roman" w:hAnsi="Times New Roman" w:eastAsia="宋体" w:cs="Times New Roman"/>
                <w:color w:val="000000" w:themeColor="text1"/>
                <w:sz w:val="24"/>
                <w:highlight w:val="none"/>
                <w14:textFill>
                  <w14:solidFill>
                    <w14:schemeClr w14:val="tx1"/>
                  </w14:solidFill>
                </w14:textFill>
              </w:rPr>
              <w:t>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1.6</w:t>
            </w:r>
            <w:r>
              <w:rPr>
                <w:rFonts w:hint="default" w:ascii="Times New Roman" w:hAnsi="Times New Roman" w:eastAsia="宋体" w:cs="Times New Roman"/>
                <w:b w:val="0"/>
                <w:bCs/>
                <w:color w:val="000000" w:themeColor="text1"/>
                <w:spacing w:val="-4"/>
                <w:sz w:val="24"/>
                <w:szCs w:val="28"/>
                <w:highlight w:val="none"/>
                <w14:textFill>
                  <w14:solidFill>
                    <w14:schemeClr w14:val="tx1"/>
                  </w14:solidFill>
                </w14:textFill>
              </w:rPr>
              <w:t>m³/</w:t>
            </w:r>
            <w:r>
              <w:rPr>
                <w:rFonts w:hint="default" w:ascii="Times New Roman" w:hAnsi="Times New Roman" w:eastAsia="宋体" w:cs="Times New Roman"/>
                <w:b w:val="0"/>
                <w:bCs/>
                <w:color w:val="000000" w:themeColor="text1"/>
                <w:spacing w:val="-4"/>
                <w:sz w:val="24"/>
                <w:szCs w:val="28"/>
                <w:highlight w:val="none"/>
                <w:lang w:val="en-US" w:eastAsia="zh-CN"/>
                <w14:textFill>
                  <w14:solidFill>
                    <w14:schemeClr w14:val="tx1"/>
                  </w14:solidFill>
                </w14:textFill>
              </w:rPr>
              <w:t>d</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480</w:t>
            </w:r>
            <w:r>
              <w:rPr>
                <w:rFonts w:hint="default" w:ascii="Times New Roman" w:hAnsi="Times New Roman" w:eastAsia="宋体" w:cs="Times New Roman"/>
                <w:b w:val="0"/>
                <w:bCs/>
                <w:color w:val="000000" w:themeColor="text1"/>
                <w:spacing w:val="-4"/>
                <w:sz w:val="24"/>
                <w:szCs w:val="28"/>
                <w:highlight w:val="none"/>
                <w14:textFill>
                  <w14:solidFill>
                    <w14:schemeClr w14:val="tx1"/>
                  </w14:solidFill>
                </w14:textFill>
              </w:rPr>
              <w:t>m³/a</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由</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市政</w:t>
            </w:r>
            <w:r>
              <w:rPr>
                <w:rFonts w:hint="default" w:ascii="Times New Roman" w:hAnsi="Times New Roman" w:eastAsia="宋体" w:cs="Times New Roman"/>
                <w:color w:val="000000" w:themeColor="text1"/>
                <w:sz w:val="24"/>
                <w:highlight w:val="none"/>
                <w14:textFill>
                  <w14:solidFill>
                    <w14:schemeClr w14:val="tx1"/>
                  </w14:solidFill>
                </w14:textFill>
              </w:rPr>
              <w:t>管网供给</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pPr>
              <w:numPr>
                <w:ilvl w:val="0"/>
                <w:numId w:val="0"/>
              </w:numPr>
              <w:spacing w:line="360" w:lineRule="auto"/>
              <w:ind w:firstLine="48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本项目湿砂</w:t>
            </w:r>
            <w:r>
              <w:rPr>
                <w:rFonts w:hint="eastAsia" w:ascii="Times New Roman" w:hAnsi="Times New Roman" w:cs="Times New Roman"/>
                <w:b w:val="0"/>
                <w:bCs/>
                <w:color w:val="000000" w:themeColor="text1"/>
                <w:sz w:val="24"/>
                <w:highlight w:val="none"/>
                <w:lang w:val="en-US" w:eastAsia="zh-CN"/>
                <w14:textFill>
                  <w14:solidFill>
                    <w14:schemeClr w14:val="tx1"/>
                  </w14:solidFill>
                </w14:textFill>
              </w:rPr>
              <w:t>车间</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生产过程中会使用洗砂用水约565.75</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/d（169725</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/a），刨除循环回用水量496.08</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/d（148825</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/a），每天尚需加入新鲜水约69.66</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/d（20900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/a）；酸洗</w:t>
            </w:r>
            <w:r>
              <w:rPr>
                <w:rFonts w:hint="eastAsia" w:ascii="Times New Roman" w:hAnsi="Times New Roman" w:cs="Times New Roman"/>
                <w:b w:val="0"/>
                <w:bCs/>
                <w:color w:val="000000" w:themeColor="text1"/>
                <w:sz w:val="24"/>
                <w:highlight w:val="none"/>
                <w:lang w:val="en-US" w:eastAsia="zh-CN"/>
                <w14:textFill>
                  <w14:solidFill>
                    <w14:schemeClr w14:val="tx1"/>
                  </w14:solidFill>
                </w14:textFill>
              </w:rPr>
              <w:t>车间</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生产过程中会使用酸洗用水约3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/d（900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/a），清洗用水约100</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/d（30000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/a）刨除循环回用水量83.7</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/d（25110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/a），酸洗过程中每天尚需加入新鲜水约19.3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/d（5790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项目除尘设施喷淋水循环使用，不外排，每天按时补充损耗的新鲜水</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/d</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即可</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pPr>
              <w:pStyle w:val="140"/>
              <w:ind w:firstLine="482"/>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1.2-6</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本</w:t>
            </w:r>
            <w:r>
              <w:rPr>
                <w:rFonts w:hint="default" w:ascii="Times New Roman" w:hAnsi="Times New Roman" w:eastAsia="宋体" w:cs="Times New Roman"/>
                <w:b/>
                <w:bCs/>
                <w:color w:val="000000" w:themeColor="text1"/>
                <w:sz w:val="24"/>
                <w:szCs w:val="24"/>
                <w14:textFill>
                  <w14:solidFill>
                    <w14:schemeClr w14:val="tx1"/>
                  </w14:solidFill>
                </w14:textFill>
              </w:rPr>
              <w:t>项目水平衡表  （单位：m</w:t>
            </w:r>
            <w:r>
              <w:rPr>
                <w:rFonts w:hint="default" w:ascii="Times New Roman" w:hAnsi="Times New Roman" w:eastAsia="宋体" w:cs="Times New Roman"/>
                <w:b/>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d</w:t>
            </w:r>
            <w:r>
              <w:rPr>
                <w:rFonts w:hint="default" w:ascii="Times New Roman" w:hAnsi="Times New Roman" w:eastAsia="宋体" w:cs="Times New Roman"/>
                <w:b/>
                <w:bCs/>
                <w:color w:val="000000" w:themeColor="text1"/>
                <w:sz w:val="24"/>
                <w:szCs w:val="24"/>
                <w14:textFill>
                  <w14:solidFill>
                    <w14:schemeClr w14:val="tx1"/>
                  </w14:solidFill>
                </w14:textFill>
              </w:rPr>
              <w:t>）</w:t>
            </w:r>
          </w:p>
          <w:tbl>
            <w:tblPr>
              <w:tblStyle w:val="26"/>
              <w:tblW w:w="92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534"/>
              <w:gridCol w:w="1"/>
              <w:gridCol w:w="1010"/>
              <w:gridCol w:w="1"/>
              <w:gridCol w:w="1177"/>
              <w:gridCol w:w="1"/>
              <w:gridCol w:w="1177"/>
              <w:gridCol w:w="1"/>
              <w:gridCol w:w="725"/>
              <w:gridCol w:w="1"/>
              <w:gridCol w:w="1577"/>
              <w:gridCol w:w="1"/>
              <w:gridCol w:w="1310"/>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604" w:hRule="atLeast"/>
                <w:jc w:val="center"/>
              </w:trPr>
              <w:tc>
                <w:tcPr>
                  <w:tcW w:w="2236" w:type="dxa"/>
                  <w:gridSpan w:val="2"/>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用水单元</w:t>
                  </w:r>
                </w:p>
              </w:tc>
              <w:tc>
                <w:tcPr>
                  <w:tcW w:w="1011"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项目</w:t>
                  </w:r>
                  <w: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t>新鲜</w:t>
                  </w:r>
                  <w:r>
                    <w:rPr>
                      <w:rFonts w:hint="default" w:ascii="Times New Roman" w:hAnsi="Times New Roman" w:eastAsia="宋体" w:cs="Times New Roman"/>
                      <w:b/>
                      <w:bCs/>
                      <w:color w:val="000000" w:themeColor="text1"/>
                      <w:kern w:val="0"/>
                      <w:sz w:val="21"/>
                      <w:szCs w:val="21"/>
                      <w14:textFill>
                        <w14:solidFill>
                          <w14:schemeClr w14:val="tx1"/>
                        </w14:solidFill>
                      </w14:textFill>
                    </w:rPr>
                    <w:t>水量</w:t>
                  </w:r>
                </w:p>
              </w:tc>
              <w:tc>
                <w:tcPr>
                  <w:tcW w:w="1178" w:type="dxa"/>
                  <w:gridSpan w:val="2"/>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eastAsia="zh-CN"/>
                      <w14:textFill>
                        <w14:solidFill>
                          <w14:schemeClr w14:val="tx1"/>
                        </w14:solidFill>
                      </w14:textFill>
                    </w:rPr>
                    <w:t>总用水量</w:t>
                  </w:r>
                </w:p>
              </w:tc>
              <w:tc>
                <w:tcPr>
                  <w:tcW w:w="1178" w:type="dxa"/>
                  <w:gridSpan w:val="2"/>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挥发及损耗水量</w:t>
                  </w:r>
                </w:p>
              </w:tc>
              <w:tc>
                <w:tcPr>
                  <w:tcW w:w="726" w:type="dxa"/>
                  <w:gridSpan w:val="2"/>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废水</w:t>
                  </w:r>
                </w:p>
                <w:p>
                  <w:pPr>
                    <w:widowControl/>
                    <w:spacing w:line="240" w:lineRule="auto"/>
                    <w:ind w:firstLine="0" w:firstLineChars="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水量</w:t>
                  </w:r>
                </w:p>
              </w:tc>
              <w:tc>
                <w:tcPr>
                  <w:tcW w:w="1578" w:type="dxa"/>
                  <w:gridSpan w:val="2"/>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循环水量</w:t>
                  </w:r>
                </w:p>
              </w:tc>
              <w:tc>
                <w:tcPr>
                  <w:tcW w:w="1311"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2" w:type="dxa"/>
                  <w:vMerge w:val="restart"/>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生产用水</w:t>
                  </w:r>
                </w:p>
              </w:tc>
              <w:tc>
                <w:tcPr>
                  <w:tcW w:w="1535" w:type="dxa"/>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湿砂车间洗砂用水</w:t>
                  </w:r>
                </w:p>
              </w:tc>
              <w:tc>
                <w:tcPr>
                  <w:tcW w:w="1011"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69.66</w:t>
                  </w:r>
                </w:p>
              </w:tc>
              <w:tc>
                <w:tcPr>
                  <w:tcW w:w="11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565.75</w:t>
                  </w:r>
                </w:p>
              </w:tc>
              <w:tc>
                <w:tcPr>
                  <w:tcW w:w="11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69.66</w:t>
                  </w:r>
                </w:p>
              </w:tc>
              <w:tc>
                <w:tcPr>
                  <w:tcW w:w="726"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15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496.08</w:t>
                  </w:r>
                </w:p>
              </w:tc>
              <w:tc>
                <w:tcPr>
                  <w:tcW w:w="1311"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2" w:type="dxa"/>
                  <w:vMerge w:val="continue"/>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p>
              </w:tc>
              <w:tc>
                <w:tcPr>
                  <w:tcW w:w="1535" w:type="dxa"/>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酸洗车间用水</w:t>
                  </w:r>
                </w:p>
              </w:tc>
              <w:tc>
                <w:tcPr>
                  <w:tcW w:w="1011"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19.3</w:t>
                  </w:r>
                </w:p>
              </w:tc>
              <w:tc>
                <w:tcPr>
                  <w:tcW w:w="11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103</w:t>
                  </w:r>
                </w:p>
              </w:tc>
              <w:tc>
                <w:tcPr>
                  <w:tcW w:w="11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726"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9.3</w:t>
                  </w:r>
                </w:p>
              </w:tc>
              <w:tc>
                <w:tcPr>
                  <w:tcW w:w="15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83.7</w:t>
                  </w:r>
                </w:p>
              </w:tc>
              <w:tc>
                <w:tcPr>
                  <w:tcW w:w="1311"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20" w:hRule="atLeast"/>
                <w:jc w:val="center"/>
              </w:trPr>
              <w:tc>
                <w:tcPr>
                  <w:tcW w:w="2236" w:type="dxa"/>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生活用水</w:t>
                  </w:r>
                </w:p>
              </w:tc>
              <w:tc>
                <w:tcPr>
                  <w:tcW w:w="1011"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1.6</w:t>
                  </w:r>
                </w:p>
              </w:tc>
              <w:tc>
                <w:tcPr>
                  <w:tcW w:w="11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1.6</w:t>
                  </w:r>
                </w:p>
              </w:tc>
              <w:tc>
                <w:tcPr>
                  <w:tcW w:w="11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16</w:t>
                  </w:r>
                </w:p>
              </w:tc>
              <w:tc>
                <w:tcPr>
                  <w:tcW w:w="726"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1.44</w:t>
                  </w:r>
                </w:p>
              </w:tc>
              <w:tc>
                <w:tcPr>
                  <w:tcW w:w="15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1311"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20" w:hRule="atLeast"/>
                <w:jc w:val="center"/>
              </w:trPr>
              <w:tc>
                <w:tcPr>
                  <w:tcW w:w="2236" w:type="dxa"/>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除尘设施喷淋水</w:t>
                  </w:r>
                </w:p>
              </w:tc>
              <w:tc>
                <w:tcPr>
                  <w:tcW w:w="1011"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0.1</w:t>
                  </w:r>
                </w:p>
              </w:tc>
              <w:tc>
                <w:tcPr>
                  <w:tcW w:w="11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1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0.1</w:t>
                  </w:r>
                </w:p>
              </w:tc>
              <w:tc>
                <w:tcPr>
                  <w:tcW w:w="726"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0</w:t>
                  </w:r>
                </w:p>
              </w:tc>
              <w:tc>
                <w:tcPr>
                  <w:tcW w:w="1578"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1311" w:type="dxa"/>
                  <w:gridSpan w:val="2"/>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20" w:hRule="atLeast"/>
                <w:jc w:val="center"/>
              </w:trPr>
              <w:tc>
                <w:tcPr>
                  <w:tcW w:w="2236" w:type="dxa"/>
                  <w:gridSpan w:val="2"/>
                  <w:tcBorders>
                    <w:tl2br w:val="nil"/>
                    <w:tr2bl w:val="nil"/>
                  </w:tcBorders>
                  <w:noWrap w:val="0"/>
                  <w:vAlign w:val="center"/>
                </w:tcPr>
                <w:p>
                  <w:pPr>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合计</w:t>
                  </w:r>
                </w:p>
              </w:tc>
              <w:tc>
                <w:tcPr>
                  <w:tcW w:w="1011"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90.66</w:t>
                  </w:r>
                </w:p>
              </w:tc>
              <w:tc>
                <w:tcPr>
                  <w:tcW w:w="1178"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670.35</w:t>
                  </w:r>
                </w:p>
              </w:tc>
              <w:tc>
                <w:tcPr>
                  <w:tcW w:w="1178"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79.92</w:t>
                  </w:r>
                </w:p>
              </w:tc>
              <w:tc>
                <w:tcPr>
                  <w:tcW w:w="726"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10.74</w:t>
                  </w:r>
                </w:p>
              </w:tc>
              <w:tc>
                <w:tcPr>
                  <w:tcW w:w="1578"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579.78</w:t>
                  </w:r>
                </w:p>
              </w:tc>
              <w:tc>
                <w:tcPr>
                  <w:tcW w:w="1311" w:type="dxa"/>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11"/>
              <w:snapToGrid/>
              <w:spacing w:before="0" w:line="360" w:lineRule="auto"/>
              <w:ind w:firstLine="474"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aps w:val="0"/>
                <w:color w:val="000000" w:themeColor="text1"/>
                <w:spacing w:val="-2"/>
                <w:highlight w:val="none"/>
                <w14:textFill>
                  <w14:solidFill>
                    <w14:schemeClr w14:val="tx1"/>
                  </w14:solidFill>
                </w14:textFill>
              </w:rPr>
              <w:t>排水</w:t>
            </w:r>
            <w:r>
              <w:rPr>
                <w:rFonts w:hint="default" w:ascii="Times New Roman" w:hAnsi="Times New Roman" w:eastAsia="宋体" w:cs="Times New Roman"/>
                <w:caps w:val="0"/>
                <w:color w:val="000000" w:themeColor="text1"/>
                <w:spacing w:val="-2"/>
                <w:highlight w:val="none"/>
                <w:lang w:eastAsia="zh-CN"/>
                <w14:textFill>
                  <w14:solidFill>
                    <w14:schemeClr w14:val="tx1"/>
                  </w14:solidFill>
                </w14:textFill>
              </w:rPr>
              <w:t>工程</w:t>
            </w:r>
            <w:r>
              <w:rPr>
                <w:rFonts w:hint="default" w:ascii="Times New Roman" w:hAnsi="Times New Roman" w:eastAsia="宋体" w:cs="Times New Roman"/>
                <w:caps w:val="0"/>
                <w:color w:val="000000" w:themeColor="text1"/>
                <w:spacing w:val="-2"/>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2"/>
                <w:highlight w:val="none"/>
                <w14:textFill>
                  <w14:solidFill>
                    <w14:schemeClr w14:val="tx1"/>
                  </w14:solidFill>
                </w14:textFill>
              </w:rPr>
              <w:t>项目采用雨污分流制，雨水经道路和建筑物四周引水系统，将屋面和地面的雨水经</w:t>
            </w:r>
            <w:r>
              <w:rPr>
                <w:rFonts w:hint="default" w:ascii="Times New Roman" w:hAnsi="Times New Roman" w:eastAsia="宋体" w:cs="Times New Roman"/>
                <w:b w:val="0"/>
                <w:bCs w:val="0"/>
                <w:caps w:val="0"/>
                <w:color w:val="000000" w:themeColor="text1"/>
                <w:spacing w:val="-2"/>
                <w:highlight w:val="none"/>
                <w:lang w:eastAsia="zh-CN"/>
                <w14:textFill>
                  <w14:solidFill>
                    <w14:schemeClr w14:val="tx1"/>
                  </w14:solidFill>
                </w14:textFill>
              </w:rPr>
              <w:t>排水沟渠</w:t>
            </w:r>
            <w:r>
              <w:rPr>
                <w:rFonts w:hint="default" w:ascii="Times New Roman" w:hAnsi="Times New Roman" w:eastAsia="宋体" w:cs="Times New Roman"/>
                <w:b w:val="0"/>
                <w:bCs w:val="0"/>
                <w:caps w:val="0"/>
                <w:color w:val="000000" w:themeColor="text1"/>
                <w:spacing w:val="-2"/>
                <w:highlight w:val="none"/>
                <w14:textFill>
                  <w14:solidFill>
                    <w14:schemeClr w14:val="tx1"/>
                  </w14:solidFill>
                </w14:textFill>
              </w:rPr>
              <w:t>接入厂区雨水</w:t>
            </w:r>
            <w:r>
              <w:rPr>
                <w:rFonts w:hint="default" w:ascii="Times New Roman" w:hAnsi="Times New Roman" w:eastAsia="宋体" w:cs="Times New Roman"/>
                <w:b w:val="0"/>
                <w:bCs w:val="0"/>
                <w:caps w:val="0"/>
                <w:color w:val="000000" w:themeColor="text1"/>
                <w:spacing w:val="-2"/>
                <w:highlight w:val="none"/>
                <w:lang w:eastAsia="zh-CN"/>
                <w14:textFill>
                  <w14:solidFill>
                    <w14:schemeClr w14:val="tx1"/>
                  </w14:solidFill>
                </w14:textFill>
              </w:rPr>
              <w:t>排放管道，最后排入潖江河</w:t>
            </w:r>
            <w:r>
              <w:rPr>
                <w:rFonts w:hint="default" w:ascii="Times New Roman" w:hAnsi="Times New Roman" w:eastAsia="宋体" w:cs="Times New Roman"/>
                <w:b w:val="0"/>
                <w:bCs w:val="0"/>
                <w:caps w:val="0"/>
                <w:color w:val="000000" w:themeColor="text1"/>
                <w:spacing w:val="-2"/>
                <w:highlight w:val="none"/>
                <w14:textFill>
                  <w14:solidFill>
                    <w14:schemeClr w14:val="tx1"/>
                  </w14:solidFill>
                </w14:textFill>
              </w:rPr>
              <w:t>；</w:t>
            </w:r>
            <w:r>
              <w:rPr>
                <w:rFonts w:hint="default" w:ascii="Times New Roman" w:hAnsi="Times New Roman" w:eastAsia="宋体" w:cs="Times New Roman"/>
                <w:b w:val="0"/>
                <w:bCs w:val="0"/>
                <w:caps w:val="0"/>
                <w:color w:val="000000" w:themeColor="text1"/>
                <w:spacing w:val="-6"/>
                <w:sz w:val="24"/>
                <w:highlight w:val="none"/>
                <w:lang w:eastAsia="zh-CN"/>
                <w14:textFill>
                  <w14:solidFill>
                    <w14:schemeClr w14:val="tx1"/>
                  </w14:solidFill>
                </w14:textFill>
              </w:rPr>
              <w:t>湿砂车间产生的洗砂废水进过洗砂废水循环处理设施处理后回用，不外排</w:t>
            </w:r>
            <w:r>
              <w:rPr>
                <w:rFonts w:hint="default" w:ascii="Times New Roman" w:hAnsi="Times New Roman" w:eastAsia="宋体" w:cs="Times New Roman"/>
                <w:b w:val="0"/>
                <w:bCs w:val="0"/>
                <w:caps w:val="0"/>
                <w:color w:val="000000" w:themeColor="text1"/>
                <w:spacing w:val="-2"/>
                <w:highlight w:val="none"/>
                <w:lang w:val="en-US" w:eastAsia="zh-CN"/>
                <w14:textFill>
                  <w14:solidFill>
                    <w14:schemeClr w14:val="tx1"/>
                  </w14:solidFill>
                </w14:textFill>
              </w:rPr>
              <w:t>；</w:t>
            </w:r>
            <w:r>
              <w:rPr>
                <w:rFonts w:hint="default" w:ascii="Times New Roman" w:hAnsi="Times New Roman" w:eastAsia="宋体" w:cs="Times New Roman"/>
                <w:b w:val="0"/>
                <w:bCs w:val="0"/>
                <w:caps w:val="0"/>
                <w:color w:val="000000" w:themeColor="text1"/>
                <w:spacing w:val="-6"/>
                <w:sz w:val="24"/>
                <w:highlight w:val="none"/>
                <w:lang w:val="en-US" w:eastAsia="zh-CN"/>
                <w14:textFill>
                  <w14:solidFill>
                    <w14:schemeClr w14:val="tx1"/>
                  </w14:solidFill>
                </w14:textFill>
              </w:rPr>
              <w:t>生活污水经一体化生活污水处理设施处理达标后外排潖江河。</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1.2.6.2</w:t>
            </w:r>
            <w:r>
              <w:rPr>
                <w:rFonts w:hint="default" w:ascii="Times New Roman" w:hAnsi="Times New Roman" w:eastAsia="宋体" w:cs="Times New Roman"/>
                <w:b/>
                <w:bCs/>
                <w:color w:val="000000" w:themeColor="text1"/>
                <w:sz w:val="24"/>
                <w:highlight w:val="none"/>
                <w14:textFill>
                  <w14:solidFill>
                    <w14:schemeClr w14:val="tx1"/>
                  </w14:solidFill>
                </w14:textFill>
              </w:rPr>
              <w:t>供配电</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设计</w:t>
            </w:r>
            <w:r>
              <w:rPr>
                <w:rFonts w:hint="default" w:ascii="Times New Roman" w:hAnsi="Times New Roman" w:eastAsia="宋体" w:cs="Times New Roman"/>
                <w:b/>
                <w:bCs/>
                <w:color w:val="000000" w:themeColor="text1"/>
                <w:sz w:val="24"/>
                <w:highlight w:val="none"/>
                <w14:textFill>
                  <w14:solidFill>
                    <w14:schemeClr w14:val="tx1"/>
                  </w14:solidFill>
                </w14:textFill>
              </w:rPr>
              <w:t xml:space="preserve">    </w:t>
            </w:r>
          </w:p>
          <w:p>
            <w:pPr>
              <w:spacing w:line="360" w:lineRule="auto"/>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配电：</w:t>
            </w: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val="zh-CN"/>
                <w14:textFill>
                  <w14:solidFill>
                    <w14:schemeClr w14:val="tx1"/>
                  </w14:solidFill>
                </w14:textFill>
              </w:rPr>
              <w:t>的日常供电采用市政供电系统，</w:t>
            </w:r>
            <w:r>
              <w:rPr>
                <w:rFonts w:hint="default" w:ascii="Times New Roman" w:hAnsi="Times New Roman" w:eastAsia="宋体" w:cs="Times New Roman"/>
                <w:color w:val="000000" w:themeColor="text1"/>
                <w:sz w:val="24"/>
                <w:lang w:eastAsia="zh-CN"/>
                <w14:textFill>
                  <w14:solidFill>
                    <w14:schemeClr w14:val="tx1"/>
                  </w14:solidFill>
                </w14:textFill>
              </w:rPr>
              <w:t>依托原有的</w:t>
            </w:r>
            <w:r>
              <w:rPr>
                <w:rFonts w:hint="default" w:ascii="Times New Roman" w:hAnsi="Times New Roman" w:eastAsia="宋体" w:cs="Times New Roman"/>
                <w:color w:val="000000" w:themeColor="text1"/>
                <w:sz w:val="24"/>
                <w14:textFill>
                  <w14:solidFill>
                    <w14:schemeClr w14:val="tx1"/>
                  </w14:solidFill>
                </w14:textFill>
              </w:rPr>
              <w:t>变</w:t>
            </w:r>
            <w:r>
              <w:rPr>
                <w:rFonts w:hint="default" w:ascii="Times New Roman" w:hAnsi="Times New Roman" w:eastAsia="宋体" w:cs="Times New Roman"/>
                <w:color w:val="000000" w:themeColor="text1"/>
                <w:sz w:val="24"/>
                <w:lang w:eastAsia="zh-CN"/>
                <w14:textFill>
                  <w14:solidFill>
                    <w14:schemeClr w14:val="tx1"/>
                  </w14:solidFill>
                </w14:textFill>
              </w:rPr>
              <w:t>配</w:t>
            </w:r>
            <w:r>
              <w:rPr>
                <w:rFonts w:hint="default" w:ascii="Times New Roman" w:hAnsi="Times New Roman" w:eastAsia="宋体" w:cs="Times New Roman"/>
                <w:color w:val="000000" w:themeColor="text1"/>
                <w:sz w:val="24"/>
                <w14:textFill>
                  <w14:solidFill>
                    <w14:schemeClr w14:val="tx1"/>
                  </w14:solidFill>
                </w14:textFill>
              </w:rPr>
              <w:t>电</w:t>
            </w:r>
            <w:r>
              <w:rPr>
                <w:rFonts w:hint="default" w:ascii="Times New Roman" w:hAnsi="Times New Roman" w:eastAsia="宋体" w:cs="Times New Roman"/>
                <w:color w:val="000000" w:themeColor="text1"/>
                <w:sz w:val="24"/>
                <w:lang w:eastAsia="zh-CN"/>
                <w14:textFill>
                  <w14:solidFill>
                    <w14:schemeClr w14:val="tx1"/>
                  </w14:solidFill>
                </w14:textFill>
              </w:rPr>
              <w:t>设施</w:t>
            </w:r>
            <w:r>
              <w:rPr>
                <w:rFonts w:hint="default" w:ascii="Times New Roman" w:hAnsi="Times New Roman" w:eastAsia="宋体" w:cs="Times New Roman"/>
                <w:bCs/>
                <w:color w:val="000000" w:themeColor="text1"/>
                <w:sz w:val="24"/>
                <w:highlight w:val="none"/>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 xml:space="preserve">    </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照明：</w:t>
            </w:r>
            <w:r>
              <w:rPr>
                <w:rFonts w:hint="default" w:ascii="Times New Roman" w:hAnsi="Times New Roman" w:eastAsia="宋体" w:cs="Times New Roman"/>
                <w:color w:val="000000" w:themeColor="text1"/>
                <w:sz w:val="24"/>
                <w:highlight w:val="none"/>
                <w14:textFill>
                  <w14:solidFill>
                    <w14:schemeClr w14:val="tx1"/>
                  </w14:solidFill>
                </w14:textFill>
              </w:rPr>
              <w:t>正常照明的光源以节能型荧光灯为主，荧光灯功率因数不小于0.9。</w:t>
            </w:r>
          </w:p>
          <w:p>
            <w:pPr>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1.2.6.3</w:t>
            </w:r>
            <w:r>
              <w:rPr>
                <w:rFonts w:hint="default" w:ascii="Times New Roman" w:hAnsi="Times New Roman" w:eastAsia="宋体" w:cs="Times New Roman"/>
                <w:b/>
                <w:bCs/>
                <w:color w:val="000000" w:themeColor="text1"/>
                <w:sz w:val="24"/>
                <w:highlight w:val="none"/>
                <w14:textFill>
                  <w14:solidFill>
                    <w14:schemeClr w14:val="tx1"/>
                  </w14:solidFill>
                </w14:textFill>
              </w:rPr>
              <w:t>防雷</w:t>
            </w:r>
            <w:r>
              <w:rPr>
                <w:rFonts w:hint="default" w:ascii="Times New Roman" w:hAnsi="Times New Roman" w:eastAsia="宋体" w:cs="Times New Roman"/>
                <w:b/>
                <w:color w:val="000000" w:themeColor="text1"/>
                <w:sz w:val="24"/>
                <w:szCs w:val="24"/>
                <w:highlight w:val="none"/>
                <w14:textFill>
                  <w14:solidFill>
                    <w14:schemeClr w14:val="tx1"/>
                  </w14:solidFill>
                </w14:textFill>
              </w:rPr>
              <w:t>工程</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本项目建筑物按二类和三类防雷，防雷接地、保护接地、弱电接地公用一套接地系统，联合接地电阻不大于1Ω。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pPr>
            <w:r>
              <w:rPr>
                <w:rFonts w:hint="default" w:ascii="Times New Roman" w:hAnsi="Times New Roman" w:eastAsia="宋体" w:cs="Times New Roman"/>
                <w:b/>
                <w:bCs/>
                <w:iCs/>
                <w:color w:val="000000" w:themeColor="text1"/>
                <w:sz w:val="24"/>
                <w:highlight w:val="none"/>
                <w14:textFill>
                  <w14:solidFill>
                    <w14:schemeClr w14:val="tx1"/>
                  </w14:solidFill>
                </w14:textFill>
              </w:rPr>
              <w:t>1.2.6.4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供热</w:t>
            </w: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工程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5台燃气热水炉（4用1备）、3台烘干炉进行加热。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1.2.6.</w:t>
            </w:r>
            <w:r>
              <w:rPr>
                <w:rFonts w:hint="default"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供气</w:t>
            </w:r>
            <w:r>
              <w:rPr>
                <w:rFonts w:hint="default" w:ascii="Times New Roman" w:hAnsi="Times New Roman" w:eastAsia="宋体" w:cs="Times New Roman"/>
                <w:b/>
                <w:color w:val="000000" w:themeColor="text1"/>
                <w:sz w:val="24"/>
                <w:szCs w:val="24"/>
                <w:highlight w:val="none"/>
                <w14:textFill>
                  <w14:solidFill>
                    <w14:schemeClr w14:val="tx1"/>
                  </w14:solidFill>
                </w14:textFill>
              </w:rPr>
              <w:t>工程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设置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3台螺杆式空压机压缩空气进行供气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1.2.6.</w:t>
            </w:r>
            <w:r>
              <w:rPr>
                <w:rFonts w:hint="default"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14:textFill>
                  <w14:solidFill>
                    <w14:schemeClr w14:val="tx1"/>
                  </w14:solidFill>
                </w14:textFill>
              </w:rPr>
              <w:t>贮运</w:t>
            </w:r>
            <w:r>
              <w:rPr>
                <w:rFonts w:hint="default" w:ascii="Times New Roman" w:hAnsi="Times New Roman" w:eastAsia="宋体" w:cs="Times New Roman"/>
                <w:b/>
                <w:bCs/>
                <w:color w:val="000000" w:themeColor="text1"/>
                <w:kern w:val="0"/>
                <w:sz w:val="24"/>
                <w:szCs w:val="24"/>
                <w:highlight w:val="none"/>
                <w:lang w:eastAsia="zh-CN"/>
                <w14:textFill>
                  <w14:solidFill>
                    <w14:schemeClr w14:val="tx1"/>
                  </w14:solidFill>
                </w14:textFill>
              </w:rPr>
              <w:t>工程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本项目生产设备均安置于厂房内，</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原料</w:t>
            </w:r>
            <w:r>
              <w:rPr>
                <w:rFonts w:hint="default" w:ascii="Times New Roman" w:hAnsi="Times New Roman" w:eastAsia="宋体" w:cs="Times New Roman"/>
                <w:color w:val="000000" w:themeColor="text1"/>
                <w:sz w:val="24"/>
                <w:highlight w:val="none"/>
                <w14:textFill>
                  <w14:solidFill>
                    <w14:schemeClr w14:val="tx1"/>
                  </w14:solidFill>
                </w14:textFill>
              </w:rPr>
              <w:t>存于</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原料区</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产品设有产品区，原料</w:t>
            </w:r>
            <w:r>
              <w:rPr>
                <w:rFonts w:hint="default" w:ascii="Times New Roman" w:hAnsi="Times New Roman" w:eastAsia="宋体" w:cs="Times New Roman"/>
                <w:color w:val="000000" w:themeColor="text1"/>
                <w:sz w:val="24"/>
                <w:highlight w:val="none"/>
                <w14:textFill>
                  <w14:solidFill>
                    <w14:schemeClr w14:val="tx1"/>
                  </w14:solidFill>
                </w14:textFill>
              </w:rPr>
              <w:t>及产品进出厂区由运输车辆输送。各种生产车间及贮运仓库分别按功能区划分设置，合理组织厂内运输流线，并于厂外运输路线合理衔接，保证物流、人流通行顺畅，互不干扰；道路布置在满足运输要求下，同时满足厂区安全、卫生、消防检修、管道敷设等的要求；既方便厂区物流通畅，又符合生产与贮运仓库的安全规</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范</w:t>
            </w:r>
            <w:r>
              <w:rPr>
                <w:rFonts w:hint="default" w:ascii="Times New Roman" w:hAnsi="Times New Roman" w:eastAsia="宋体" w:cs="Times New Roman"/>
                <w:color w:val="000000" w:themeColor="text1"/>
                <w:sz w:val="24"/>
                <w:highlight w:val="none"/>
                <w14:textFill>
                  <w14:solidFill>
                    <w14:schemeClr w14:val="tx1"/>
                  </w14:solidFill>
                </w14:textFill>
              </w:rPr>
              <w:t>。</w:t>
            </w:r>
          </w:p>
          <w:p>
            <w:pPr>
              <w:spacing w:line="360" w:lineRule="auto"/>
              <w:rPr>
                <w:rFonts w:hint="default" w:ascii="Times New Roman" w:hAnsi="Times New Roman" w:eastAsia="宋体" w:cs="Times New Roman"/>
                <w:b/>
                <w:bCs/>
                <w:color w:val="000000" w:themeColor="text1"/>
                <w:spacing w:val="6"/>
                <w:sz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1.2.7劳动定员及工作制度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
                <w:iCs/>
                <w:caps w:val="0"/>
                <w:color w:val="000000" w:themeColor="text1"/>
                <w:lang w:val="en-US" w:eastAsia="zh-CN"/>
                <w14:textFill>
                  <w14:solidFill>
                    <w14:schemeClr w14:val="tx1"/>
                  </w14:solidFill>
                </w14:textFill>
              </w:rPr>
            </w:pPr>
            <w:r>
              <w:rPr>
                <w:rFonts w:hint="default" w:ascii="Times New Roman" w:hAnsi="Times New Roman" w:eastAsia="宋体" w:cs="Times New Roman"/>
                <w:b w:val="0"/>
                <w:bCs/>
                <w:iCs/>
                <w:cap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pacing w:val="6"/>
                <w:sz w:val="24"/>
                <w14:textFill>
                  <w14:solidFill>
                    <w14:schemeClr w14:val="tx1"/>
                  </w14:solidFill>
                </w14:textFill>
              </w:rPr>
              <w:t>项目</w:t>
            </w:r>
            <w:r>
              <w:rPr>
                <w:rFonts w:hint="default" w:ascii="Times New Roman" w:hAnsi="Times New Roman" w:eastAsia="宋体" w:cs="Times New Roman"/>
                <w:bCs/>
                <w:color w:val="000000" w:themeColor="text1"/>
                <w:sz w:val="24"/>
                <w:lang w:eastAsia="zh-CN"/>
                <w14:textFill>
                  <w14:solidFill>
                    <w14:schemeClr w14:val="tx1"/>
                  </w14:solidFill>
                </w14:textFill>
              </w:rPr>
              <w:t>劳动定员</w:t>
            </w:r>
            <w:r>
              <w:rPr>
                <w:rFonts w:hint="default" w:ascii="Times New Roman" w:hAnsi="Times New Roman" w:eastAsia="宋体" w:cs="Times New Roman"/>
                <w:bCs/>
                <w:color w:val="000000" w:themeColor="text1"/>
                <w:sz w:val="24"/>
                <w:lang w:val="en-US" w:eastAsia="zh-CN"/>
                <w14:textFill>
                  <w14:solidFill>
                    <w14:schemeClr w14:val="tx1"/>
                  </w14:solidFill>
                </w14:textFill>
              </w:rPr>
              <w:t>20人</w:t>
            </w:r>
            <w:r>
              <w:rPr>
                <w:rFonts w:hint="default" w:ascii="Times New Roman" w:hAnsi="Times New Roman" w:eastAsia="宋体" w:cs="Times New Roman"/>
                <w:b w:val="0"/>
                <w:bCs/>
                <w:iCs/>
                <w:cap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工作制度</w:t>
            </w:r>
            <w:r>
              <w:rPr>
                <w:rFonts w:hint="default" w:ascii="Times New Roman" w:hAnsi="Times New Roman" w:eastAsia="宋体" w:cs="Times New Roman"/>
                <w:bCs/>
                <w:color w:val="000000" w:themeColor="text1"/>
                <w:sz w:val="24"/>
                <w:lang w:eastAsia="zh-CN"/>
                <w14:textFill>
                  <w14:solidFill>
                    <w14:schemeClr w14:val="tx1"/>
                  </w14:solidFill>
                </w14:textFill>
              </w:rPr>
              <w:t>不变，</w:t>
            </w:r>
            <w:r>
              <w:rPr>
                <w:rFonts w:hint="default" w:ascii="Times New Roman" w:hAnsi="Times New Roman" w:eastAsia="宋体" w:cs="Times New Roman"/>
                <w:b w:val="0"/>
                <w:bCs/>
                <w:iCs/>
                <w:caps w:val="0"/>
                <w:color w:val="000000" w:themeColor="text1"/>
                <w:sz w:val="24"/>
                <w:szCs w:val="24"/>
                <w14:textFill>
                  <w14:solidFill>
                    <w14:schemeClr w14:val="tx1"/>
                  </w14:solidFill>
                </w14:textFill>
              </w:rPr>
              <w:t>详见下表</w:t>
            </w:r>
            <w:r>
              <w:rPr>
                <w:rFonts w:hint="default" w:ascii="Times New Roman" w:hAnsi="Times New Roman" w:eastAsia="宋体" w:cs="Times New Roman"/>
                <w:b w:val="0"/>
                <w:bCs/>
                <w:caps w:val="0"/>
                <w:color w:val="000000" w:themeColor="text1"/>
                <w:sz w:val="24"/>
                <w14:textFill>
                  <w14:solidFill>
                    <w14:schemeClr w14:val="tx1"/>
                  </w14:solidFill>
                </w14:textFill>
              </w:rPr>
              <w:t>1</w:t>
            </w:r>
            <w:r>
              <w:rPr>
                <w:rFonts w:hint="default" w:ascii="Times New Roman" w:hAnsi="Times New Roman" w:eastAsia="宋体" w:cs="Times New Roman"/>
                <w:b w:val="0"/>
                <w:bCs/>
                <w:cap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val="0"/>
                <w:bCs/>
                <w:caps w:val="0"/>
                <w:color w:val="000000" w:themeColor="text1"/>
                <w:sz w:val="24"/>
                <w14:textFill>
                  <w14:solidFill>
                    <w14:schemeClr w14:val="tx1"/>
                  </w14:solidFill>
                </w14:textFill>
              </w:rPr>
              <w:t>-</w:t>
            </w:r>
            <w:r>
              <w:rPr>
                <w:rFonts w:hint="default" w:ascii="Times New Roman" w:hAnsi="Times New Roman" w:eastAsia="宋体" w:cs="Times New Roman"/>
                <w:b w:val="0"/>
                <w:bCs/>
                <w:caps w:val="0"/>
                <w:color w:val="000000" w:themeColor="text1"/>
                <w:sz w:val="24"/>
                <w:lang w:val="en-US" w:eastAsia="zh-CN"/>
                <w14:textFill>
                  <w14:solidFill>
                    <w14:schemeClr w14:val="tx1"/>
                  </w14:solidFill>
                </w14:textFill>
              </w:rPr>
              <w:t>7</w:t>
            </w:r>
            <w:r>
              <w:rPr>
                <w:rFonts w:hint="default" w:ascii="Times New Roman" w:hAnsi="Times New Roman" w:eastAsia="宋体" w:cs="Times New Roman"/>
                <w:b w:val="0"/>
                <w:bCs/>
                <w:caps w:val="0"/>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6" w:beforeLines="50"/>
              <w:jc w:val="center"/>
              <w:textAlignment w:val="auto"/>
              <w:outlineLvl w:val="9"/>
              <w:rPr>
                <w:rFonts w:hint="default" w:ascii="Times New Roman" w:hAnsi="Times New Roman" w:eastAsia="宋体" w:cs="Times New Roman"/>
                <w:b/>
                <w:caps w:val="0"/>
                <w:color w:val="000000" w:themeColor="text1"/>
                <w:sz w:val="24"/>
                <w14:textFill>
                  <w14:solidFill>
                    <w14:schemeClr w14:val="tx1"/>
                  </w14:solidFill>
                </w14:textFill>
              </w:rPr>
            </w:pPr>
            <w:r>
              <w:rPr>
                <w:rFonts w:hint="default" w:ascii="Times New Roman" w:hAnsi="Times New Roman" w:eastAsia="宋体" w:cs="Times New Roman"/>
                <w:b/>
                <w:caps w:val="0"/>
                <w:color w:val="000000" w:themeColor="text1"/>
                <w:sz w:val="24"/>
                <w14:textFill>
                  <w14:solidFill>
                    <w14:schemeClr w14:val="tx1"/>
                  </w14:solidFill>
                </w14:textFill>
              </w:rPr>
              <w:t>表1</w:t>
            </w:r>
            <w:r>
              <w:rPr>
                <w:rFonts w:hint="default" w:ascii="Times New Roman" w:hAnsi="Times New Roman" w:eastAsia="宋体" w:cs="Times New Roman"/>
                <w:b/>
                <w:caps w:val="0"/>
                <w:color w:val="000000" w:themeColor="text1"/>
                <w:sz w:val="24"/>
                <w:lang w:val="en-US" w:eastAsia="zh-CN"/>
                <w14:textFill>
                  <w14:solidFill>
                    <w14:schemeClr w14:val="tx1"/>
                  </w14:solidFill>
                </w14:textFill>
              </w:rPr>
              <w:t>.2</w:t>
            </w:r>
            <w:r>
              <w:rPr>
                <w:rFonts w:hint="default" w:ascii="Times New Roman" w:hAnsi="Times New Roman" w:eastAsia="宋体" w:cs="Times New Roman"/>
                <w:b/>
                <w:caps w:val="0"/>
                <w:color w:val="000000" w:themeColor="text1"/>
                <w:sz w:val="24"/>
                <w14:textFill>
                  <w14:solidFill>
                    <w14:schemeClr w14:val="tx1"/>
                  </w14:solidFill>
                </w14:textFill>
              </w:rPr>
              <w:t>-</w:t>
            </w:r>
            <w:r>
              <w:rPr>
                <w:rFonts w:hint="default" w:ascii="Times New Roman" w:hAnsi="Times New Roman" w:eastAsia="宋体" w:cs="Times New Roman"/>
                <w:b/>
                <w:caps w:val="0"/>
                <w:color w:val="000000" w:themeColor="text1"/>
                <w:sz w:val="24"/>
                <w:lang w:val="en-US" w:eastAsia="zh-CN"/>
                <w14:textFill>
                  <w14:solidFill>
                    <w14:schemeClr w14:val="tx1"/>
                  </w14:solidFill>
                </w14:textFill>
              </w:rPr>
              <w:t>7</w:t>
            </w:r>
            <w:r>
              <w:rPr>
                <w:rFonts w:hint="default" w:ascii="Times New Roman" w:hAnsi="Times New Roman" w:eastAsia="宋体" w:cs="Times New Roman"/>
                <w:b/>
                <w:caps w:val="0"/>
                <w:color w:val="000000" w:themeColor="text1"/>
                <w:sz w:val="24"/>
                <w14:textFill>
                  <w14:solidFill>
                    <w14:schemeClr w14:val="tx1"/>
                  </w14:solidFill>
                </w14:textFill>
              </w:rPr>
              <w:t xml:space="preserve">  </w:t>
            </w:r>
            <w:r>
              <w:rPr>
                <w:rFonts w:hint="default" w:ascii="Times New Roman" w:hAnsi="Times New Roman" w:eastAsia="宋体" w:cs="Times New Roman"/>
                <w:b/>
                <w:caps w:val="0"/>
                <w:color w:val="000000" w:themeColor="text1"/>
                <w:sz w:val="24"/>
                <w:lang w:eastAsia="zh-CN"/>
                <w14:textFill>
                  <w14:solidFill>
                    <w14:schemeClr w14:val="tx1"/>
                  </w14:solidFill>
                </w14:textFill>
              </w:rPr>
              <w:t>变动前、后</w:t>
            </w:r>
            <w:r>
              <w:rPr>
                <w:rFonts w:hint="default" w:ascii="Times New Roman" w:hAnsi="Times New Roman" w:eastAsia="宋体" w:cs="Times New Roman"/>
                <w:b/>
                <w:caps w:val="0"/>
                <w:color w:val="000000" w:themeColor="text1"/>
                <w:sz w:val="24"/>
                <w14:textFill>
                  <w14:solidFill>
                    <w14:schemeClr w14:val="tx1"/>
                  </w14:solidFill>
                </w14:textFill>
              </w:rPr>
              <w:t>工作制度及劳动定员一览表</w:t>
            </w:r>
          </w:p>
          <w:tbl>
            <w:tblPr>
              <w:tblStyle w:val="26"/>
              <w:tblW w:w="915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290"/>
              <w:gridCol w:w="1745"/>
              <w:gridCol w:w="2993"/>
              <w:gridCol w:w="1840"/>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340" w:hRule="atLeast"/>
                <w:jc w:val="center"/>
              </w:trPr>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t>项目</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t>劳动定员</w:t>
                  </w:r>
                </w:p>
              </w:tc>
              <w:tc>
                <w:tcPr>
                  <w:tcW w:w="17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t>食宿情况</w:t>
                  </w:r>
                </w:p>
              </w:tc>
              <w:tc>
                <w:tcPr>
                  <w:tcW w:w="2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t>工作制度</w:t>
                  </w:r>
                </w:p>
              </w:tc>
              <w:tc>
                <w:tcPr>
                  <w:tcW w:w="18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t>年工作时数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t>变动后</w:t>
                  </w:r>
                </w:p>
              </w:tc>
              <w:tc>
                <w:tcPr>
                  <w:tcW w:w="129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t>20人</w:t>
                  </w:r>
                </w:p>
              </w:tc>
              <w:tc>
                <w:tcPr>
                  <w:tcW w:w="17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t>不食宿</w:t>
                  </w:r>
                </w:p>
              </w:tc>
              <w:tc>
                <w:tcPr>
                  <w:tcW w:w="2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t>8小时/天，300天/年</w:t>
                  </w:r>
                </w:p>
              </w:tc>
              <w:tc>
                <w:tcPr>
                  <w:tcW w:w="184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t>2400小时</w:t>
                  </w:r>
                </w:p>
              </w:tc>
            </w:tr>
          </w:tbl>
          <w:p>
            <w:pPr>
              <w:spacing w:beforeLines="50" w:line="360" w:lineRule="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1.2.8项目进度安排</w:t>
            </w:r>
          </w:p>
          <w:p>
            <w:pPr>
              <w:pStyle w:val="2"/>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iCs/>
                <w:caps w:val="0"/>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b w:val="0"/>
                <w:bCs/>
                <w:iCs/>
                <w:caps w:val="0"/>
                <w:color w:val="000000" w:themeColor="text1"/>
                <w:sz w:val="24"/>
                <w:szCs w:val="24"/>
                <w14:textFill>
                  <w14:solidFill>
                    <w14:schemeClr w14:val="tx1"/>
                  </w14:solidFill>
                </w14:textFill>
              </w:rPr>
              <w:t>项目进度安排</w:t>
            </w:r>
            <w:r>
              <w:rPr>
                <w:rFonts w:hint="default" w:ascii="Times New Roman" w:hAnsi="Times New Roman" w:eastAsia="宋体" w:cs="Times New Roman"/>
                <w:b w:val="0"/>
                <w:bCs/>
                <w:iCs/>
                <w:cap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iCs/>
                <w:caps w:val="0"/>
                <w:color w:val="000000" w:themeColor="text1"/>
                <w:sz w:val="24"/>
                <w:szCs w:val="24"/>
                <w14:textFill>
                  <w14:solidFill>
                    <w14:schemeClr w14:val="tx1"/>
                  </w14:solidFill>
                </w14:textFill>
              </w:rPr>
              <w:t>详见下表</w:t>
            </w:r>
            <w:r>
              <w:rPr>
                <w:rFonts w:hint="default" w:ascii="Times New Roman" w:hAnsi="Times New Roman" w:eastAsia="宋体" w:cs="Times New Roman"/>
                <w:b w:val="0"/>
                <w:bCs/>
                <w:caps w:val="0"/>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50"/>
              <w:jc w:val="center"/>
              <w:textAlignment w:val="auto"/>
              <w:rPr>
                <w:rFonts w:hint="default" w:ascii="Times New Roman" w:hAnsi="Times New Roman" w:eastAsia="宋体" w:cs="Times New Roman"/>
                <w:b/>
                <w:bCs/>
                <w:color w:val="000000" w:themeColor="text1"/>
                <w:spacing w:val="6"/>
                <w:sz w:val="24"/>
                <w:highlight w:val="none"/>
                <w14:textFill>
                  <w14:solidFill>
                    <w14:schemeClr w14:val="tx1"/>
                  </w14:solidFill>
                </w14:textFill>
              </w:rPr>
            </w:pPr>
            <w:r>
              <w:rPr>
                <w:rFonts w:hint="default" w:ascii="Times New Roman" w:hAnsi="Times New Roman" w:eastAsia="宋体" w:cs="Times New Roman"/>
                <w:b/>
                <w:bCs/>
                <w:color w:val="000000" w:themeColor="text1"/>
                <w:spacing w:val="6"/>
                <w:sz w:val="24"/>
                <w:highlight w:val="none"/>
                <w14:textFill>
                  <w14:solidFill>
                    <w14:schemeClr w14:val="tx1"/>
                  </w14:solidFill>
                </w14:textFill>
              </w:rPr>
              <w:t>表1.2-</w:t>
            </w:r>
            <w:r>
              <w:rPr>
                <w:rFonts w:hint="default" w:ascii="Times New Roman" w:hAnsi="Times New Roman" w:eastAsia="宋体" w:cs="Times New Roman"/>
                <w:b/>
                <w:bCs/>
                <w:color w:val="000000" w:themeColor="text1"/>
                <w:spacing w:val="6"/>
                <w:sz w:val="24"/>
                <w:highlight w:val="none"/>
                <w:lang w:val="en-US" w:eastAsia="zh-CN"/>
                <w14:textFill>
                  <w14:solidFill>
                    <w14:schemeClr w14:val="tx1"/>
                  </w14:solidFill>
                </w14:textFill>
              </w:rPr>
              <w:t xml:space="preserve">8 </w:t>
            </w:r>
            <w:r>
              <w:rPr>
                <w:rFonts w:hint="default" w:ascii="Times New Roman" w:hAnsi="Times New Roman" w:eastAsia="宋体" w:cs="Times New Roman"/>
                <w:b/>
                <w:color w:val="000000" w:themeColor="text1"/>
                <w:sz w:val="24"/>
                <w:highlight w:val="none"/>
                <w14:textFill>
                  <w14:solidFill>
                    <w14:schemeClr w14:val="tx1"/>
                  </w14:solidFill>
                </w14:textFill>
              </w:rPr>
              <w:t>项目进度安排</w:t>
            </w:r>
          </w:p>
          <w:tbl>
            <w:tblPr>
              <w:tblStyle w:val="26"/>
              <w:tblW w:w="921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2297"/>
              <w:gridCol w:w="2313"/>
              <w:gridCol w:w="23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96" w:type="dxa"/>
                  <w:vAlign w:val="center"/>
                </w:tcPr>
                <w:p>
                  <w:pPr>
                    <w:jc w:val="cente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Cs w:val="21"/>
                      <w:highlight w:val="none"/>
                      <w:lang w:eastAsia="zh-CN"/>
                      <w14:textFill>
                        <w14:solidFill>
                          <w14:schemeClr w14:val="tx1"/>
                        </w14:solidFill>
                      </w14:textFill>
                    </w:rPr>
                    <w:t>环评审批</w:t>
                  </w:r>
                </w:p>
              </w:tc>
              <w:tc>
                <w:tcPr>
                  <w:tcW w:w="2297" w:type="dxa"/>
                  <w:vAlign w:val="center"/>
                </w:tcPr>
                <w:p>
                  <w:pPr>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厂房建设</w:t>
                  </w:r>
                </w:p>
              </w:tc>
              <w:tc>
                <w:tcPr>
                  <w:tcW w:w="2313" w:type="dxa"/>
                  <w:vAlign w:val="center"/>
                </w:tcPr>
                <w:p>
                  <w:pPr>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设备安装</w:t>
                  </w:r>
                </w:p>
              </w:tc>
              <w:tc>
                <w:tcPr>
                  <w:tcW w:w="2313" w:type="dxa"/>
                  <w:vAlign w:val="center"/>
                </w:tcPr>
                <w:p>
                  <w:pPr>
                    <w:jc w:val="center"/>
                    <w:rPr>
                      <w:rFonts w:hint="default" w:ascii="Times New Roman" w:hAnsi="Times New Roman" w:eastAsia="宋体" w:cs="Times New Roman"/>
                      <w:b/>
                      <w:bCs/>
                      <w:color w:val="000000" w:themeColor="text1"/>
                      <w:szCs w:val="21"/>
                      <w:highlight w:val="none"/>
                      <w14:textFill>
                        <w14:solidFill>
                          <w14:schemeClr w14:val="tx1"/>
                        </w14:solidFill>
                      </w14:textFill>
                    </w:rPr>
                  </w:pPr>
                  <w:r>
                    <w:rPr>
                      <w:rFonts w:hint="default" w:ascii="Times New Roman" w:hAnsi="Times New Roman" w:eastAsia="宋体" w:cs="Times New Roman"/>
                      <w:b/>
                      <w:bCs/>
                      <w:color w:val="000000" w:themeColor="text1"/>
                      <w:szCs w:val="21"/>
                      <w:highlight w:val="none"/>
                      <w14:textFill>
                        <w14:solidFill>
                          <w14:schemeClr w14:val="tx1"/>
                        </w14:solidFill>
                      </w14:textFill>
                    </w:rPr>
                    <w:t>试生产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296" w:type="dxa"/>
                  <w:vAlign w:val="center"/>
                </w:tcPr>
                <w:p>
                  <w:pP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2019年9月</w:t>
                  </w:r>
                </w:p>
              </w:tc>
              <w:tc>
                <w:tcPr>
                  <w:tcW w:w="2297" w:type="dxa"/>
                  <w:vAlign w:val="center"/>
                </w:tcPr>
                <w:p>
                  <w:pPr>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利用现成厂房</w:t>
                  </w:r>
                </w:p>
              </w:tc>
              <w:tc>
                <w:tcPr>
                  <w:tcW w:w="2313" w:type="dxa"/>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2019年</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Cs w:val="21"/>
                      <w:highlight w:val="none"/>
                      <w14:textFill>
                        <w14:solidFill>
                          <w14:schemeClr w14:val="tx1"/>
                        </w14:solidFill>
                      </w14:textFill>
                    </w:rPr>
                    <w:t>月</w:t>
                  </w:r>
                </w:p>
              </w:tc>
              <w:tc>
                <w:tcPr>
                  <w:tcW w:w="2313" w:type="dxa"/>
                  <w:vAlign w:val="center"/>
                </w:tcPr>
                <w:p>
                  <w:pP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2019年</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Cs w:val="21"/>
                      <w:highlight w:val="none"/>
                      <w14:textFill>
                        <w14:solidFill>
                          <w14:schemeClr w14:val="tx1"/>
                        </w14:solidFill>
                      </w14:textFill>
                    </w:rPr>
                    <w:t>月</w:t>
                  </w:r>
                </w:p>
              </w:tc>
            </w:tr>
          </w:tbl>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1.3项目地理位置及周边环境状况</w:t>
            </w:r>
          </w:p>
          <w:p>
            <w:pPr>
              <w:pStyle w:val="72"/>
              <w:adjustRightInd/>
              <w:ind w:firstLine="0"/>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1.3.1项目地理位置</w:t>
            </w:r>
          </w:p>
          <w:p>
            <w:pPr>
              <w:pStyle w:val="53"/>
              <w:spacing w:before="0"/>
              <w:ind w:firstLine="480" w:firstLineChars="200"/>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0"/>
                <w:lang w:val="en-US" w:eastAsia="zh-CN"/>
                <w14:textFill>
                  <w14:solidFill>
                    <w14:schemeClr w14:val="tx1"/>
                  </w14:solidFill>
                </w14:textFill>
              </w:rPr>
              <w:t>本</w:t>
            </w:r>
            <w:r>
              <w:rPr>
                <w:rFonts w:hint="default" w:ascii="Times New Roman" w:hAnsi="Times New Roman" w:eastAsia="宋体" w:cs="Times New Roman"/>
                <w:color w:val="000000" w:themeColor="text1"/>
                <w:lang w:val="en-US" w:eastAsia="zh-CN"/>
                <w14:textFill>
                  <w14:solidFill>
                    <w14:schemeClr w14:val="tx1"/>
                  </w14:solidFill>
                </w14:textFill>
              </w:rPr>
              <w:t>项目选址于佛冈县汤塘镇三门管理区下围队，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北纬23°47′05.14″，东经113°30′46.30″</w:t>
            </w:r>
            <w:r>
              <w:rPr>
                <w:rFonts w:hint="default"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szCs w:val="20"/>
                <w:lang w:val="en-US" w:eastAsia="zh-CN"/>
                <w14:textFill>
                  <w14:solidFill>
                    <w14:schemeClr w14:val="tx1"/>
                  </w14:solidFill>
                </w14:textFill>
              </w:rPr>
              <w:t>建设地点水、电、道路、通信等基础设施配套齐全，建设条件良好</w:t>
            </w:r>
            <w:r>
              <w:rPr>
                <w:rFonts w:hint="default" w:ascii="Times New Roman" w:hAnsi="Times New Roman" w:eastAsia="宋体" w:cs="Times New Roman"/>
                <w:color w:val="000000" w:themeColor="text1"/>
                <w:szCs w:val="20"/>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项目地理位置详见附图1。</w:t>
            </w:r>
          </w:p>
          <w:p>
            <w:pPr>
              <w:pStyle w:val="72"/>
              <w:adjustRightInd/>
              <w:ind w:firstLine="0"/>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1.3.2周边环境状况</w:t>
            </w:r>
          </w:p>
          <w:p>
            <w:pPr>
              <w:pStyle w:val="72"/>
              <w:adjustRightInd/>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本项目选址区东面隔竹林80m处为106国道，南面为山地，西面为山地，北面为潖江</w:t>
            </w:r>
            <w:r>
              <w:rPr>
                <w:rFonts w:hint="default" w:ascii="Times New Roman" w:hAnsi="Times New Roman" w:eastAsia="宋体" w:cs="Times New Roman"/>
                <w:color w:val="000000" w:themeColor="text1"/>
                <w:highlight w:val="none"/>
                <w14:textFill>
                  <w14:solidFill>
                    <w14:schemeClr w14:val="tx1"/>
                  </w14:solidFill>
                </w14:textFill>
              </w:rPr>
              <w:t>。项目周边环境现状详见附图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highlight w:val="none"/>
                <w14:textFill>
                  <w14:solidFill>
                    <w14:schemeClr w14:val="tx1"/>
                  </w14:solidFill>
                </w14:textFill>
              </w:rPr>
              <w:t>。</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1.4与本</w:t>
            </w:r>
            <w:r>
              <w:rPr>
                <w:rFonts w:hint="default" w:ascii="Times New Roman" w:hAnsi="Times New Roman" w:eastAsia="宋体" w:cs="Times New Roman"/>
                <w:b/>
                <w:bCs w:val="0"/>
                <w:color w:val="000000" w:themeColor="text1"/>
                <w:sz w:val="28"/>
                <w:szCs w:val="28"/>
                <w:highlight w:val="none"/>
                <w14:textFill>
                  <w14:solidFill>
                    <w14:schemeClr w14:val="tx1"/>
                  </w14:solidFill>
                </w14:textFill>
              </w:rPr>
              <w:t>项目</w:t>
            </w:r>
            <w:r>
              <w:rPr>
                <w:rFonts w:hint="default" w:ascii="Times New Roman" w:hAnsi="Times New Roman" w:eastAsia="宋体" w:cs="Times New Roman"/>
                <w:b/>
                <w:color w:val="000000" w:themeColor="text1"/>
                <w:sz w:val="28"/>
                <w:szCs w:val="28"/>
                <w:highlight w:val="none"/>
                <w14:textFill>
                  <w14:solidFill>
                    <w14:schemeClr w14:val="tx1"/>
                  </w14:solidFill>
                </w14:textFill>
              </w:rPr>
              <w:t>有关的原有污染情况及主要环境问题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iCs/>
                <w:color w:val="000000" w:themeColor="text1"/>
                <w:sz w:val="24"/>
                <w:szCs w:val="24"/>
                <w:highlight w:val="none"/>
                <w14:textFill>
                  <w14:solidFill>
                    <w14:schemeClr w14:val="tx1"/>
                  </w14:solidFill>
                </w14:textFill>
              </w:rPr>
              <w:t>1.4.1区域</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污染源调查</w:t>
            </w:r>
          </w:p>
          <w:p>
            <w:pPr>
              <w:pStyle w:val="23"/>
              <w:widowControl w:val="0"/>
              <w:spacing w:before="15" w:beforeAutospacing="0" w:after="0" w:afterAutospacing="0" w:line="360" w:lineRule="auto"/>
              <w:jc w:val="both"/>
              <w:rPr>
                <w:rFonts w:hint="default" w:ascii="Times New Roman" w:hAnsi="Times New Roman" w:eastAsia="宋体" w:cs="Times New Roman"/>
                <w:b/>
                <w:bCs/>
                <w:color w:val="000000" w:themeColor="text1"/>
                <w:szCs w:val="20"/>
                <w:highlight w:val="none"/>
                <w14:textFill>
                  <w14:solidFill>
                    <w14:schemeClr w14:val="tx1"/>
                  </w14:solidFill>
                </w14:textFill>
              </w:rPr>
            </w:pPr>
            <w:r>
              <w:rPr>
                <w:rFonts w:hint="default" w:ascii="Times New Roman" w:hAnsi="Times New Roman" w:eastAsia="宋体" w:cs="Times New Roman"/>
                <w:b/>
                <w:bCs/>
                <w:color w:val="000000" w:themeColor="text1"/>
                <w:kern w:val="2"/>
                <w:highlight w:val="none"/>
                <w14:textFill>
                  <w14:solidFill>
                    <w14:schemeClr w14:val="tx1"/>
                  </w14:solidFill>
                </w14:textFill>
              </w:rPr>
              <w:t>1.4.1.1</w:t>
            </w:r>
            <w:r>
              <w:rPr>
                <w:rFonts w:hint="default" w:ascii="Times New Roman" w:hAnsi="Times New Roman" w:eastAsia="宋体" w:cs="Times New Roman"/>
                <w:b/>
                <w:bCs/>
                <w:color w:val="000000" w:themeColor="text1"/>
                <w:szCs w:val="20"/>
                <w:highlight w:val="none"/>
                <w14:textFill>
                  <w14:solidFill>
                    <w14:schemeClr w14:val="tx1"/>
                  </w14:solidFill>
                </w14:textFill>
              </w:rPr>
              <w:t>与本项目有关的原有污染情况</w:t>
            </w:r>
          </w:p>
          <w:p>
            <w:pPr>
              <w:pStyle w:val="2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本项目为新建项目重新报批，厂房及</w:t>
            </w:r>
            <w:r>
              <w:rPr>
                <w:rFonts w:hint="default" w:ascii="Times New Roman" w:hAnsi="Times New Roman" w:eastAsia="宋体" w:cs="Times New Roman"/>
                <w:color w:val="000000" w:themeColor="text1"/>
                <w:lang w:eastAsia="zh-CN"/>
                <w14:textFill>
                  <w14:solidFill>
                    <w14:schemeClr w14:val="tx1"/>
                  </w14:solidFill>
                </w14:textFill>
              </w:rPr>
              <w:t>其他</w:t>
            </w:r>
            <w:r>
              <w:rPr>
                <w:rFonts w:hint="default" w:ascii="Times New Roman" w:hAnsi="Times New Roman" w:eastAsia="宋体" w:cs="Times New Roman"/>
                <w:color w:val="000000" w:themeColor="text1"/>
                <w14:textFill>
                  <w14:solidFill>
                    <w14:schemeClr w14:val="tx1"/>
                  </w14:solidFill>
                </w14:textFill>
              </w:rPr>
              <w:t>构筑物</w:t>
            </w:r>
            <w:r>
              <w:rPr>
                <w:rFonts w:hint="default" w:ascii="Times New Roman" w:hAnsi="Times New Roman" w:eastAsia="宋体" w:cs="Times New Roman"/>
                <w:color w:val="000000" w:themeColor="text1"/>
                <w:lang w:eastAsia="zh-CN"/>
                <w14:textFill>
                  <w14:solidFill>
                    <w14:schemeClr w14:val="tx1"/>
                  </w14:solidFill>
                </w14:textFill>
              </w:rPr>
              <w:t>均为现状构筑物</w:t>
            </w:r>
            <w:r>
              <w:rPr>
                <w:rFonts w:hint="default" w:ascii="Times New Roman" w:hAnsi="Times New Roman" w:eastAsia="宋体" w:cs="Times New Roman"/>
                <w:color w:val="000000" w:themeColor="text1"/>
                <w14:textFill>
                  <w14:solidFill>
                    <w14:schemeClr w14:val="tx1"/>
                  </w14:solidFill>
                </w14:textFill>
              </w:rPr>
              <w:t>，故不存在与本项目有关的原有污染情况。</w:t>
            </w:r>
          </w:p>
          <w:p>
            <w:pPr>
              <w:pStyle w:val="72"/>
              <w:keepNext w:val="0"/>
              <w:keepLines w:val="0"/>
              <w:pageBreakBefore w:val="0"/>
              <w:widowControl w:val="0"/>
              <w:kinsoku/>
              <w:wordWrap/>
              <w:overflowPunct/>
              <w:topLinePunct w:val="0"/>
              <w:autoSpaceDE/>
              <w:autoSpaceDN/>
              <w:bidi w:val="0"/>
              <w:adjustRightInd/>
              <w:spacing w:before="60" w:after="60" w:line="440" w:lineRule="exact"/>
              <w:ind w:firstLine="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iCs/>
                <w:caps w:val="0"/>
                <w:color w:val="000000" w:themeColor="text1"/>
                <w:lang w:eastAsia="zh-CN"/>
                <w14:textFill>
                  <w14:solidFill>
                    <w14:schemeClr w14:val="tx1"/>
                  </w14:solidFill>
                </w14:textFill>
              </w:rPr>
              <w:t>一、</w:t>
            </w:r>
            <w:r>
              <w:rPr>
                <w:rFonts w:hint="default" w:ascii="Times New Roman" w:hAnsi="Times New Roman" w:eastAsia="宋体" w:cs="Times New Roman"/>
                <w:b/>
                <w:iCs/>
                <w:caps w:val="0"/>
                <w:color w:val="000000" w:themeColor="text1"/>
                <w14:textFill>
                  <w14:solidFill>
                    <w14:schemeClr w14:val="tx1"/>
                  </w14:solidFill>
                </w14:textFill>
              </w:rPr>
              <w:t>原有工程生产工艺</w:t>
            </w:r>
          </w:p>
          <w:p>
            <w:pPr>
              <w:pStyle w:val="2"/>
              <w:keepNext w:val="0"/>
              <w:keepLines w:val="0"/>
              <w:pageBreakBefore w:val="0"/>
              <w:widowControl w:val="0"/>
              <w:kinsoku/>
              <w:wordWrap/>
              <w:overflowPunct/>
              <w:topLinePunct w:val="0"/>
              <w:autoSpaceDE/>
              <w:autoSpaceDN/>
              <w:bidi w:val="0"/>
              <w:adjustRightInd/>
              <w:snapToGrid/>
              <w:ind w:left="0" w:firstLine="0"/>
              <w:textAlignment w:val="auto"/>
              <w:outlineLvl w:val="9"/>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853430" cy="2559050"/>
                  <wp:effectExtent l="0" t="0" r="13970" b="12700"/>
                  <wp:docPr id="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pic:cNvPicPr>
                            <a:picLocks noChangeAspect="1"/>
                          </pic:cNvPicPr>
                        </pic:nvPicPr>
                        <pic:blipFill>
                          <a:blip r:embed="rId6"/>
                          <a:stretch>
                            <a:fillRect/>
                          </a:stretch>
                        </pic:blipFill>
                        <pic:spPr>
                          <a:xfrm>
                            <a:off x="0" y="0"/>
                            <a:ext cx="5853430" cy="2559050"/>
                          </a:xfrm>
                          <a:prstGeom prst="rect">
                            <a:avLst/>
                          </a:prstGeom>
                          <a:noFill/>
                          <a:ln>
                            <a:noFill/>
                          </a:ln>
                        </pic:spPr>
                      </pic:pic>
                    </a:graphicData>
                  </a:graphic>
                </wp:inline>
              </w:drawing>
            </w:r>
          </w:p>
          <w:p>
            <w:pPr>
              <w:pStyle w:val="19"/>
              <w:spacing w:after="0" w:line="360" w:lineRule="auto"/>
              <w:ind w:left="0" w:leftChars="0" w:firstLine="482" w:firstLineChars="200"/>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图</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1.4-1  原工程生产工艺流程图</w:t>
            </w:r>
          </w:p>
          <w:p>
            <w:pPr>
              <w:pStyle w:val="19"/>
              <w:spacing w:after="0" w:line="360" w:lineRule="auto"/>
              <w:ind w:left="0" w:leftChars="0" w:firstLine="482" w:firstLineChars="200"/>
              <w:rPr>
                <w:rFonts w:hint="default" w:ascii="Times New Roman" w:hAnsi="Times New Roman" w:eastAsia="宋体" w:cs="Times New Roman"/>
                <w:b/>
                <w:bCs w:val="0"/>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lang w:eastAsia="zh-CN"/>
                <w14:textFill>
                  <w14:solidFill>
                    <w14:schemeClr w14:val="tx1"/>
                  </w14:solidFill>
                </w14:textFill>
              </w:rPr>
              <w:t>工艺流程说明：</w:t>
            </w:r>
          </w:p>
          <w:p>
            <w:pPr>
              <w:pStyle w:val="19"/>
              <w:spacing w:after="0" w:line="360" w:lineRule="auto"/>
              <w:ind w:left="0" w:leftChars="0" w:firstLine="480" w:firstLineChars="200"/>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Cs/>
                <w:color w:val="000000" w:themeColor="text1"/>
                <w:kern w:val="0"/>
                <w:sz w:val="24"/>
                <w:szCs w:val="24"/>
                <w14:textFill>
                  <w14:solidFill>
                    <w14:schemeClr w14:val="tx1"/>
                  </w14:solidFill>
                </w14:textFill>
              </w:rPr>
              <w:t>外购经筛选目二氧化硅达到99.50%以上，目数为40-100目的石英砂，通过输送带送至酸洗灌，将草酸溶液（通过加热</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最高</w:t>
            </w:r>
            <w:r>
              <w:rPr>
                <w:rFonts w:hint="default" w:ascii="Times New Roman" w:hAnsi="Times New Roman" w:eastAsia="宋体" w:cs="Times New Roman"/>
                <w:bCs/>
                <w:color w:val="000000" w:themeColor="text1"/>
                <w:kern w:val="0"/>
                <w:sz w:val="24"/>
                <w:szCs w:val="24"/>
                <w14:textFill>
                  <w14:solidFill>
                    <w14:schemeClr w14:val="tx1"/>
                  </w14:solidFill>
                </w14:textFill>
              </w:rPr>
              <w:t>至80℃的草酸溶液）加入酸洗罐中，密封反应8小时后放出反应罐中的草酸溶液至循环酸桶中，循环使用，循环使用3次后排入废水处理设施处理后回用。酸洗后的石英砂在螺旋机上进行水洗脱酸，脱酸后的石英砂经过机械脱水后经烘干机（燃料为</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天然气</w:t>
            </w:r>
            <w:r>
              <w:rPr>
                <w:rFonts w:hint="default" w:ascii="Times New Roman" w:hAnsi="Times New Roman" w:eastAsia="宋体" w:cs="Times New Roman"/>
                <w:bCs/>
                <w:color w:val="000000" w:themeColor="text1"/>
                <w:kern w:val="0"/>
                <w:sz w:val="24"/>
                <w:szCs w:val="24"/>
                <w14:textFill>
                  <w14:solidFill>
                    <w14:schemeClr w14:val="tx1"/>
                  </w14:solidFill>
                </w14:textFill>
              </w:rPr>
              <w:t>）烘干，烘干后的石英砂经输送带送至经振动筛分机筛分成不同规格的石英砂（分别为40-70目和70-100目），再将筛分后石英砂由输送带送至除铁机以去除铁质，最后将不同规格的石英砂进行包装。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14:textFill>
                  <w14:solidFill>
                    <w14:schemeClr w14:val="tx1"/>
                  </w14:solidFill>
                </w14:textFill>
              </w:rPr>
              <w:t>说明：</w:t>
            </w:r>
            <w:r>
              <w:rPr>
                <w:rFonts w:hint="default" w:ascii="Times New Roman" w:hAnsi="Times New Roman" w:eastAsia="宋体" w:cs="Times New Roman"/>
                <w:bCs/>
                <w:color w:val="000000" w:themeColor="text1"/>
                <w:kern w:val="0"/>
                <w:sz w:val="24"/>
                <w:szCs w:val="24"/>
                <w14:textFill>
                  <w14:solidFill>
                    <w14:schemeClr w14:val="tx1"/>
                  </w14:solidFill>
                </w14:textFill>
              </w:rPr>
              <w:t>草酸与石英砂表面的杂质（杂质的主要成份为氧化铁Fe</w:t>
            </w:r>
            <w:r>
              <w:rPr>
                <w:rFonts w:hint="default" w:ascii="Times New Roman" w:hAnsi="Times New Roman" w:eastAsia="宋体" w:cs="Times New Roman"/>
                <w:bCs/>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kern w:val="0"/>
                <w:sz w:val="24"/>
                <w:szCs w:val="24"/>
                <w14:textFill>
                  <w14:solidFill>
                    <w14:schemeClr w14:val="tx1"/>
                  </w14:solidFill>
                </w14:textFill>
              </w:rPr>
              <w:t>O</w:t>
            </w:r>
            <w:r>
              <w:rPr>
                <w:rFonts w:hint="default" w:ascii="Times New Roman" w:hAnsi="Times New Roman" w:eastAsia="宋体" w:cs="Times New Roman"/>
                <w:bCs/>
                <w:color w:val="000000" w:themeColor="text1"/>
                <w:kern w:val="0"/>
                <w:sz w:val="24"/>
                <w:szCs w:val="24"/>
                <w:vertAlign w:val="subscript"/>
                <w14:textFill>
                  <w14:solidFill>
                    <w14:schemeClr w14:val="tx1"/>
                  </w14:solidFill>
                </w14:textFill>
              </w:rPr>
              <w:t>3</w:t>
            </w:r>
            <w:r>
              <w:rPr>
                <w:rFonts w:hint="default" w:ascii="Times New Roman" w:hAnsi="Times New Roman" w:eastAsia="宋体" w:cs="Times New Roman"/>
                <w:bCs/>
                <w:color w:val="000000" w:themeColor="text1"/>
                <w:kern w:val="0"/>
                <w:sz w:val="24"/>
                <w:szCs w:val="24"/>
                <w14:textFill>
                  <w14:solidFill>
                    <w14:schemeClr w14:val="tx1"/>
                  </w14:solidFill>
                </w14:textFill>
              </w:rPr>
              <w:t>、氧化镁MgO、氧化铝Al</w:t>
            </w:r>
            <w:r>
              <w:rPr>
                <w:rFonts w:hint="default" w:ascii="Times New Roman" w:hAnsi="Times New Roman" w:eastAsia="宋体" w:cs="Times New Roman"/>
                <w:bCs/>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bCs/>
                <w:color w:val="000000" w:themeColor="text1"/>
                <w:kern w:val="0"/>
                <w:sz w:val="24"/>
                <w:szCs w:val="24"/>
                <w14:textFill>
                  <w14:solidFill>
                    <w14:schemeClr w14:val="tx1"/>
                  </w14:solidFill>
                </w14:textFill>
              </w:rPr>
              <w:t>O</w:t>
            </w:r>
            <w:r>
              <w:rPr>
                <w:rFonts w:hint="default" w:ascii="Times New Roman" w:hAnsi="Times New Roman" w:eastAsia="宋体" w:cs="Times New Roman"/>
                <w:bCs/>
                <w:color w:val="000000" w:themeColor="text1"/>
                <w:kern w:val="0"/>
                <w:sz w:val="24"/>
                <w:szCs w:val="24"/>
                <w:vertAlign w:val="subscript"/>
                <w14:textFill>
                  <w14:solidFill>
                    <w14:schemeClr w14:val="tx1"/>
                  </w14:solidFill>
                </w14:textFill>
              </w:rPr>
              <w:t>3</w:t>
            </w:r>
            <w:r>
              <w:rPr>
                <w:rFonts w:hint="default" w:ascii="Times New Roman" w:hAnsi="Times New Roman" w:eastAsia="宋体" w:cs="Times New Roman"/>
                <w:bCs/>
                <w:color w:val="000000" w:themeColor="text1"/>
                <w:kern w:val="0"/>
                <w:sz w:val="24"/>
                <w:szCs w:val="24"/>
                <w14:textFill>
                  <w14:solidFill>
                    <w14:schemeClr w14:val="tx1"/>
                  </w14:solidFill>
                </w14:textFill>
              </w:rPr>
              <w:t>）发生反应</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14:textFill>
                  <w14:solidFill>
                    <w14:schemeClr w14:val="tx1"/>
                  </w14:solidFill>
                </w14:textFill>
              </w:rPr>
              <w:t>从而达到去除石英砂表面的杂质及色度</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，以符合</w:t>
            </w:r>
            <w:r>
              <w:rPr>
                <w:rFonts w:hint="default" w:ascii="Times New Roman" w:hAnsi="Times New Roman" w:eastAsia="宋体" w:cs="Times New Roman"/>
                <w:bCs/>
                <w:color w:val="000000" w:themeColor="text1"/>
                <w:kern w:val="0"/>
                <w:sz w:val="24"/>
                <w:szCs w:val="24"/>
                <w14:textFill>
                  <w14:solidFill>
                    <w14:schemeClr w14:val="tx1"/>
                  </w14:solidFill>
                </w14:textFill>
              </w:rPr>
              <w:t>石英砂产品的</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品质要求。</w:t>
            </w:r>
          </w:p>
          <w:p>
            <w:pPr>
              <w:pStyle w:val="23"/>
              <w:widowControl w:val="0"/>
              <w:spacing w:before="15" w:beforeAutospacing="0" w:after="0" w:afterAutospacing="0" w:line="360" w:lineRule="auto"/>
              <w:jc w:val="both"/>
              <w:rPr>
                <w:rFonts w:hint="default" w:ascii="Times New Roman" w:hAnsi="Times New Roman" w:eastAsia="宋体" w:cs="Times New Roman"/>
                <w:b/>
                <w:bCs/>
                <w:color w:val="000000" w:themeColor="text1"/>
                <w:kern w:val="2"/>
                <w:highlight w:val="none"/>
                <w14:textFill>
                  <w14:solidFill>
                    <w14:schemeClr w14:val="tx1"/>
                  </w14:solidFill>
                </w14:textFill>
              </w:rPr>
            </w:pPr>
            <w:r>
              <w:rPr>
                <w:rFonts w:hint="default" w:ascii="Times New Roman" w:hAnsi="Times New Roman" w:eastAsia="宋体" w:cs="Times New Roman"/>
                <w:b/>
                <w:bCs/>
                <w:color w:val="000000" w:themeColor="text1"/>
                <w:kern w:val="2"/>
                <w:highlight w:val="none"/>
                <w14:textFill>
                  <w14:solidFill>
                    <w14:schemeClr w14:val="tx1"/>
                  </w14:solidFill>
                </w14:textFill>
              </w:rPr>
              <w:t>1.4.1.2</w:t>
            </w:r>
            <w:r>
              <w:rPr>
                <w:rFonts w:hint="default" w:ascii="Times New Roman" w:hAnsi="Times New Roman" w:eastAsia="宋体" w:cs="Times New Roman"/>
                <w:b/>
                <w:bCs/>
                <w:color w:val="000000" w:themeColor="text1"/>
                <w:szCs w:val="20"/>
                <w:highlight w:val="none"/>
                <w14:textFill>
                  <w14:solidFill>
                    <w14:schemeClr w14:val="tx1"/>
                  </w14:solidFill>
                </w14:textFill>
              </w:rPr>
              <w:t>项目周边</w:t>
            </w:r>
            <w:r>
              <w:rPr>
                <w:rFonts w:hint="default" w:ascii="Times New Roman" w:hAnsi="Times New Roman" w:eastAsia="宋体" w:cs="Times New Roman"/>
                <w:b/>
                <w:bCs/>
                <w:color w:val="000000" w:themeColor="text1"/>
                <w:highlight w:val="none"/>
                <w14:textFill>
                  <w14:solidFill>
                    <w14:schemeClr w14:val="tx1"/>
                  </w14:solidFill>
                </w14:textFill>
              </w:rPr>
              <w:t>污染源调查</w:t>
            </w:r>
          </w:p>
          <w:p>
            <w:pPr>
              <w:spacing w:line="360" w:lineRule="auto"/>
              <w:ind w:firstLine="480" w:firstLineChars="200"/>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原项目正在建设，尚未验收投产，原项目从建设至今，未受到过环保投诉。</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与本项目有关的周边环境问题是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临近的</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交通道路产生的汽车尾气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、交通</w:t>
            </w:r>
            <w:r>
              <w:rPr>
                <w:rFonts w:hint="default" w:ascii="Times New Roman" w:hAnsi="Times New Roman" w:eastAsia="宋体" w:cs="Times New Roman"/>
                <w:color w:val="000000" w:themeColor="text1"/>
                <w:sz w:val="24"/>
                <w:szCs w:val="24"/>
                <w:highlight w:val="none"/>
                <w14:textFill>
                  <w14:solidFill>
                    <w14:schemeClr w14:val="tx1"/>
                  </w14:solidFill>
                </w14:textFill>
              </w:rPr>
              <w:t>噪声等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以及附近农村居民产生的生活污水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和</w:t>
            </w:r>
            <w:r>
              <w:rPr>
                <w:rFonts w:hint="default" w:ascii="Times New Roman" w:hAnsi="Times New Roman" w:eastAsia="宋体" w:cs="Times New Roman"/>
                <w:color w:val="000000" w:themeColor="text1"/>
                <w:sz w:val="24"/>
                <w:szCs w:val="24"/>
                <w:highlight w:val="none"/>
                <w14:textFill>
                  <w14:solidFill>
                    <w14:schemeClr w14:val="tx1"/>
                  </w14:solidFill>
                </w14:textFill>
              </w:rPr>
              <w:t>生活垃圾。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iCs/>
                <w:color w:val="000000" w:themeColor="text1"/>
                <w:sz w:val="24"/>
                <w:szCs w:val="24"/>
                <w:highlight w:val="none"/>
                <w14:textFill>
                  <w14:solidFill>
                    <w14:schemeClr w14:val="tx1"/>
                  </w14:solidFill>
                </w14:textFill>
              </w:rPr>
              <w:t>1.4.2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区域</w:t>
            </w:r>
            <w:r>
              <w:rPr>
                <w:rFonts w:hint="default" w:ascii="Times New Roman" w:hAnsi="Times New Roman" w:eastAsia="宋体" w:cs="Times New Roman"/>
                <w:b/>
                <w:color w:val="000000" w:themeColor="text1"/>
                <w:sz w:val="24"/>
                <w:szCs w:val="24"/>
                <w:highlight w:val="none"/>
                <w14:textFill>
                  <w14:solidFill>
                    <w14:schemeClr w14:val="tx1"/>
                  </w14:solidFill>
                </w14:textFill>
              </w:rPr>
              <w:t>主要环境问题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本项目区域为</w:t>
            </w:r>
            <w:r>
              <w:rPr>
                <w:rFonts w:hint="default" w:ascii="Times New Roman" w:hAnsi="Times New Roman" w:eastAsia="宋体" w:cs="Times New Roman"/>
                <w:color w:val="000000" w:themeColor="text1"/>
                <w:sz w:val="24"/>
                <w14:textFill>
                  <w14:solidFill>
                    <w14:schemeClr w14:val="tx1"/>
                  </w14:solidFill>
                </w14:textFill>
              </w:rPr>
              <w:t>已建成工业片区</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所在区域环境功能区划基本满足现有项目要求，未有明显的水土流失和地质灾害状况发生；到目前为止，本区域尚不存在突出环境问题，如环境容量超负荷、用地违背规划、生态敏感目标受到威胁等问题。</w:t>
            </w:r>
          </w:p>
          <w:p>
            <w:pPr>
              <w:spacing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iCs/>
                <w:color w:val="000000" w:themeColor="text1"/>
                <w:sz w:val="24"/>
                <w:szCs w:val="24"/>
                <w:highlight w:val="none"/>
                <w14:textFill>
                  <w14:solidFill>
                    <w14:schemeClr w14:val="tx1"/>
                  </w14:solidFill>
                </w14:textFill>
              </w:rPr>
              <w:t>1.4.3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区域生态调查</w:t>
            </w:r>
          </w:p>
          <w:p>
            <w:pPr>
              <w:pStyle w:val="23"/>
              <w:widowControl w:val="0"/>
              <w:spacing w:before="15" w:beforeAutospacing="0" w:after="0" w:afterAutospacing="0" w:line="360" w:lineRule="auto"/>
              <w:ind w:firstLine="480" w:firstLineChars="200"/>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根据现场踏勘，本项目所在区域现</w:t>
            </w:r>
            <w:r>
              <w:rPr>
                <w:rFonts w:hint="default" w:ascii="Times New Roman" w:hAnsi="Times New Roman" w:eastAsia="宋体" w:cs="Times New Roman"/>
                <w:color w:val="000000" w:themeColor="text1"/>
                <w:sz w:val="24"/>
                <w14:textFill>
                  <w14:solidFill>
                    <w14:schemeClr w14:val="tx1"/>
                  </w14:solidFill>
                </w14:textFill>
              </w:rPr>
              <w:t>已建成工业片区</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eastAsia="zh-CN"/>
                <w14:textFill>
                  <w14:solidFill>
                    <w14:schemeClr w14:val="tx1"/>
                  </w14:solidFill>
                </w14:textFill>
              </w:rPr>
              <w:t>片厂区内只有少量的人工绿地，片区周围是次生植被绿地，生态系统比较简单</w:t>
            </w:r>
            <w:r>
              <w:rPr>
                <w:rFonts w:hint="default" w:ascii="Times New Roman" w:hAnsi="Times New Roman" w:eastAsia="宋体" w:cs="Times New Roman"/>
                <w:color w:val="000000" w:themeColor="text1"/>
                <w:highlight w:val="none"/>
                <w14:textFill>
                  <w14:solidFill>
                    <w14:schemeClr w14:val="tx1"/>
                  </w14:solidFill>
                </w14:textFill>
              </w:rPr>
              <w:t>。</w:t>
            </w:r>
          </w:p>
          <w:p>
            <w:pPr>
              <w:pStyle w:val="23"/>
              <w:widowControl w:val="0"/>
              <w:spacing w:before="15" w:beforeAutospacing="0" w:after="0" w:afterAutospacing="0" w:line="360" w:lineRule="auto"/>
              <w:ind w:firstLine="480" w:firstLineChars="200"/>
              <w:jc w:val="both"/>
              <w:rPr>
                <w:rFonts w:hint="default" w:ascii="Times New Roman" w:hAnsi="Times New Roman" w:eastAsia="宋体" w:cs="Times New Roman"/>
                <w:color w:val="000000" w:themeColor="text1"/>
                <w:highlight w:val="none"/>
                <w14:textFill>
                  <w14:solidFill>
                    <w14:schemeClr w14:val="tx1"/>
                  </w14:solidFill>
                </w14:textFill>
              </w:rPr>
            </w:pPr>
          </w:p>
          <w:p>
            <w:pPr>
              <w:pStyle w:val="23"/>
              <w:widowControl w:val="0"/>
              <w:spacing w:before="15" w:beforeAutospacing="0" w:after="0" w:afterAutospacing="0" w:line="360" w:lineRule="auto"/>
              <w:ind w:firstLine="480" w:firstLineChars="200"/>
              <w:jc w:val="both"/>
              <w:rPr>
                <w:rFonts w:hint="default" w:ascii="Times New Roman" w:hAnsi="Times New Roman" w:eastAsia="宋体" w:cs="Times New Roman"/>
                <w:color w:val="000000" w:themeColor="text1"/>
                <w:highlight w:val="none"/>
                <w14:textFill>
                  <w14:solidFill>
                    <w14:schemeClr w14:val="tx1"/>
                  </w14:solidFill>
                </w14:textFill>
              </w:rPr>
            </w:pPr>
          </w:p>
        </w:tc>
      </w:tr>
    </w:tbl>
    <w:p>
      <w:pPr>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color w:val="000000" w:themeColor="text1"/>
          <w:sz w:val="32"/>
          <w:szCs w:val="32"/>
          <w:highlight w:val="none"/>
          <w14:textFill>
            <w14:solidFill>
              <w14:schemeClr w14:val="tx1"/>
            </w14:solidFill>
          </w14:textFill>
        </w:rPr>
        <w:br w:type="page"/>
      </w: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2" w:name="_Toc1054"/>
      <w:bookmarkStart w:id="3" w:name="_Toc24852"/>
      <w:r>
        <w:rPr>
          <w:rFonts w:hint="default" w:ascii="Times New Roman" w:hAnsi="Times New Roman" w:eastAsia="宋体" w:cs="Times New Roman"/>
          <w:b/>
          <w:bCs/>
          <w:color w:val="000000" w:themeColor="text1"/>
          <w:sz w:val="32"/>
          <w:szCs w:val="32"/>
          <w:highlight w:val="none"/>
          <w14:textFill>
            <w14:solidFill>
              <w14:schemeClr w14:val="tx1"/>
            </w14:solidFill>
          </w14:textFill>
        </w:rPr>
        <w:t>02.编制依据及环境功能区划</w:t>
      </w:r>
      <w:bookmarkEnd w:id="2"/>
      <w:bookmarkEnd w:id="3"/>
    </w:p>
    <w:tbl>
      <w:tblPr>
        <w:tblStyle w:val="26"/>
        <w:tblW w:w="9420" w:type="dxa"/>
        <w:jc w:val="center"/>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42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13435" w:hRule="atLeast"/>
          <w:jc w:val="center"/>
        </w:trPr>
        <w:tc>
          <w:tcPr>
            <w:tcW w:w="9420"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2.1国家法律及文件</w:t>
            </w:r>
          </w:p>
          <w:p>
            <w:pPr>
              <w:keepNext w:val="0"/>
              <w:keepLines w:val="0"/>
              <w:pageBreakBefore w:val="0"/>
              <w:widowControl w:val="0"/>
              <w:tabs>
                <w:tab w:val="left" w:pos="360"/>
                <w:tab w:val="left" w:pos="522"/>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◆《中华人民共和国环境保护法》（2015修订）</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◆《中华人民共和国环境影响评价法》（201</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8</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年修订）</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◆《中华人民共和国大气污染防治法》（</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2018年修订</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◆《中华人民共和国水污染防治法》（2017年修订）</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◆《中华人民共和国环境噪声污染防治法》（</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2018年修订</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◆《中华人民共和国固体废物污染环境防治法》（201</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年修订）</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◆《中华人民共和国清洁生产促进法》（2012年修订）</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◆《建设项目环境保护管理条例》（2017年修订）</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◆《国民经济行业分类》（GB/T4754-2017）</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◆《建设项目环境影响评价分类管理名录》（2018年修改单）</w:t>
            </w:r>
          </w:p>
          <w:p>
            <w:pPr>
              <w:tabs>
                <w:tab w:val="left" w:pos="360"/>
                <w:tab w:val="left" w:pos="522"/>
              </w:tabs>
              <w:spacing w:line="360" w:lineRule="auto"/>
              <w:ind w:firstLine="480" w:firstLineChars="200"/>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◆《“十三五”环境影响评价改革实施方案》（环保部2016年）</w:t>
            </w:r>
          </w:p>
          <w:p>
            <w:pPr>
              <w:tabs>
                <w:tab w:val="left" w:pos="360"/>
                <w:tab w:val="left" w:pos="522"/>
              </w:tabs>
              <w:spacing w:line="360" w:lineRule="auto"/>
              <w:ind w:firstLine="512" w:firstLineChars="200"/>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i w:val="0"/>
                <w:caps w:val="0"/>
                <w:color w:val="000000" w:themeColor="text1"/>
                <w:spacing w:val="8"/>
                <w:sz w:val="24"/>
                <w:szCs w:val="24"/>
                <w:shd w:val="clear" w:color="auto" w:fill="FFFFFF"/>
                <w14:textFill>
                  <w14:solidFill>
                    <w14:schemeClr w14:val="tx1"/>
                  </w14:solidFill>
                </w14:textFill>
              </w:rPr>
              <w:t>◆</w:t>
            </w:r>
            <w:r>
              <w:rPr>
                <w:rFonts w:hint="default" w:ascii="Times New Roman" w:hAnsi="Times New Roman" w:eastAsia="宋体" w:cs="Times New Roman"/>
                <w:b w:val="0"/>
                <w:i w:val="0"/>
                <w:caps w:val="0"/>
                <w:color w:val="000000" w:themeColor="text1"/>
                <w:spacing w:val="8"/>
                <w:sz w:val="24"/>
                <w:szCs w:val="24"/>
                <w:shd w:val="clear" w:color="auto" w:fill="FFFFFF"/>
                <w14:textFill>
                  <w14:solidFill>
                    <w14:schemeClr w14:val="tx1"/>
                  </w14:solidFill>
                </w14:textFill>
              </w:rPr>
              <w:t>《国务院关于全面加强生态环境保护坚决打好污染防治攻坚战的意见》</w:t>
            </w:r>
          </w:p>
          <w:p>
            <w:pPr>
              <w:tabs>
                <w:tab w:val="left" w:pos="360"/>
                <w:tab w:val="left" w:pos="522"/>
              </w:tabs>
              <w:spacing w:line="360" w:lineRule="auto"/>
              <w:ind w:firstLine="512" w:firstLineChars="20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i w:val="0"/>
                <w:caps w:val="0"/>
                <w:color w:val="000000" w:themeColor="text1"/>
                <w:spacing w:val="8"/>
                <w:sz w:val="24"/>
                <w:szCs w:val="24"/>
                <w:shd w:val="clear" w:color="auto" w:fill="FFFFFF"/>
                <w14:textFill>
                  <w14:solidFill>
                    <w14:schemeClr w14:val="tx1"/>
                  </w14:solidFill>
                </w14:textFill>
              </w:rPr>
              <w:t>◆</w:t>
            </w:r>
            <w:r>
              <w:rPr>
                <w:rFonts w:hint="default" w:ascii="Times New Roman" w:hAnsi="Times New Roman" w:eastAsia="宋体" w:cs="Times New Roman"/>
                <w:b w:val="0"/>
                <w:i w:val="0"/>
                <w:caps w:val="0"/>
                <w:color w:val="000000" w:themeColor="text1"/>
                <w:spacing w:val="8"/>
                <w:sz w:val="24"/>
                <w:szCs w:val="24"/>
                <w:shd w:val="clear" w:color="auto" w:fill="FFFFFF"/>
                <w14:textFill>
                  <w14:solidFill>
                    <w14:schemeClr w14:val="tx1"/>
                  </w14:solidFill>
                </w14:textFill>
              </w:rPr>
              <w:t>《国务院关于印发打赢蓝天保卫战三年行动计划的通知》</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2.2地方法规及管理文件</w:t>
            </w:r>
          </w:p>
          <w:p>
            <w:pPr>
              <w:keepNext w:val="0"/>
              <w:keepLines w:val="0"/>
              <w:pageBreakBefore w:val="0"/>
              <w:widowControl w:val="0"/>
              <w:tabs>
                <w:tab w:val="left" w:pos="360"/>
                <w:tab w:val="left" w:pos="522"/>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◆《广东省环境保护条例》（</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2018</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年修正）</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◆《广东省环境保护规划纲要》（2006~2020年）</w:t>
            </w:r>
          </w:p>
          <w:p>
            <w:pPr>
              <w:tabs>
                <w:tab w:val="left" w:pos="360"/>
                <w:tab w:val="left" w:pos="522"/>
              </w:tabs>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广东省大气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污染</w:t>
            </w:r>
            <w:r>
              <w:rPr>
                <w:rFonts w:hint="default" w:ascii="Times New Roman" w:hAnsi="Times New Roman" w:eastAsia="宋体" w:cs="Times New Roman"/>
                <w:color w:val="000000" w:themeColor="text1"/>
                <w:sz w:val="24"/>
                <w:szCs w:val="24"/>
                <w:highlight w:val="none"/>
                <w14:textFill>
                  <w14:solidFill>
                    <w14:schemeClr w14:val="tx1"/>
                  </w14:solidFill>
                </w14:textFill>
              </w:rPr>
              <w:t>防治条例</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9年</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tabs>
                <w:tab w:val="left" w:pos="360"/>
                <w:tab w:val="left" w:pos="522"/>
              </w:tabs>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◆《广东省水污染防治</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行动计划设施</w:t>
            </w:r>
            <w:r>
              <w:rPr>
                <w:rFonts w:hint="default" w:ascii="Times New Roman" w:hAnsi="Times New Roman" w:eastAsia="宋体" w:cs="Times New Roman"/>
                <w:color w:val="000000" w:themeColor="text1"/>
                <w:sz w:val="24"/>
                <w:szCs w:val="24"/>
                <w:highlight w:val="none"/>
                <w14:textFill>
                  <w14:solidFill>
                    <w14:schemeClr w14:val="tx1"/>
                  </w14:solidFill>
                </w14:textFill>
              </w:rPr>
              <w:t>方案》（2015年）</w:t>
            </w:r>
          </w:p>
          <w:p>
            <w:pPr>
              <w:tabs>
                <w:tab w:val="left" w:pos="360"/>
                <w:tab w:val="left" w:pos="522"/>
              </w:tabs>
              <w:spacing w:line="360" w:lineRule="auto"/>
              <w:ind w:firstLine="480"/>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◆《广东省打赢蓝天保卫战2018年工作方案》（粤环〔2018〕23号）</w:t>
            </w:r>
          </w:p>
          <w:p>
            <w:pPr>
              <w:tabs>
                <w:tab w:val="left" w:pos="360"/>
                <w:tab w:val="left" w:pos="522"/>
              </w:tabs>
              <w:spacing w:line="360" w:lineRule="auto"/>
              <w:ind w:firstLine="480"/>
              <w:rPr>
                <w:rFonts w:hint="default" w:ascii="Times New Roman" w:hAnsi="Times New Roman" w:eastAsia="宋体" w:cs="Times New Roman"/>
                <w:caps w:val="0"/>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z w:val="24"/>
                <w:highlight w:val="none"/>
                <w:lang w:eastAsia="zh-CN"/>
                <w14:textFill>
                  <w14:solidFill>
                    <w14:schemeClr w14:val="tx1"/>
                  </w14:solidFill>
                </w14:textFill>
              </w:rPr>
              <w:t>《广东省打赢蓝天保卫战实施方案（2018-2020年）》（粤府</w:t>
            </w:r>
            <w:r>
              <w:rPr>
                <w:rFonts w:hint="default" w:ascii="Times New Roman" w:hAnsi="Times New Roman" w:eastAsia="宋体" w:cs="Times New Roman"/>
                <w:caps w:val="0"/>
                <w:color w:val="000000" w:themeColor="text1"/>
                <w:sz w:val="24"/>
                <w:highlight w:val="none"/>
                <w:lang w:val="en-US" w:eastAsia="zh-CN"/>
                <w14:textFill>
                  <w14:solidFill>
                    <w14:schemeClr w14:val="tx1"/>
                  </w14:solidFill>
                </w14:textFill>
              </w:rPr>
              <w:t>[2018]128号</w:t>
            </w:r>
            <w:r>
              <w:rPr>
                <w:rFonts w:hint="default" w:ascii="Times New Roman" w:hAnsi="Times New Roman" w:eastAsia="宋体" w:cs="Times New Roman"/>
                <w:caps w:val="0"/>
                <w:color w:val="000000" w:themeColor="text1"/>
                <w:sz w:val="24"/>
                <w:highlight w:val="none"/>
                <w:lang w:eastAsia="zh-CN"/>
                <w14:textFill>
                  <w14:solidFill>
                    <w14:schemeClr w14:val="tx1"/>
                  </w14:solidFill>
                </w14:textFill>
              </w:rPr>
              <w:t>）</w:t>
            </w:r>
          </w:p>
          <w:p>
            <w:pPr>
              <w:tabs>
                <w:tab w:val="left" w:pos="360"/>
                <w:tab w:val="left" w:pos="522"/>
              </w:tabs>
              <w:spacing w:line="360" w:lineRule="auto"/>
              <w:ind w:firstLine="480"/>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◆《关于印发广东省主体功能区规划的配套环保政策的通知》（粤环[2014]7号</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◆《清远市打赢蓝天保卫战2018年工作方案》（清环</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2018</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355号）</w:t>
            </w:r>
          </w:p>
          <w:p>
            <w:pPr>
              <w:tabs>
                <w:tab w:val="left" w:pos="360"/>
                <w:tab w:val="left" w:pos="522"/>
              </w:tabs>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◆《清远市水污染防治行动计划</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工作方案</w:t>
            </w:r>
            <w:r>
              <w:rPr>
                <w:rFonts w:hint="default" w:ascii="Times New Roman" w:hAnsi="Times New Roman" w:eastAsia="宋体" w:cs="Times New Roman"/>
                <w:color w:val="000000" w:themeColor="text1"/>
                <w:sz w:val="24"/>
                <w:szCs w:val="24"/>
                <w:highlight w:val="none"/>
                <w14:textFill>
                  <w14:solidFill>
                    <w14:schemeClr w14:val="tx1"/>
                  </w14:solidFill>
                </w14:textFill>
              </w:rPr>
              <w:t>》（2016年2月）</w:t>
            </w:r>
          </w:p>
          <w:p>
            <w:pPr>
              <w:tabs>
                <w:tab w:val="left" w:pos="360"/>
                <w:tab w:val="left" w:pos="522"/>
              </w:tabs>
              <w:spacing w:line="360" w:lineRule="auto"/>
              <w:ind w:firstLine="480"/>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◆《清远市主体功能区规划》（2010-2020）</w:t>
            </w:r>
          </w:p>
          <w:p>
            <w:pPr>
              <w:tabs>
                <w:tab w:val="left" w:pos="360"/>
                <w:tab w:val="left" w:pos="522"/>
              </w:tabs>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◆《佛冈县环境保护规划》（2004年）</w:t>
            </w:r>
          </w:p>
          <w:p>
            <w:pPr>
              <w:tabs>
                <w:tab w:val="left" w:pos="360"/>
                <w:tab w:val="left" w:pos="522"/>
              </w:tabs>
              <w:spacing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◆《佛冈县土地利用总体规划》（2010-2020</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年</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◆《清远市环境保护与生态建设“十三五”规划》</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2.3 产业政策文件</w:t>
            </w:r>
          </w:p>
          <w:p>
            <w:pPr>
              <w:pStyle w:val="9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◆《产业结构调整指导目录(2011年本)》（2013年修订）</w:t>
            </w:r>
          </w:p>
          <w:p>
            <w:pPr>
              <w:pStyle w:val="9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aps w:val="0"/>
                <w:color w:val="000000" w:themeColor="text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《部分工业淘汰落后生产工艺装备和产品指导目录（工产业[2010]第122号》</w:t>
            </w:r>
          </w:p>
          <w:p>
            <w:pPr>
              <w:pStyle w:val="9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《广东省企业投资项目实行清单管理的意见（试行）》（粤府〔2015〕26号）</w:t>
            </w:r>
          </w:p>
          <w:p>
            <w:pPr>
              <w:pStyle w:val="9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《清远市主体功能区产业发展指导目录》（2013年10月31日实施）</w:t>
            </w:r>
          </w:p>
          <w:p>
            <w:pPr>
              <w:keepNext w:val="0"/>
              <w:keepLines w:val="0"/>
              <w:pageBreakBefore w:val="0"/>
              <w:widowControl w:val="0"/>
              <w:tabs>
                <w:tab w:val="left" w:pos="360"/>
                <w:tab w:val="left" w:pos="522"/>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Cs/>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i w:val="0"/>
                <w:caps w:val="0"/>
                <w:color w:val="000000" w:themeColor="text1"/>
                <w:spacing w:val="0"/>
                <w:sz w:val="24"/>
                <w:szCs w:val="24"/>
                <w:highlight w:val="none"/>
                <w14:textFill>
                  <w14:solidFill>
                    <w14:schemeClr w14:val="tx1"/>
                  </w14:solidFill>
                </w14:textFill>
              </w:rPr>
              <w:t>◆《清远市企业投资负面清单》</w:t>
            </w:r>
            <w:r>
              <w:rPr>
                <w:rFonts w:hint="default" w:ascii="Times New Roman" w:hAnsi="Times New Roman" w:eastAsia="宋体" w:cs="Times New Roman"/>
                <w:b w:val="0"/>
                <w:i w:val="0"/>
                <w:caps w:val="0"/>
                <w:color w:val="000000" w:themeColor="text1"/>
                <w:spacing w:val="0"/>
                <w:sz w:val="24"/>
                <w:szCs w:val="24"/>
                <w:highlight w:val="none"/>
                <w:lang w:eastAsia="zh-CN"/>
                <w14:textFill>
                  <w14:solidFill>
                    <w14:schemeClr w14:val="tx1"/>
                  </w14:solidFill>
                </w14:textFill>
              </w:rPr>
              <w:t>（</w:t>
            </w:r>
            <w:r>
              <w:rPr>
                <w:rFonts w:hint="default" w:ascii="Times New Roman" w:hAnsi="Times New Roman" w:eastAsia="宋体" w:cs="Times New Roman"/>
                <w:b w:val="0"/>
                <w:i w:val="0"/>
                <w:caps w:val="0"/>
                <w:color w:val="000000" w:themeColor="text1"/>
                <w:spacing w:val="0"/>
                <w:sz w:val="24"/>
                <w:szCs w:val="24"/>
                <w:highlight w:val="none"/>
                <w14:textFill>
                  <w14:solidFill>
                    <w14:schemeClr w14:val="tx1"/>
                  </w14:solidFill>
                </w14:textFill>
              </w:rPr>
              <w:t>2014年09月0</w:t>
            </w:r>
            <w:r>
              <w:rPr>
                <w:rFonts w:hint="default" w:ascii="Times New Roman" w:hAnsi="Times New Roman" w:eastAsia="宋体" w:cs="Times New Roman"/>
                <w:b w:val="0"/>
                <w:i w:val="0"/>
                <w:caps w:val="0"/>
                <w:color w:val="000000" w:themeColor="text1"/>
                <w:spacing w:val="0"/>
                <w:sz w:val="24"/>
                <w:szCs w:val="24"/>
                <w:highlight w:val="none"/>
                <w:lang w:val="en-US" w:eastAsia="zh-CN"/>
                <w14:textFill>
                  <w14:solidFill>
                    <w14:schemeClr w14:val="tx1"/>
                  </w14:solidFill>
                </w14:textFill>
              </w:rPr>
              <w:t>1</w:t>
            </w:r>
            <w:r>
              <w:rPr>
                <w:rFonts w:hint="default" w:ascii="Times New Roman" w:hAnsi="Times New Roman" w:eastAsia="宋体" w:cs="Times New Roman"/>
                <w:b w:val="0"/>
                <w:i w:val="0"/>
                <w:caps w:val="0"/>
                <w:color w:val="000000" w:themeColor="text1"/>
                <w:spacing w:val="0"/>
                <w:sz w:val="24"/>
                <w:szCs w:val="24"/>
                <w:highlight w:val="none"/>
                <w14:textFill>
                  <w14:solidFill>
                    <w14:schemeClr w14:val="tx1"/>
                  </w14:solidFill>
                </w14:textFill>
              </w:rPr>
              <w:t>日</w:t>
            </w:r>
            <w:r>
              <w:rPr>
                <w:rFonts w:hint="default" w:ascii="Times New Roman" w:hAnsi="Times New Roman" w:eastAsia="宋体" w:cs="Times New Roman"/>
                <w:b w:val="0"/>
                <w:i w:val="0"/>
                <w:caps w:val="0"/>
                <w:color w:val="000000" w:themeColor="text1"/>
                <w:spacing w:val="0"/>
                <w:sz w:val="24"/>
                <w:szCs w:val="24"/>
                <w:highlight w:val="none"/>
                <w:lang w:val="en-US" w:eastAsia="zh-CN"/>
                <w14:textFill>
                  <w14:solidFill>
                    <w14:schemeClr w14:val="tx1"/>
                  </w14:solidFill>
                </w14:textFill>
              </w:rPr>
              <w:t>实施</w:t>
            </w:r>
            <w:r>
              <w:rPr>
                <w:rFonts w:hint="default" w:ascii="Times New Roman" w:hAnsi="Times New Roman" w:eastAsia="宋体" w:cs="Times New Roman"/>
                <w:b w:val="0"/>
                <w:i w:val="0"/>
                <w:caps w:val="0"/>
                <w:color w:val="000000" w:themeColor="text1"/>
                <w:spacing w:val="0"/>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2.4相关的技术标准规范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◆《环境影响评价技术导则-总纲》(HJ 2.1-2016)</w:t>
            </w:r>
          </w:p>
          <w:p>
            <w:pPr>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◆《环境影响评价技术导则-大气环境》(HJ 2.2-20</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8)</w:t>
            </w:r>
          </w:p>
          <w:p>
            <w:pPr>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◆《环境影响评价技术导则-地</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水环境》(HJ2.3-</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2018</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p>
          <w:p>
            <w:pPr>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◆《环境影响评价技术导则-声环境》(HJ 2.4-2009)</w:t>
            </w:r>
          </w:p>
          <w:p>
            <w:pPr>
              <w:spacing w:line="360" w:lineRule="auto"/>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◆《声环境功能区划技术规范》（GBT/15190-2014）</w:t>
            </w:r>
          </w:p>
          <w:p>
            <w:pPr>
              <w:keepNext w:val="0"/>
              <w:keepLines w:val="0"/>
              <w:pageBreakBefore w:val="0"/>
              <w:widowControl w:val="0"/>
              <w:tabs>
                <w:tab w:val="left" w:pos="360"/>
                <w:tab w:val="left" w:pos="522"/>
              </w:tabs>
              <w:kinsoku/>
              <w:wordWrap/>
              <w:overflowPunct/>
              <w:topLinePunct w:val="0"/>
              <w:bidi w:val="0"/>
              <w:adjustRightInd/>
              <w:snapToGrid/>
              <w:spacing w:line="360" w:lineRule="auto"/>
              <w:outlineLvl w:val="9"/>
              <w:rPr>
                <w:rFonts w:hint="default" w:ascii="Times New Roman" w:hAnsi="Times New Roman" w:eastAsia="宋体" w:cs="Times New Roman"/>
                <w:bCs/>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 xml:space="preserve">    ◆《建设项目环境风险评价技术导则》（HJ 169-2018）</w:t>
            </w:r>
          </w:p>
          <w:p>
            <w:pPr>
              <w:spacing w:line="360" w:lineRule="auto"/>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color w:val="000000" w:themeColor="text1"/>
                <w:sz w:val="28"/>
                <w:szCs w:val="28"/>
                <w:highlight w:val="none"/>
                <w14:textFill>
                  <w14:solidFill>
                    <w14:schemeClr w14:val="tx1"/>
                  </w14:solidFill>
                </w14:textFill>
              </w:rPr>
              <w:t>2.5</w:t>
            </w:r>
            <w:r>
              <w:rPr>
                <w:rFonts w:hint="default" w:ascii="Times New Roman" w:hAnsi="Times New Roman" w:eastAsia="宋体" w:cs="Times New Roman"/>
                <w:b/>
                <w:bCs/>
                <w:color w:val="000000" w:themeColor="text1"/>
                <w:sz w:val="28"/>
                <w:szCs w:val="28"/>
                <w:highlight w:val="none"/>
                <w:lang w:eastAsia="zh-CN"/>
                <w14:textFill>
                  <w14:solidFill>
                    <w14:schemeClr w14:val="tx1"/>
                  </w14:solidFill>
                </w14:textFill>
              </w:rPr>
              <w:t>环境保护</w:t>
            </w:r>
            <w:r>
              <w:rPr>
                <w:rFonts w:hint="default" w:ascii="Times New Roman" w:hAnsi="Times New Roman" w:eastAsia="宋体" w:cs="Times New Roman"/>
                <w:b/>
                <w:bCs/>
                <w:color w:val="000000" w:themeColor="text1"/>
                <w:sz w:val="28"/>
                <w:szCs w:val="28"/>
                <w:highlight w:val="none"/>
                <w14:textFill>
                  <w14:solidFill>
                    <w14:schemeClr w14:val="tx1"/>
                  </w14:solidFill>
                </w14:textFill>
              </w:rPr>
              <w:t>和职业安全卫生</w:t>
            </w:r>
            <w:r>
              <w:rPr>
                <w:rFonts w:hint="default" w:ascii="Times New Roman" w:hAnsi="Times New Roman" w:eastAsia="宋体" w:cs="Times New Roman"/>
                <w:b/>
                <w:color w:val="000000" w:themeColor="text1"/>
                <w:sz w:val="28"/>
                <w:szCs w:val="28"/>
                <w:highlight w:val="none"/>
                <w14:textFill>
                  <w14:solidFill>
                    <w14:schemeClr w14:val="tx1"/>
                  </w14:solidFill>
                </w14:textFill>
              </w:rPr>
              <w:t>标准规范</w:t>
            </w:r>
          </w:p>
          <w:p>
            <w:pPr>
              <w:spacing w:line="360" w:lineRule="auto"/>
              <w:ind w:firstLine="480" w:firstLineChars="200"/>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◆《企业环境管理体系》</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GB/T24001-2004</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/ISO14001:2004</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◆《《工作场所有害因素职业接触限值》（GBZ2.1-2007和GBZ2.2-2007）</w:t>
            </w:r>
          </w:p>
          <w:p>
            <w:pPr>
              <w:spacing w:line="360" w:lineRule="auto"/>
              <w:ind w:firstLine="480" w:firstLineChars="200"/>
              <w:rPr>
                <w:rFonts w:hint="default" w:ascii="Times New Roman" w:hAnsi="Times New Roman" w:eastAsia="宋体" w:cs="Times New Roman"/>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工业企业设计卫生标准》（GBZ1-2010）</w:t>
            </w:r>
          </w:p>
          <w:p>
            <w:pPr>
              <w:spacing w:line="360" w:lineRule="auto"/>
              <w:ind w:firstLine="480" w:firstLineChars="200"/>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◆《职业健康安全管理体系GB/T28001-2011》</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2.6建设单位提供的资料</w:t>
            </w:r>
          </w:p>
          <w:p>
            <w:pPr>
              <w:keepNext w:val="0"/>
              <w:keepLines w:val="0"/>
              <w:pageBreakBefore w:val="0"/>
              <w:widowControl w:val="0"/>
              <w:tabs>
                <w:tab w:val="left" w:pos="360"/>
                <w:tab w:val="left" w:pos="522"/>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Cs/>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aps w:val="0"/>
                <w:color w:val="000000" w:themeColor="text1"/>
                <w:sz w:val="24"/>
                <w:szCs w:val="24"/>
                <w:highlight w:val="none"/>
                <w14:textFill>
                  <w14:solidFill>
                    <w14:schemeClr w14:val="tx1"/>
                  </w14:solidFill>
                </w14:textFill>
              </w:rPr>
              <w:t>环评承诺书</w:t>
            </w:r>
          </w:p>
          <w:p>
            <w:pPr>
              <w:keepNext w:val="0"/>
              <w:keepLines w:val="0"/>
              <w:pageBreakBefore w:val="0"/>
              <w:widowControl w:val="0"/>
              <w:tabs>
                <w:tab w:val="left" w:pos="360"/>
                <w:tab w:val="left" w:pos="522"/>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Cs/>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环评</w:t>
            </w:r>
            <w:r>
              <w:rPr>
                <w:rFonts w:hint="default" w:ascii="Times New Roman" w:hAnsi="Times New Roman" w:eastAsia="宋体" w:cs="Times New Roman"/>
                <w:bCs/>
                <w:caps w:val="0"/>
                <w:color w:val="000000" w:themeColor="text1"/>
                <w:sz w:val="24"/>
                <w:szCs w:val="24"/>
                <w:highlight w:val="none"/>
                <w14:textFill>
                  <w14:solidFill>
                    <w14:schemeClr w14:val="tx1"/>
                  </w14:solidFill>
                </w14:textFill>
              </w:rPr>
              <w:t>委托书</w:t>
            </w:r>
          </w:p>
          <w:p>
            <w:pPr>
              <w:keepNext w:val="0"/>
              <w:keepLines w:val="0"/>
              <w:pageBreakBefore w:val="0"/>
              <w:widowControl w:val="0"/>
              <w:tabs>
                <w:tab w:val="left" w:pos="360"/>
                <w:tab w:val="left" w:pos="522"/>
              </w:tabs>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Cs/>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建设项目设计基础资料</w:t>
            </w:r>
            <w:r>
              <w:rPr>
                <w:rFonts w:hint="default" w:ascii="Times New Roman" w:hAnsi="Times New Roman" w:eastAsia="宋体" w:cs="Times New Roman"/>
                <w:b w:val="0"/>
                <w:bCs w:val="0"/>
                <w:color w:val="000000" w:themeColor="text1"/>
                <w:kern w:val="0"/>
                <w:sz w:val="24"/>
                <w:szCs w:val="22"/>
                <w:highlight w:val="none"/>
                <w:lang w:val="en-US" w:eastAsia="zh-CN"/>
                <w14:textFill>
                  <w14:solidFill>
                    <w14:schemeClr w14:val="tx1"/>
                  </w14:solidFill>
                </w14:textFill>
              </w:rPr>
              <w:t>调查表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aps w:val="0"/>
                <w:color w:val="000000" w:themeColor="text1"/>
                <w:sz w:val="24"/>
                <w:szCs w:val="24"/>
                <w:highlight w:val="none"/>
                <w14:textFill>
                  <w14:solidFill>
                    <w14:schemeClr w14:val="tx1"/>
                  </w14:solidFill>
                </w14:textFill>
              </w:rPr>
              <w:t>与</w:t>
            </w:r>
            <w:r>
              <w:rPr>
                <w:rFonts w:hint="default" w:ascii="Times New Roman" w:hAnsi="Times New Roman" w:eastAsia="宋体" w:cs="Times New Roman"/>
                <w:bCs/>
                <w:caps w:val="0"/>
                <w:color w:val="000000" w:themeColor="text1"/>
                <w:sz w:val="24"/>
                <w:szCs w:val="24"/>
                <w:highlight w:val="none"/>
                <w:lang w:eastAsia="zh-CN"/>
                <w14:textFill>
                  <w14:solidFill>
                    <w14:schemeClr w14:val="tx1"/>
                  </w14:solidFill>
                </w14:textFill>
              </w:rPr>
              <w:t>项目</w:t>
            </w:r>
            <w:r>
              <w:rPr>
                <w:rFonts w:hint="default" w:ascii="Times New Roman" w:hAnsi="Times New Roman" w:eastAsia="宋体" w:cs="Times New Roman"/>
                <w:bCs/>
                <w:caps w:val="0"/>
                <w:color w:val="000000" w:themeColor="text1"/>
                <w:sz w:val="24"/>
                <w:szCs w:val="24"/>
                <w:highlight w:val="none"/>
                <w14:textFill>
                  <w14:solidFill>
                    <w14:schemeClr w14:val="tx1"/>
                  </w14:solidFill>
                </w14:textFill>
              </w:rPr>
              <w:t>有关的其他相关文件</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2.7环境功能区划</w:t>
            </w:r>
          </w:p>
          <w:p>
            <w:pPr>
              <w:pStyle w:val="10"/>
              <w:keepNext w:val="0"/>
              <w:keepLines w:val="0"/>
              <w:pageBreakBefore w:val="0"/>
              <w:widowControl w:val="0"/>
              <w:kinsoku/>
              <w:wordWrap/>
              <w:overflowPunct/>
              <w:topLinePunct w:val="0"/>
              <w:autoSpaceDE/>
              <w:autoSpaceDN/>
              <w:bidi w:val="0"/>
              <w:adjustRightInd/>
              <w:snapToGrid/>
              <w:spacing w:beforeLines="50" w:line="240" w:lineRule="auto"/>
              <w:jc w:val="center"/>
              <w:textAlignment w:val="auto"/>
              <w:outlineLvl w:val="9"/>
              <w:rPr>
                <w:rFonts w:hint="default" w:ascii="Times New Roman" w:hAnsi="Times New Roman" w:eastAsia="宋体" w:cs="Times New Roman"/>
                <w:b/>
                <w:bCs/>
                <w:color w:val="000000" w:themeColor="text1"/>
                <w:highlight w:val="none"/>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50" w:line="240" w:lineRule="auto"/>
              <w:jc w:val="center"/>
              <w:textAlignment w:val="auto"/>
              <w:outlineLvl w:val="9"/>
              <w:rPr>
                <w:rFonts w:hint="default" w:ascii="Times New Roman" w:hAnsi="Times New Roman" w:eastAsia="宋体" w:cs="Times New Roman"/>
                <w:b/>
                <w:bCs/>
                <w:color w:val="000000" w:themeColor="text1"/>
                <w:highlight w:val="none"/>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50" w:line="240" w:lineRule="auto"/>
              <w:jc w:val="center"/>
              <w:textAlignment w:val="auto"/>
              <w:outlineLvl w:val="9"/>
              <w:rPr>
                <w:rFonts w:hint="default" w:ascii="Times New Roman" w:hAnsi="Times New Roman" w:eastAsia="宋体" w:cs="Times New Roman"/>
                <w:b/>
                <w:bCs/>
                <w:color w:val="000000" w:themeColor="text1"/>
                <w:highlight w:val="none"/>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50" w:line="240" w:lineRule="auto"/>
              <w:jc w:val="center"/>
              <w:textAlignment w:val="auto"/>
              <w:outlineLvl w:val="9"/>
              <w:rPr>
                <w:rFonts w:hint="default" w:ascii="Times New Roman" w:hAnsi="Times New Roman" w:eastAsia="宋体" w:cs="Times New Roman"/>
                <w:b/>
                <w:bCs/>
                <w:color w:val="000000" w:themeColor="text1"/>
                <w:highlight w:val="none"/>
                <w14:textFill>
                  <w14:solidFill>
                    <w14:schemeClr w14:val="tx1"/>
                  </w14:solidFill>
                </w14:textFill>
              </w:rPr>
            </w:pPr>
          </w:p>
          <w:p>
            <w:pPr>
              <w:pStyle w:val="10"/>
              <w:keepNext w:val="0"/>
              <w:keepLines w:val="0"/>
              <w:pageBreakBefore w:val="0"/>
              <w:widowControl w:val="0"/>
              <w:kinsoku/>
              <w:wordWrap/>
              <w:overflowPunct/>
              <w:topLinePunct w:val="0"/>
              <w:autoSpaceDE/>
              <w:autoSpaceDN/>
              <w:bidi w:val="0"/>
              <w:adjustRightInd/>
              <w:snapToGrid/>
              <w:spacing w:beforeLines="50" w:line="240" w:lineRule="auto"/>
              <w:jc w:val="center"/>
              <w:textAlignment w:val="auto"/>
              <w:outlineLvl w:val="9"/>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表2.7-1</w:t>
            </w: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highlight w:val="none"/>
                <w14:textFill>
                  <w14:solidFill>
                    <w14:schemeClr w14:val="tx1"/>
                  </w14:solidFill>
                </w14:textFill>
              </w:rPr>
              <w:t>建设项目环境功能属性一览表</w:t>
            </w:r>
          </w:p>
          <w:tbl>
            <w:tblPr>
              <w:tblStyle w:val="26"/>
              <w:tblW w:w="92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568"/>
              <w:gridCol w:w="59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编号</w:t>
                  </w:r>
                </w:p>
              </w:tc>
              <w:tc>
                <w:tcPr>
                  <w:tcW w:w="2568" w:type="dxa"/>
                  <w:tcBorders>
                    <w:tl2br w:val="nil"/>
                    <w:tr2bl w:val="nil"/>
                  </w:tcBorders>
                  <w:vAlign w:val="center"/>
                </w:tcPr>
                <w:p>
                  <w:pPr>
                    <w:pStyle w:val="76"/>
                    <w:adjustRightInd/>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项目</w:t>
                  </w:r>
                </w:p>
              </w:tc>
              <w:tc>
                <w:tcPr>
                  <w:tcW w:w="5939" w:type="dxa"/>
                  <w:tcBorders>
                    <w:tl2br w:val="nil"/>
                    <w:tr2bl w:val="nil"/>
                  </w:tcBorders>
                  <w:vAlign w:val="center"/>
                </w:tcPr>
                <w:p>
                  <w:pPr>
                    <w:pStyle w:val="76"/>
                    <w:adjustRightInd/>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2568" w:type="dxa"/>
                  <w:tcBorders>
                    <w:tl2br w:val="nil"/>
                    <w:tr2bl w:val="nil"/>
                  </w:tcBorders>
                  <w:vAlign w:val="center"/>
                </w:tcPr>
                <w:p>
                  <w:pPr>
                    <w:pStyle w:val="76"/>
                    <w:adjustRightInd/>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水环境功能区</w:t>
                  </w:r>
                </w:p>
              </w:tc>
              <w:tc>
                <w:tcPr>
                  <w:tcW w:w="5939" w:type="dxa"/>
                  <w:tcBorders>
                    <w:tl2br w:val="nil"/>
                    <w:tr2bl w:val="nil"/>
                  </w:tcBorders>
                  <w:vAlign w:val="center"/>
                </w:tcPr>
                <w:p>
                  <w:pPr>
                    <w:pStyle w:val="76"/>
                    <w:adjustRightInd/>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aps w:val="0"/>
                      <w:color w:val="000000" w:themeColor="text1"/>
                      <w:sz w:val="21"/>
                      <w:szCs w:val="21"/>
                      <w:highlight w:val="none"/>
                      <w14:textFill>
                        <w14:solidFill>
                          <w14:schemeClr w14:val="tx1"/>
                        </w14:solidFill>
                      </w14:textFill>
                    </w:rPr>
                    <w:t>根据《广东省地表水环境功能区划》（粤环[2011]14号）</w:t>
                  </w:r>
                  <w:r>
                    <w:rPr>
                      <w:rFonts w:hint="default" w:ascii="Times New Roman" w:hAnsi="Times New Roman" w:eastAsia="宋体" w:cs="Times New Roman"/>
                      <w:b w:val="0"/>
                      <w:bCs w:val="0"/>
                      <w:caps w:val="0"/>
                      <w:color w:val="000000" w:themeColor="text1"/>
                      <w:sz w:val="21"/>
                      <w:szCs w:val="21"/>
                      <w:highlight w:val="none"/>
                      <w:lang w:eastAsia="zh-CN"/>
                      <w14:textFill>
                        <w14:solidFill>
                          <w14:schemeClr w14:val="tx1"/>
                        </w14:solidFill>
                      </w14:textFill>
                    </w:rPr>
                    <w:t>，本项目附近潖江河</w:t>
                  </w:r>
                  <w:r>
                    <w:rPr>
                      <w:rFonts w:hint="default" w:ascii="Times New Roman" w:hAnsi="Times New Roman" w:eastAsia="宋体" w:cs="Times New Roman"/>
                      <w:b w:val="0"/>
                      <w:bCs w:val="0"/>
                      <w:caps w:val="0"/>
                      <w:color w:val="000000" w:themeColor="text1"/>
                      <w:sz w:val="21"/>
                      <w:szCs w:val="21"/>
                      <w:highlight w:val="none"/>
                      <w:lang w:val="en-US" w:eastAsia="zh-CN"/>
                      <w14:textFill>
                        <w14:solidFill>
                          <w14:schemeClr w14:val="tx1"/>
                        </w14:solidFill>
                      </w14:textFill>
                    </w:rPr>
                    <w:t>（佛冈县城湖滨至北江与浰江交汇处河段），属于Ⅲ类区域，执行《地表水环境质量标准》（GB3838－2002）Ⅲ类标准；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2568" w:type="dxa"/>
                  <w:tcBorders>
                    <w:tl2br w:val="nil"/>
                    <w:tr2bl w:val="nil"/>
                  </w:tcBorders>
                  <w:vAlign w:val="center"/>
                </w:tcPr>
                <w:p>
                  <w:pPr>
                    <w:pStyle w:val="76"/>
                    <w:adjustRightInd/>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环境空气功能区</w:t>
                  </w:r>
                </w:p>
              </w:tc>
              <w:tc>
                <w:tcPr>
                  <w:tcW w:w="5939" w:type="dxa"/>
                  <w:tcBorders>
                    <w:tl2br w:val="nil"/>
                    <w:tr2bl w:val="nil"/>
                  </w:tcBorders>
                  <w:vAlign w:val="center"/>
                </w:tcPr>
                <w:p>
                  <w:pPr>
                    <w:pStyle w:val="76"/>
                    <w:adjustRightInd/>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项目所在地属二类区，执行《环境空气质量标准》（GB3095-2012）中的二级标准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2568" w:type="dxa"/>
                  <w:tcBorders>
                    <w:tl2br w:val="nil"/>
                    <w:tr2bl w:val="nil"/>
                  </w:tcBorders>
                  <w:vAlign w:val="center"/>
                </w:tcPr>
                <w:p>
                  <w:pPr>
                    <w:pStyle w:val="76"/>
                    <w:adjustRightInd/>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环境噪声功能区</w:t>
                  </w:r>
                </w:p>
              </w:tc>
              <w:tc>
                <w:tcPr>
                  <w:tcW w:w="5939" w:type="dxa"/>
                  <w:tcBorders>
                    <w:tl2br w:val="nil"/>
                    <w:tr2bl w:val="nil"/>
                  </w:tcBorders>
                  <w:vAlign w:val="center"/>
                </w:tcPr>
                <w:p>
                  <w:pPr>
                    <w:pStyle w:val="76"/>
                    <w:adjustRightInd/>
                    <w:jc w:val="both"/>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lang w:eastAsia="zh-CN"/>
                      <w14:textFill>
                        <w14:solidFill>
                          <w14:schemeClr w14:val="tx1"/>
                        </w14:solidFill>
                      </w14:textFill>
                    </w:rPr>
                    <w:t>项目所在地</w:t>
                  </w:r>
                  <w:r>
                    <w:rPr>
                      <w:rFonts w:hint="default" w:ascii="Times New Roman" w:hAnsi="Times New Roman" w:eastAsia="宋体" w:cs="Times New Roman"/>
                      <w:color w:val="000000" w:themeColor="text1"/>
                      <w:sz w:val="21"/>
                      <w14:textFill>
                        <w14:solidFill>
                          <w14:schemeClr w14:val="tx1"/>
                        </w14:solidFill>
                      </w14:textFill>
                    </w:rPr>
                    <w:t>属</w:t>
                  </w:r>
                  <w:r>
                    <w:rPr>
                      <w:rFonts w:hint="default" w:ascii="Times New Roman" w:hAnsi="Times New Roman" w:eastAsia="宋体" w:cs="Times New Roman"/>
                      <w:color w:val="000000" w:themeColor="text1"/>
                      <w:sz w:val="21"/>
                      <w:lang w:val="en-US" w:eastAsia="zh-CN"/>
                      <w14:textFill>
                        <w14:solidFill>
                          <w14:schemeClr w14:val="tx1"/>
                        </w14:solidFill>
                      </w14:textFill>
                    </w:rPr>
                    <w:t>2</w:t>
                  </w:r>
                  <w:r>
                    <w:rPr>
                      <w:rFonts w:hint="default" w:ascii="Times New Roman" w:hAnsi="Times New Roman" w:eastAsia="宋体" w:cs="Times New Roman"/>
                      <w:color w:val="000000" w:themeColor="text1"/>
                      <w:sz w:val="21"/>
                      <w14:textFill>
                        <w14:solidFill>
                          <w14:schemeClr w14:val="tx1"/>
                        </w14:solidFill>
                      </w14:textFill>
                    </w:rPr>
                    <w:t>类区域，执行《声环境质量标准》（GB3096-2008）</w:t>
                  </w:r>
                  <w:r>
                    <w:rPr>
                      <w:rFonts w:hint="default" w:ascii="Times New Roman" w:hAnsi="Times New Roman" w:eastAsia="宋体" w:cs="Times New Roman"/>
                      <w:color w:val="000000" w:themeColor="text1"/>
                      <w:sz w:val="21"/>
                      <w:lang w:eastAsia="zh-CN"/>
                      <w14:textFill>
                        <w14:solidFill>
                          <w14:schemeClr w14:val="tx1"/>
                        </w14:solidFill>
                      </w14:textFill>
                    </w:rPr>
                    <w:t>中的</w:t>
                  </w:r>
                  <w:r>
                    <w:rPr>
                      <w:rFonts w:hint="default" w:ascii="Times New Roman" w:hAnsi="Times New Roman" w:eastAsia="宋体" w:cs="Times New Roman"/>
                      <w:color w:val="000000" w:themeColor="text1"/>
                      <w:sz w:val="21"/>
                      <w:lang w:val="en-US" w:eastAsia="zh-CN"/>
                      <w14:textFill>
                        <w14:solidFill>
                          <w14:schemeClr w14:val="tx1"/>
                        </w14:solidFill>
                      </w14:textFill>
                    </w:rPr>
                    <w:t>2</w:t>
                  </w:r>
                  <w:r>
                    <w:rPr>
                      <w:rFonts w:hint="default" w:ascii="Times New Roman" w:hAnsi="Times New Roman" w:eastAsia="宋体" w:cs="Times New Roman"/>
                      <w:color w:val="000000" w:themeColor="text1"/>
                      <w:sz w:val="21"/>
                      <w14:textFill>
                        <w14:solidFill>
                          <w14:schemeClr w14:val="tx1"/>
                        </w14:solidFill>
                      </w14:textFill>
                    </w:rPr>
                    <w:t>类标准</w:t>
                  </w:r>
                  <w:r>
                    <w:rPr>
                      <w:rFonts w:hint="default" w:ascii="Times New Roman" w:hAnsi="Times New Roman" w:eastAsia="宋体" w:cs="Times New Roman"/>
                      <w:color w:val="000000" w:themeColor="text1"/>
                      <w:sz w:val="21"/>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2568" w:type="dxa"/>
                  <w:tcBorders>
                    <w:tl2br w:val="nil"/>
                    <w:tr2bl w:val="nil"/>
                  </w:tcBorders>
                  <w:vAlign w:val="center"/>
                </w:tcPr>
                <w:p>
                  <w:pPr>
                    <w:pStyle w:val="76"/>
                    <w:adjustRightInd/>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基本农田保护区</w:t>
                  </w:r>
                </w:p>
              </w:tc>
              <w:tc>
                <w:tcPr>
                  <w:tcW w:w="5939" w:type="dxa"/>
                  <w:tcBorders>
                    <w:tl2br w:val="nil"/>
                    <w:tr2bl w:val="nil"/>
                  </w:tcBorders>
                  <w:vAlign w:val="center"/>
                </w:tcPr>
                <w:p>
                  <w:pPr>
                    <w:pStyle w:val="76"/>
                    <w:adjustRightInd/>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w:t>
                  </w:r>
                </w:p>
              </w:tc>
              <w:tc>
                <w:tcPr>
                  <w:tcW w:w="2568" w:type="dxa"/>
                  <w:tcBorders>
                    <w:tl2br w:val="nil"/>
                    <w:tr2bl w:val="nil"/>
                  </w:tcBorders>
                  <w:vAlign w:val="center"/>
                </w:tcPr>
                <w:p>
                  <w:pPr>
                    <w:pStyle w:val="76"/>
                    <w:adjustRightInd/>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风景名胜保护区</w:t>
                  </w:r>
                </w:p>
              </w:tc>
              <w:tc>
                <w:tcPr>
                  <w:tcW w:w="5939"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w:t>
                  </w:r>
                </w:p>
              </w:tc>
              <w:tc>
                <w:tcPr>
                  <w:tcW w:w="2568"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水库库区</w:t>
                  </w:r>
                </w:p>
              </w:tc>
              <w:tc>
                <w:tcPr>
                  <w:tcW w:w="5939"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w:t>
                  </w:r>
                </w:p>
              </w:tc>
              <w:tc>
                <w:tcPr>
                  <w:tcW w:w="2568" w:type="dxa"/>
                  <w:tcBorders>
                    <w:tl2br w:val="nil"/>
                    <w:tr2bl w:val="nil"/>
                  </w:tcBorders>
                  <w:vAlign w:val="center"/>
                </w:tcPr>
                <w:p>
                  <w:pPr>
                    <w:pStyle w:val="76"/>
                    <w:adjustRightInd/>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城市污水处理厂集水范围</w:t>
                  </w:r>
                </w:p>
              </w:tc>
              <w:tc>
                <w:tcPr>
                  <w:tcW w:w="5939"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w:t>
                  </w:r>
                </w:p>
              </w:tc>
              <w:tc>
                <w:tcPr>
                  <w:tcW w:w="2568"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是否属煤气管道范围</w:t>
                  </w:r>
                </w:p>
              </w:tc>
              <w:tc>
                <w:tcPr>
                  <w:tcW w:w="5939"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9</w:t>
                  </w:r>
                </w:p>
              </w:tc>
              <w:tc>
                <w:tcPr>
                  <w:tcW w:w="2568"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是否现场搅拌混凝土</w:t>
                  </w:r>
                </w:p>
              </w:tc>
              <w:tc>
                <w:tcPr>
                  <w:tcW w:w="5939"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2568"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是否环境敏感区</w:t>
                  </w:r>
                </w:p>
              </w:tc>
              <w:tc>
                <w:tcPr>
                  <w:tcW w:w="5939"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9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w:t>
                  </w:r>
                </w:p>
              </w:tc>
              <w:tc>
                <w:tcPr>
                  <w:tcW w:w="2568"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4"/>
                      <w:sz w:val="21"/>
                      <w:szCs w:val="21"/>
                      <w:highlight w:val="none"/>
                      <w14:textFill>
                        <w14:solidFill>
                          <w14:schemeClr w14:val="tx1"/>
                        </w14:solidFill>
                      </w14:textFill>
                    </w:rPr>
                    <w:t>土地利用规划</w:t>
                  </w:r>
                </w:p>
              </w:tc>
              <w:tc>
                <w:tcPr>
                  <w:tcW w:w="5939"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建设</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用地</w:t>
                  </w:r>
                </w:p>
              </w:tc>
            </w:tr>
          </w:tbl>
          <w:p>
            <w:pPr>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p>
        </w:tc>
      </w:tr>
    </w:tbl>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color w:val="000000" w:themeColor="text1"/>
          <w:sz w:val="32"/>
          <w:szCs w:val="32"/>
          <w:highlight w:val="none"/>
          <w14:textFill>
            <w14:solidFill>
              <w14:schemeClr w14:val="tx1"/>
            </w14:solidFill>
          </w14:textFill>
        </w:rPr>
        <w:br w:type="page"/>
      </w: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4" w:name="_Toc32480"/>
      <w:bookmarkStart w:id="5" w:name="_Toc394"/>
      <w:r>
        <w:rPr>
          <w:rFonts w:hint="default" w:ascii="Times New Roman" w:hAnsi="Times New Roman" w:eastAsia="宋体" w:cs="Times New Roman"/>
          <w:b/>
          <w:bCs/>
          <w:color w:val="000000" w:themeColor="text1"/>
          <w:sz w:val="32"/>
          <w:szCs w:val="32"/>
          <w:highlight w:val="none"/>
          <w14:textFill>
            <w14:solidFill>
              <w14:schemeClr w14:val="tx1"/>
            </w14:solidFill>
          </w14:textFill>
        </w:rPr>
        <w:t>03.自然环境</w:t>
      </w:r>
      <w:r>
        <w:rPr>
          <w:rFonts w:hint="default" w:ascii="Times New Roman" w:hAnsi="Times New Roman" w:eastAsia="宋体" w:cs="Times New Roman"/>
          <w:b/>
          <w:bCs/>
          <w:caps w:val="0"/>
          <w:color w:val="000000" w:themeColor="text1"/>
          <w:sz w:val="32"/>
          <w:szCs w:val="32"/>
          <w:highlight w:val="none"/>
          <w14:textFill>
            <w14:solidFill>
              <w14:schemeClr w14:val="tx1"/>
            </w14:solidFill>
          </w14:textFill>
        </w:rPr>
        <w:t>及公共环保设施简况</w:t>
      </w:r>
      <w:bookmarkEnd w:id="4"/>
      <w:bookmarkEnd w:id="5"/>
    </w:p>
    <w:tbl>
      <w:tblPr>
        <w:tblStyle w:val="26"/>
        <w:tblW w:w="938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38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80" w:hRule="atLeast"/>
          <w:jc w:val="center"/>
        </w:trPr>
        <w:tc>
          <w:tcPr>
            <w:tcW w:w="9380" w:type="dxa"/>
          </w:tcPr>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3.1地理位置</w:t>
            </w:r>
          </w:p>
          <w:p>
            <w:pPr>
              <w:pStyle w:val="53"/>
              <w:spacing w:before="0"/>
              <w:ind w:firstLine="480" w:firstLineChars="200"/>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项目拟选址于佛冈县汤塘镇三门管理区下围队，地理位置优越，交通便利</w:t>
            </w:r>
            <w:r>
              <w:rPr>
                <w:rFonts w:hint="default" w:ascii="Times New Roman" w:hAnsi="Times New Roman" w:eastAsia="宋体" w:cs="Times New Roman"/>
                <w:color w:val="000000" w:themeColor="text1"/>
                <w:highlight w:val="none"/>
                <w14:textFill>
                  <w14:solidFill>
                    <w14:schemeClr w14:val="tx1"/>
                  </w14:solidFill>
                </w14:textFill>
              </w:rPr>
              <w:t>。</w:t>
            </w:r>
          </w:p>
          <w:p>
            <w:pPr>
              <w:pStyle w:val="53"/>
              <w:spacing w:before="0"/>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佛冈县位于广东省中部，珠江三角洲北缘，清远市西南角，北江一级支流潖江的中上游，东经113º18'—113º47'，北纬23º40—24º07'。东北与新丰县交界，东南与从化市接壤，西南与清远市毗邻，西北与英德市相连。县境东西长50.92公里，南北宽25.57公里。全县地域面积1302平方公里，行政上隶属清远市管辖。佛冈县境内有106国道和京珠高速2条高等级公路贯穿全县。其中国道106线佛冈段（一级公路）贯穿全县6个镇，县城距广州90公里，距花都新白云国际机场52公里。铁路运输方便，县城至京广铁路英德火车站40.8公里。县内公路四通八达，村村通公路。</w:t>
            </w:r>
          </w:p>
          <w:p>
            <w:pPr>
              <w:pStyle w:val="53"/>
              <w:spacing w:before="0"/>
              <w:ind w:firstLine="480" w:firstLineChars="200"/>
              <w:jc w:val="both"/>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汤塘镇位于佛冈南部，因驻地北有温泉水塘而得名。京港澳高速公路在佛冈县设有三个出口，其中最近广州的出口离汤塘镇中心只有1.5公里。汤塘已融入了“广州一小时经济生活圈”。</w:t>
            </w:r>
          </w:p>
          <w:p>
            <w:pPr>
              <w:pStyle w:val="72"/>
              <w:adjustRightInd/>
              <w:ind w:firstLine="0"/>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iCs/>
                <w:color w:val="000000" w:themeColor="text1"/>
                <w:sz w:val="28"/>
                <w:szCs w:val="28"/>
                <w:highlight w:val="none"/>
                <w14:textFill>
                  <w14:solidFill>
                    <w14:schemeClr w14:val="tx1"/>
                  </w14:solidFill>
                </w14:textFill>
              </w:rPr>
              <w:t>3.</w:t>
            </w:r>
            <w:r>
              <w:rPr>
                <w:rFonts w:hint="default" w:ascii="Times New Roman" w:hAnsi="Times New Roman" w:eastAsia="宋体" w:cs="Times New Roman"/>
                <w:b/>
                <w:iCs/>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8"/>
                <w:szCs w:val="28"/>
                <w:highlight w:val="none"/>
                <w14:textFill>
                  <w14:solidFill>
                    <w14:schemeClr w14:val="tx1"/>
                  </w14:solidFill>
                </w14:textFill>
              </w:rPr>
              <w:t>地形、地貌、地质</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佛冈全县地势自东北向西南倾斜，境内低山、丘陵、谷地、平原交错，大多在海拔300米以下。全县地形呈东南—西北狭长槽状地形展布，局部为丘陵地形，海拔高程在100米左右；东北、西南为中、低山，北面最高为亚婆髻，海拔高程为1218.6米；南部为羊角山山脉，海拔高程一般在600—700米。整个地形呈东北高、西南低之势，东北部属高丘陵区，约占总面积的29%，有高岗、迳头两个镇；中部属中丘地区，约占总面积的41％，有水头、石角两个镇。南、北部山脉是佛冈县与邻县的行政分划界线，亦是潖江水系与其它水系的分水岭。</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区域的地质主要以印支期及燕山期中期岩浆活动形成的紫红、灰色花岗岩为主，地面表层为砂质、砾质粘性土（花岗岩残积土、全风化花岗岩）、基岩为强风化花岗岩，弱风化花岗岩、微风化花岗岩组成。区域内无明显断层及不良构造，处于稳定地带，土质为花岗岩风化而成的坚硬黄土，适合于工程建筑物的基础建设。项目建设区域为燕山期侵入体，岩性为中粗粒花岗岩，灰白色，中粗粒斑状结构，块状构造，未发现大的结构面组成的不稳定岩体，地质条件较好。</w:t>
            </w:r>
          </w:p>
          <w:p>
            <w:pPr>
              <w:spacing w:line="360" w:lineRule="auto"/>
              <w:ind w:firstLine="464" w:firstLineChars="200"/>
              <w:rPr>
                <w:rFonts w:hint="default" w:ascii="Times New Roman" w:hAnsi="Times New Roman" w:eastAsia="宋体" w:cs="Times New Roman"/>
                <w:color w:val="000000" w:themeColor="text1"/>
                <w:spacing w:val="-2"/>
                <w:sz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14:textFill>
                  <w14:solidFill>
                    <w14:schemeClr w14:val="tx1"/>
                  </w14:solidFill>
                </w14:textFill>
              </w:rPr>
              <w:t>汤塘镇内低山、丘陵、谷地交错，气候温和，雨量充沛，北高南低，土壤肥沃，土层深厚，一年四季可种作物，以种水稻、甘薯、花生为主；矿产资源主要有铁矿和瓷土。</w:t>
            </w:r>
            <w:r>
              <w:rPr>
                <w:rFonts w:hint="default" w:ascii="Times New Roman" w:hAnsi="Times New Roman" w:eastAsia="宋体" w:cs="Times New Roman"/>
                <w:color w:val="000000" w:themeColor="text1"/>
                <w:spacing w:val="-2"/>
                <w:sz w:val="24"/>
                <w:highlight w:val="none"/>
                <w14:textFill>
                  <w14:solidFill>
                    <w14:schemeClr w14:val="tx1"/>
                  </w14:solidFill>
                </w14:textFill>
              </w:rPr>
              <w:t>　</w:t>
            </w:r>
          </w:p>
          <w:p>
            <w:pPr>
              <w:pStyle w:val="72"/>
              <w:adjustRightInd/>
              <w:ind w:firstLine="0"/>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iCs/>
                <w:color w:val="000000" w:themeColor="text1"/>
                <w:sz w:val="28"/>
                <w:szCs w:val="28"/>
                <w:highlight w:val="none"/>
                <w14:textFill>
                  <w14:solidFill>
                    <w14:schemeClr w14:val="tx1"/>
                  </w14:solidFill>
                </w14:textFill>
              </w:rPr>
              <w:t>3.3</w:t>
            </w:r>
            <w:r>
              <w:rPr>
                <w:rFonts w:hint="default" w:ascii="Times New Roman" w:hAnsi="Times New Roman" w:eastAsia="宋体" w:cs="Times New Roman"/>
                <w:b/>
                <w:color w:val="000000" w:themeColor="text1"/>
                <w:sz w:val="28"/>
                <w:szCs w:val="28"/>
                <w:highlight w:val="none"/>
                <w14:textFill>
                  <w14:solidFill>
                    <w14:schemeClr w14:val="tx1"/>
                  </w14:solidFill>
                </w14:textFill>
              </w:rPr>
              <w:t>水文条件</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佛冈的河流水系主要由潖江和烟岭两条较大的河流组成。潖江</w:t>
            </w:r>
            <w:r>
              <w:rPr>
                <w:rFonts w:hint="default" w:ascii="Times New Roman" w:hAnsi="Times New Roman" w:eastAsia="宋体" w:cs="Times New Roman"/>
                <w:color w:val="000000" w:themeColor="text1"/>
                <w:sz w:val="24"/>
                <w:highlight w:val="none"/>
                <w14:textFill>
                  <w14:solidFill>
                    <w14:schemeClr w14:val="tx1"/>
                  </w14:solidFill>
                </w14:textFill>
              </w:rPr>
              <w:t>发源于佛冈县境内通天蜡烛，自东北—西南贯穿整个佛冈县，是单向无潮汐河流，</w:t>
            </w:r>
            <w:r>
              <w:rPr>
                <w:rFonts w:hint="default" w:ascii="Times New Roman" w:hAnsi="Times New Roman" w:eastAsia="宋体" w:cs="Times New Roman"/>
                <w:bCs/>
                <w:color w:val="000000" w:themeColor="text1"/>
                <w:sz w:val="24"/>
                <w:highlight w:val="none"/>
                <w14:textFill>
                  <w14:solidFill>
                    <w14:schemeClr w14:val="tx1"/>
                  </w14:solidFill>
                </w14:textFill>
              </w:rPr>
              <w:t>潖</w:t>
            </w:r>
            <w:r>
              <w:rPr>
                <w:rFonts w:hint="default" w:ascii="Times New Roman" w:hAnsi="Times New Roman" w:eastAsia="宋体" w:cs="Times New Roman"/>
                <w:color w:val="000000" w:themeColor="text1"/>
                <w:sz w:val="24"/>
                <w:highlight w:val="none"/>
                <w14:textFill>
                  <w14:solidFill>
                    <w14:schemeClr w14:val="tx1"/>
                  </w14:solidFill>
                </w14:textFill>
              </w:rPr>
              <w:t>江是佛冈最大最长的河流，属北江一级支流。境内流经水头、石角、汤塘、龙山等镇，境外经清新区江口镇注入北江。潖江集雨面积1386平方公里，主河道长82公里，河段平均坡降为1.74‰。潖江在佛冈境内的流域面积为903.5平方公里，河段长69.3公里，河段平均坡降为1.98‰。潖江多年平均径流为1491mm，多年平均径流总量约17.81亿立方米。（不包括潖江二水的过境客水，约相当于年平均流量56.5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s），丰水年（P10%）的年径流量为23.87亿立方米，枯水年（P90%）的年径流量11.89亿立方米。潖江流域中，一级支流潖二水，集雨面积328平方公里，由从化鳌头、龙潭流入佛冈县龙山镇汇入潖江河。潖江流域面积占全县总面积的68%，其中耕地面积16.29万亩，占全县耕地面积的83.8%。</w:t>
            </w:r>
          </w:p>
          <w:p>
            <w:pPr>
              <w:pStyle w:val="72"/>
              <w:adjustRightInd/>
              <w:ind w:firstLine="0"/>
              <w:rPr>
                <w:rFonts w:hint="default" w:ascii="Times New Roman" w:hAnsi="Times New Roman" w:eastAsia="宋体" w:cs="Times New Roman"/>
                <w:bCs w:val="0"/>
                <w:color w:val="000000" w:themeColor="text1"/>
                <w:highlight w:val="none"/>
                <w14:textFill>
                  <w14:solidFill>
                    <w14:schemeClr w14:val="tx1"/>
                  </w14:solidFill>
                </w14:textFill>
              </w:rPr>
            </w:pPr>
            <w:r>
              <w:rPr>
                <w:rFonts w:hint="default" w:ascii="Times New Roman" w:hAnsi="Times New Roman" w:eastAsia="宋体" w:cs="Times New Roman"/>
                <w:b/>
                <w:iCs/>
                <w:color w:val="000000" w:themeColor="text1"/>
                <w:sz w:val="28"/>
                <w:szCs w:val="28"/>
                <w:highlight w:val="none"/>
                <w14:textFill>
                  <w14:solidFill>
                    <w14:schemeClr w14:val="tx1"/>
                  </w14:solidFill>
                </w14:textFill>
              </w:rPr>
              <w:t>3</w:t>
            </w:r>
            <w:r>
              <w:rPr>
                <w:rFonts w:hint="default" w:ascii="Times New Roman" w:hAnsi="Times New Roman" w:eastAsia="宋体" w:cs="Times New Roman"/>
                <w:b/>
                <w:iCs/>
                <w:color w:val="000000" w:themeColor="text1"/>
                <w:sz w:val="28"/>
                <w:szCs w:val="28"/>
                <w:highlight w:val="none"/>
                <w:lang w:val="en-US" w:eastAsia="zh-CN"/>
                <w14:textFill>
                  <w14:solidFill>
                    <w14:schemeClr w14:val="tx1"/>
                  </w14:solidFill>
                </w14:textFill>
              </w:rPr>
              <w:t>.</w:t>
            </w:r>
            <w:r>
              <w:rPr>
                <w:rFonts w:hint="default" w:ascii="Times New Roman" w:hAnsi="Times New Roman" w:eastAsia="宋体" w:cs="Times New Roman"/>
                <w:b/>
                <w:iCs/>
                <w:color w:val="000000" w:themeColor="text1"/>
                <w:sz w:val="28"/>
                <w:szCs w:val="28"/>
                <w:highlight w:val="none"/>
                <w14:textFill>
                  <w14:solidFill>
                    <w14:schemeClr w14:val="tx1"/>
                  </w14:solidFill>
                </w14:textFill>
              </w:rPr>
              <w:t>4</w:t>
            </w:r>
            <w:r>
              <w:rPr>
                <w:rFonts w:hint="default" w:ascii="Times New Roman" w:hAnsi="Times New Roman" w:eastAsia="宋体" w:cs="Times New Roman"/>
                <w:b/>
                <w:color w:val="000000" w:themeColor="text1"/>
                <w:sz w:val="28"/>
                <w:szCs w:val="28"/>
                <w:highlight w:val="none"/>
                <w14:textFill>
                  <w14:solidFill>
                    <w14:schemeClr w14:val="tx1"/>
                  </w14:solidFill>
                </w14:textFill>
              </w:rPr>
              <w:t>气候气象</w:t>
            </w:r>
          </w:p>
          <w:p>
            <w:pPr>
              <w:pStyle w:val="11"/>
              <w:snapToGrid/>
              <w:spacing w:before="0" w:line="360" w:lineRule="auto"/>
              <w:ind w:firstLine="480" w:firstLineChars="200"/>
              <w:rPr>
                <w:rFonts w:hint="default" w:ascii="Times New Roman" w:hAnsi="Times New Roman" w:eastAsia="宋体" w:cs="Times New Roman"/>
                <w:b w:val="0"/>
                <w:color w:val="000000" w:themeColor="text1"/>
                <w:szCs w:val="21"/>
                <w:highlight w:val="none"/>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佛冈地处低纬度区，属亚热带季风区，季风影响明显，属南亚热带湿润气候，高温多雨，阳光充足，年平均日照17小时。年平均气温22.6℃，实测最高气温38.9℃，最低气温-3℃，最大风力7级，最大风速17m/s。汛期锋面、低槽、热带气旋活动频繁，其中前汛期（4～6月）降雨主要由锋面、低槽天气形成；后汛期（7～9月）降雨主要是因南海热带气旋侵袭及其环流影响所形成。本区域暴雨以每年的4～6月发生最多，7～8月次之，历年特大洪水基本上都发生在4～7月。</w:t>
            </w:r>
          </w:p>
          <w:p>
            <w:pPr>
              <w:pStyle w:val="72"/>
              <w:adjustRightInd/>
              <w:ind w:firstLine="0"/>
              <w:rPr>
                <w:rFonts w:hint="default" w:ascii="Times New Roman" w:hAnsi="Times New Roman" w:eastAsia="宋体" w:cs="Times New Roman"/>
                <w:b/>
                <w:iCs/>
                <w:color w:val="000000" w:themeColor="text1"/>
                <w:highlight w:val="none"/>
                <w14:textFill>
                  <w14:solidFill>
                    <w14:schemeClr w14:val="tx1"/>
                  </w14:solidFill>
                </w14:textFill>
              </w:rPr>
            </w:pPr>
            <w:r>
              <w:rPr>
                <w:rFonts w:hint="default" w:ascii="Times New Roman" w:hAnsi="Times New Roman" w:eastAsia="宋体" w:cs="Times New Roman"/>
                <w:b/>
                <w:iCs/>
                <w:color w:val="000000" w:themeColor="text1"/>
                <w:sz w:val="28"/>
                <w:szCs w:val="28"/>
                <w:highlight w:val="none"/>
                <w14:textFill>
                  <w14:solidFill>
                    <w14:schemeClr w14:val="tx1"/>
                  </w14:solidFill>
                </w14:textFill>
              </w:rPr>
              <w:t>3.5生物多样性</w:t>
            </w:r>
          </w:p>
          <w:p>
            <w:pPr>
              <w:pStyle w:val="116"/>
              <w:wordWrap/>
              <w:snapToGrid/>
              <w:rPr>
                <w:rFonts w:hint="default" w:ascii="Times New Roman" w:hAnsi="Times New Roman" w:eastAsia="宋体" w:cs="Times New Roman"/>
                <w:bCs/>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highlight w:val="none"/>
                <w14:textFill>
                  <w14:solidFill>
                    <w14:schemeClr w14:val="tx1"/>
                  </w14:solidFill>
                </w14:textFill>
              </w:rPr>
              <w:t>佛冈境内木本植物可分针叶林、阔叶林、灌丛3个植被型组、12个植被型、43个群系，主要有常绿针叶林，常绿阔叶林，落叶阔叶林，竹林和灌丛这五类。</w:t>
            </w:r>
            <w:r>
              <w:rPr>
                <w:rFonts w:hint="default" w:ascii="Times New Roman" w:hAnsi="Times New Roman" w:eastAsia="宋体" w:cs="Times New Roman"/>
                <w:color w:val="000000" w:themeColor="text1"/>
                <w:highlight w:val="none"/>
                <w14:textFill>
                  <w14:solidFill>
                    <w14:schemeClr w14:val="tx1"/>
                  </w14:solidFill>
                </w14:textFill>
              </w:rPr>
              <w:t>植物资源有松、杉、樟、桐、黄</w:t>
            </w:r>
            <w:r>
              <w:rPr>
                <w:rFonts w:hint="default" w:ascii="Times New Roman" w:hAnsi="Times New Roman" w:eastAsia="宋体" w:cs="Times New Roman"/>
                <w:bCs/>
                <w:color w:val="000000" w:themeColor="text1"/>
                <w:szCs w:val="21"/>
                <w:highlight w:val="none"/>
                <w14:textFill>
                  <w14:solidFill>
                    <w14:schemeClr w14:val="tx1"/>
                  </w14:solidFill>
                </w14:textFill>
              </w:rPr>
              <w:t>檀，还有</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"http://www.baike.com/wiki/%E6%B2%99%E6%A4%A4" \o "沙椤"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沙椤</w: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"http://www.baike.com/wiki/%E8%A7%82%E5%85%89" \o "观光      潖江金沙滩木"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观光</w: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木、</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"http://www.baike.com/wiki/%E7%99%BD%E6%A1%82%E6%9C%A8" \o "白桂木"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白桂木</w: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"http://www.baike.com/wiki/%E5%90%8A%E7%9A%AE%E9%94%A5" \o "吊皮锥"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吊皮锥</w: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等珍贵植物；药材资源有砂仁、巴戟、栀子、金银花、蔓京子、土伏苓、杜鹃花、黄姜等；土特产有</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"http://www.baike.com/wiki/%E8%8D%89%E8%8F%87" \o "草菇"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Cs w:val="21"/>
                <w:highlight w:val="none"/>
                <w14:textFill>
                  <w14:solidFill>
                    <w14:schemeClr w14:val="tx1"/>
                  </w14:solidFill>
                </w14:textFill>
              </w:rPr>
              <w:t>草菇</w:t>
            </w:r>
            <w:r>
              <w:rPr>
                <w:rFonts w:hint="default" w:ascii="Times New Roman" w:hAnsi="Times New Roman" w:eastAsia="宋体" w:cs="Times New Roman"/>
                <w:bCs/>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"http://www.baike.com/wiki/%E8%9C%9C%E6%A1%94" \o "蜜桔"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Cs w:val="21"/>
                <w:highlight w:val="none"/>
                <w14:textFill>
                  <w14:solidFill>
                    <w14:schemeClr w14:val="tx1"/>
                  </w14:solidFill>
                </w14:textFill>
              </w:rPr>
              <w:t>蜜桔</w:t>
            </w:r>
            <w:r>
              <w:rPr>
                <w:rFonts w:hint="default" w:ascii="Times New Roman" w:hAnsi="Times New Roman" w:eastAsia="宋体" w:cs="Times New Roman"/>
                <w:bCs/>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"http://www.baike.com/wiki/%E8%8D%94%E6%9E%9D" \o "荔枝"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Cs w:val="21"/>
                <w:highlight w:val="none"/>
                <w14:textFill>
                  <w14:solidFill>
                    <w14:schemeClr w14:val="tx1"/>
                  </w14:solidFill>
                </w14:textFill>
              </w:rPr>
              <w:t>荔枝</w:t>
            </w:r>
            <w:r>
              <w:rPr>
                <w:rFonts w:hint="default" w:ascii="Times New Roman" w:hAnsi="Times New Roman" w:eastAsia="宋体" w:cs="Times New Roman"/>
                <w:bCs/>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"http://www.baike.com/wiki/%E9%9D%92%E6%A2%85" \o "青梅"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szCs w:val="21"/>
                <w:highlight w:val="none"/>
                <w14:textFill>
                  <w14:solidFill>
                    <w14:schemeClr w14:val="tx1"/>
                  </w14:solidFill>
                </w14:textFill>
              </w:rPr>
              <w:t>青梅</w:t>
            </w:r>
            <w:r>
              <w:rPr>
                <w:rFonts w:hint="default" w:ascii="Times New Roman" w:hAnsi="Times New Roman" w:eastAsia="宋体" w:cs="Times New Roman"/>
                <w:bCs/>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"http://www.baike.com/wiki/%E8%8A%A6%E7%AC%8B" \o "芦笋"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芦笋</w: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"http://www.baike.com/wiki/%E8%8C%B6%E5%8F%B6" \o "茶叶"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茶叶</w: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"http://www.baike.com/wiki/%E7%AB%B9%E5%B1%B1%E7%B2%89%E8%91%9B" \o "竹山粉葛"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竹山粉葛</w: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"http://www.baike.com/wiki/%E6%B1%9F%E9%B8%A1" \o "江鸡"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color w:val="000000" w:themeColor="text1"/>
                <w:szCs w:val="21"/>
                <w:highlight w:val="none"/>
                <w14:textFill>
                  <w14:solidFill>
                    <w14:schemeClr w14:val="tx1"/>
                  </w14:solidFill>
                </w14:textFill>
              </w:rPr>
              <w:t>江鸡</w:t>
            </w:r>
            <w:r>
              <w:rPr>
                <w:rFonts w:hint="default" w:ascii="Times New Roman" w:hAnsi="Times New Roman" w:eastAsia="宋体" w:cs="Times New Roman"/>
                <w:color w:val="000000" w:themeColor="text1"/>
                <w:szCs w:val="21"/>
                <w:highlight w:val="none"/>
                <w14:textFill>
                  <w14:solidFill>
                    <w14:schemeClr w14:val="tx1"/>
                  </w14:solidFill>
                </w14:textFill>
              </w:rPr>
              <w:fldChar w:fldCharType="end"/>
            </w:r>
            <w:r>
              <w:rPr>
                <w:rFonts w:hint="default" w:ascii="Times New Roman" w:hAnsi="Times New Roman" w:eastAsia="宋体" w:cs="Times New Roman"/>
                <w:bCs/>
                <w:color w:val="000000" w:themeColor="text1"/>
                <w:szCs w:val="21"/>
                <w:highlight w:val="none"/>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fldChar w:fldCharType="begin"/>
            </w:r>
            <w:r>
              <w:rPr>
                <w:rFonts w:hint="default" w:ascii="Times New Roman" w:hAnsi="Times New Roman" w:eastAsia="宋体" w:cs="Times New Roman"/>
                <w:color w:val="000000" w:themeColor="text1"/>
                <w:highlight w:val="none"/>
                <w14:textFill>
                  <w14:solidFill>
                    <w14:schemeClr w14:val="tx1"/>
                  </w14:solidFill>
                </w14:textFill>
              </w:rPr>
              <w:instrText xml:space="preserve"> HYPERLINK "http://www.baike.com/wiki/%E4%B9%8C%E9%AC%83%E9%B9%85" \o "乌鬃鹅" </w:instrText>
            </w:r>
            <w:r>
              <w:rPr>
                <w:rFonts w:hint="default" w:ascii="Times New Roman" w:hAnsi="Times New Roman" w:eastAsia="宋体" w:cs="Times New Roman"/>
                <w:color w:val="000000" w:themeColor="text1"/>
                <w:highlight w:val="none"/>
                <w14:textFill>
                  <w14:solidFill>
                    <w14:schemeClr w14:val="tx1"/>
                  </w14:solidFill>
                </w14:textFill>
              </w:rPr>
              <w:fldChar w:fldCharType="separate"/>
            </w:r>
            <w:r>
              <w:rPr>
                <w:rFonts w:hint="default" w:ascii="Times New Roman" w:hAnsi="Times New Roman" w:eastAsia="宋体" w:cs="Times New Roman"/>
                <w:bCs/>
                <w:color w:val="000000" w:themeColor="text1"/>
                <w:highlight w:val="none"/>
                <w14:textFill>
                  <w14:solidFill>
                    <w14:schemeClr w14:val="tx1"/>
                  </w14:solidFill>
                </w14:textFill>
              </w:rPr>
              <w:t>乌鬃鹅</w:t>
            </w:r>
            <w:r>
              <w:rPr>
                <w:rFonts w:hint="default" w:ascii="Times New Roman" w:hAnsi="Times New Roman" w:eastAsia="宋体" w:cs="Times New Roman"/>
                <w:bCs/>
                <w:color w:val="000000" w:themeColor="text1"/>
                <w:highlight w:val="none"/>
                <w14:textFill>
                  <w14:solidFill>
                    <w14:schemeClr w14:val="tx1"/>
                  </w14:solidFill>
                </w14:textFill>
              </w:rPr>
              <w:fldChar w:fldCharType="end"/>
            </w:r>
            <w:r>
              <w:rPr>
                <w:rFonts w:hint="default" w:ascii="Times New Roman" w:hAnsi="Times New Roman" w:eastAsia="宋体" w:cs="Times New Roman"/>
                <w:bCs/>
                <w:color w:val="000000" w:themeColor="text1"/>
                <w:highlight w:val="none"/>
                <w14:textFill>
                  <w14:solidFill>
                    <w14:schemeClr w14:val="tx1"/>
                  </w14:solidFill>
                </w14:textFill>
              </w:rPr>
              <w:t>等特色食品；野生动物资源有黄猄、山猪、果狸、穿山甲、雉鸡、白鹇、龟类、蛇类等。</w:t>
            </w: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根据调查，评价区域范围内为工业片区，人类活动频繁，未发现有受国家和地方保护的珍稀动植物。</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i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iCs/>
                <w:color w:val="000000" w:themeColor="text1"/>
                <w:sz w:val="28"/>
                <w:szCs w:val="28"/>
                <w:highlight w:val="none"/>
                <w14:textFill>
                  <w14:solidFill>
                    <w14:schemeClr w14:val="tx1"/>
                  </w14:solidFill>
                </w14:textFill>
              </w:rPr>
              <w:t>3.6水源及自然保护</w:t>
            </w:r>
          </w:p>
          <w:p>
            <w:pPr>
              <w:spacing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Cs/>
                <w:color w:val="000000" w:themeColor="text1"/>
                <w:sz w:val="24"/>
                <w:szCs w:val="24"/>
                <w:highlight w:val="none"/>
                <w14:textFill>
                  <w14:solidFill>
                    <w14:schemeClr w14:val="tx1"/>
                  </w14:solidFill>
                </w14:textFill>
              </w:rPr>
              <w:t xml:space="preserve">  放牛洞水库在佛冈县城北7公里。因处放牛洞得名。1975年建成。集水面积16.4平方公里，总库容1820万立方米。放牛洞水库是佛冈县唯一中型水库，主要功能以防洪为主，兼顾县城生活供水、工业用水等综合利用,捍卫下游佛冈县城12万多人口、4.5万亩耕地以及106国道、京珠高速公路、英佛公路的防洪安全。</w:t>
            </w:r>
          </w:p>
          <w:p>
            <w:pPr>
              <w:spacing w:line="360" w:lineRule="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 xml:space="preserve">    佛冈观音山省级自然保护区成立于1985年，是省和县共管、以佛冈县管为主的副处级事业单位。保护区位于佛冈县西北部，东北与高岗镇相接，东南、西南与石角镇相邻，西北与英德市交接，现有面积2566公顷。</w:t>
            </w:r>
          </w:p>
          <w:p>
            <w:pPr>
              <w:spacing w:line="360" w:lineRule="auto"/>
              <w:ind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国营羊角山林场成立于1958年，位于佛冈县石角镇。林场经营总面积2672公顷。林场属正科级自收自支的事业单位，设有一个党支部。2014年年末职工人数86人，其中在职33人，退休53人，党员30人。林场下设2室3股3个工区（办公室、森林公园办公室、生产股、保卫股、计财股、场部工区、大白洞工区、下坪工区），2个水电站股份经营（一、二级电站），装机容量1625千瓦。日常主要负责经营营林、木材生产、护林防火、保护生态公益林等工作。林场下辖一个农业队（又叫大白洞村民小组），分为2个自然村，农业队经济独立核算，主要从事农业生产，以种植水稻和水果（沙糖桔）为主。</w:t>
            </w:r>
          </w:p>
          <w:p>
            <w:pPr>
              <w:spacing w:line="360" w:lineRule="auto"/>
              <w:ind w:firstLine="482" w:firstLineChars="20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根据调查，评价区域范围内无水源保护区、风景游览区、名胜古迹以及重要政治文化设施等。</w:t>
            </w:r>
          </w:p>
          <w:p>
            <w:pPr>
              <w:spacing w:line="360" w:lineRule="auto"/>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3.7公共环保设施建设情况</w:t>
            </w:r>
          </w:p>
          <w:p>
            <w:pPr>
              <w:spacing w:line="360" w:lineRule="auto"/>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3.7.1</w:t>
            </w:r>
            <w:r>
              <w:rPr>
                <w:rFonts w:hint="default" w:ascii="Times New Roman" w:hAnsi="Times New Roman" w:eastAsia="宋体" w:cs="Times New Roman"/>
                <w:b/>
                <w:color w:val="000000" w:themeColor="text1"/>
                <w:sz w:val="24"/>
                <w:szCs w:val="24"/>
                <w14:textFill>
                  <w14:solidFill>
                    <w14:schemeClr w14:val="tx1"/>
                  </w14:solidFill>
                </w14:textFill>
              </w:rPr>
              <w:t>佛冈县</w:t>
            </w:r>
            <w:r>
              <w:rPr>
                <w:rFonts w:hint="default" w:ascii="Times New Roman" w:hAnsi="Times New Roman" w:eastAsia="宋体" w:cs="Times New Roman"/>
                <w:b/>
                <w:color w:val="000000" w:themeColor="text1"/>
                <w:sz w:val="24"/>
                <w:szCs w:val="24"/>
                <w:lang w:eastAsia="zh-CN"/>
                <w14:textFill>
                  <w14:solidFill>
                    <w14:schemeClr w14:val="tx1"/>
                  </w14:solidFill>
                </w14:textFill>
              </w:rPr>
              <w:t>汤塘</w:t>
            </w:r>
            <w:r>
              <w:rPr>
                <w:rFonts w:hint="default" w:ascii="Times New Roman" w:hAnsi="Times New Roman" w:eastAsia="宋体" w:cs="Times New Roman"/>
                <w:b/>
                <w:color w:val="000000" w:themeColor="text1"/>
                <w:sz w:val="24"/>
                <w:szCs w:val="24"/>
                <w14:textFill>
                  <w14:solidFill>
                    <w14:schemeClr w14:val="tx1"/>
                  </w14:solidFill>
                </w14:textFill>
              </w:rPr>
              <w:t>镇</w:t>
            </w:r>
            <w:r>
              <w:rPr>
                <w:rFonts w:hint="default" w:ascii="Times New Roman" w:hAnsi="Times New Roman" w:eastAsia="宋体" w:cs="Times New Roman"/>
                <w:b/>
                <w:color w:val="000000" w:themeColor="text1"/>
                <w:sz w:val="24"/>
                <w:szCs w:val="24"/>
                <w:highlight w:val="none"/>
                <w14:textFill>
                  <w14:solidFill>
                    <w14:schemeClr w14:val="tx1"/>
                  </w14:solidFill>
                </w14:textFill>
              </w:rPr>
              <w:t>污水处理厂概况</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佛冈县水务局拟于</w:t>
            </w:r>
            <w:r>
              <w:rPr>
                <w:rFonts w:hint="default" w:ascii="Times New Roman" w:hAnsi="Times New Roman" w:eastAsia="宋体" w:cs="Times New Roman"/>
                <w:bCs/>
                <w:color w:val="000000" w:themeColor="text1"/>
                <w:sz w:val="24"/>
                <w:szCs w:val="24"/>
                <w14:textFill>
                  <w14:solidFill>
                    <w14:schemeClr w14:val="tx1"/>
                  </w14:solidFill>
                </w14:textFill>
              </w:rPr>
              <w:t>汤塘镇区西部、潖江水电站引水河道以南</w:t>
            </w:r>
            <w:r>
              <w:rPr>
                <w:rFonts w:hint="default" w:ascii="Times New Roman" w:hAnsi="Times New Roman" w:eastAsia="宋体" w:cs="Times New Roman"/>
                <w:color w:val="000000" w:themeColor="text1"/>
                <w:sz w:val="24"/>
                <w:szCs w:val="24"/>
                <w14:textFill>
                  <w14:solidFill>
                    <w14:schemeClr w14:val="tx1"/>
                  </w14:solidFill>
                </w14:textFill>
              </w:rPr>
              <w:t>，建设汤塘镇污水处理厂及配套管网工程，污水处理厂总占地面积约28536.5 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，一期工程占地面积约8294.5m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，污水处理厂设计总规模2.0万m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/d，一期建设规模为1.0万m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14:textFill>
                  <w14:solidFill>
                    <w14:schemeClr w14:val="tx1"/>
                  </w14:solidFill>
                </w14:textFill>
              </w:rPr>
              <w:t>配套污水管网工程污水管，总长为4.6km，</w:t>
            </w:r>
            <w:r>
              <w:rPr>
                <w:rFonts w:hint="default" w:ascii="Times New Roman" w:hAnsi="Times New Roman" w:eastAsia="宋体" w:cs="Times New Roman"/>
                <w:color w:val="000000" w:themeColor="text1"/>
                <w:sz w:val="24"/>
                <w:szCs w:val="24"/>
                <w14:textFill>
                  <w14:solidFill>
                    <w14:schemeClr w14:val="tx1"/>
                  </w14:solidFill>
                </w14:textFill>
              </w:rPr>
              <w:t>管径为DN400~DN600。一期工程预计</w:t>
            </w:r>
            <w:r>
              <w:rPr>
                <w:rFonts w:hint="default" w:ascii="Times New Roman" w:hAnsi="Times New Roman" w:eastAsia="宋体" w:cs="Times New Roman"/>
                <w:color w:val="000000" w:themeColor="text1"/>
                <w:sz w:val="24"/>
                <w:szCs w:val="24"/>
                <w:lang w:eastAsia="zh-CN"/>
                <w14:textFill>
                  <w14:solidFill>
                    <w14:schemeClr w14:val="tx1"/>
                  </w14:solidFill>
                </w14:textFill>
              </w:rPr>
              <w:t>动工</w:t>
            </w:r>
            <w:r>
              <w:rPr>
                <w:rFonts w:hint="default" w:ascii="Times New Roman" w:hAnsi="Times New Roman" w:eastAsia="宋体" w:cs="Times New Roman"/>
                <w:color w:val="000000" w:themeColor="text1"/>
                <w:sz w:val="24"/>
                <w:szCs w:val="24"/>
                <w14:textFill>
                  <w14:solidFill>
                    <w14:schemeClr w14:val="tx1"/>
                  </w14:solidFill>
                </w14:textFill>
              </w:rPr>
              <w:t>日期为201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14:textFill>
                  <w14:solidFill>
                    <w14:schemeClr w14:val="tx1"/>
                  </w14:solidFill>
                </w14:textFill>
              </w:rPr>
              <w:t>年12月。</w:t>
            </w:r>
          </w:p>
          <w:p>
            <w:pPr>
              <w:spacing w:line="360" w:lineRule="auto"/>
              <w:ind w:firstLine="482" w:firstLineChars="200"/>
              <w:rPr>
                <w:rFonts w:hint="default" w:ascii="Times New Roman" w:hAnsi="Times New Roman" w:eastAsia="宋体" w:cs="Times New Roman"/>
                <w:b/>
                <w:bCs w:val="0"/>
                <w:color w:val="000000" w:themeColor="text1"/>
                <w:sz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根据调查</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，本项目不在佛冈县汤塘镇</w:t>
            </w: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污水处理厂</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纳污范围内</w:t>
            </w:r>
            <w:r>
              <w:rPr>
                <w:rFonts w:hint="default" w:ascii="Times New Roman" w:hAnsi="Times New Roman" w:eastAsia="宋体" w:cs="Times New Roman"/>
                <w:b/>
                <w:bCs w:val="0"/>
                <w:color w:val="000000" w:themeColor="text1"/>
                <w:sz w:val="24"/>
                <w:highlight w:val="none"/>
                <w14:textFill>
                  <w14:solidFill>
                    <w14:schemeClr w14:val="tx1"/>
                  </w14:solidFill>
                </w14:textFill>
              </w:rPr>
              <w:t>。</w:t>
            </w:r>
          </w:p>
          <w:p>
            <w:pPr>
              <w:widowControl/>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3.8.1</w:t>
            </w:r>
            <w:r>
              <w:rPr>
                <w:rFonts w:hint="default" w:ascii="Times New Roman" w:hAnsi="Times New Roman" w:eastAsia="宋体" w:cs="Times New Roman"/>
                <w:b/>
                <w:bCs/>
                <w:color w:val="000000" w:themeColor="text1"/>
                <w:sz w:val="24"/>
                <w:highlight w:val="none"/>
                <w14:textFill>
                  <w14:solidFill>
                    <w14:schemeClr w14:val="tx1"/>
                  </w14:solidFill>
                </w14:textFill>
              </w:rPr>
              <w:t>佛冈县生活垃圾卫生填埋场概况</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佛冈县城随着扩容提质步伐的加快，县城人口不断增多，原先位于县城近郊的垃圾填埋场已不能满足日常所需及城市定位，为此佛冈规划建设新的生活垃圾卫生填埋场，2013年12月13日，位于汤塘镇升平村下刀排的县生活垃圾卫生填埋场正式动工建设，一期工程项目于2014年底建成并投入运行。</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佛冈县生活垃圾卫生填埋场选址位于汤塘镇升平村下刀排村（京港澳高速以西），总投资为7303万元，占地389.03亩，垃圾填埋区位于场区的中部和西部，其中，一期工程位于场区的中间，呈不规则五边形，面积3.01万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；填埋区二期工程位于场区西部，呈不规则长条形，面积4.96万m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；三期工程在一期、二期面积的基础上向周边延伸，继续在上方进行填埋，面积11.86万m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。填埋场设计总库容为292.57万m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，总有效库容为248.68万m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可填埋垃圾量为298.41万吨；填埋场的服务年限约为22年，即服务期从2015年至2036年。佛冈县生活垃圾卫生填埋场由垃圾填埋区、渗滤液调节池、渗滤液处理站、雨水沉淀池、办公管理区、进场道路区、垃圾进场检查区（地磅房）等七个部分组成。</w:t>
            </w: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根据调查：佛冈县六大乡镇的生活垃圾都将规划为佛冈县生活垃圾卫生填埋场的接纳范围。</w:t>
            </w: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p>
            <w:pPr>
              <w:pStyle w:val="116"/>
              <w:wordWrap/>
              <w:snapToGrid/>
              <w:ind w:firstLine="482"/>
              <w:rPr>
                <w:rFonts w:hint="default" w:ascii="Times New Roman" w:hAnsi="Times New Roman" w:eastAsia="宋体" w:cs="Times New Roman"/>
                <w:b/>
                <w:bCs/>
                <w:color w:val="000000" w:themeColor="text1"/>
                <w:highlight w:val="none"/>
                <w14:textFill>
                  <w14:solidFill>
                    <w14:schemeClr w14:val="tx1"/>
                  </w14:solidFill>
                </w14:textFill>
              </w:rPr>
            </w:pPr>
          </w:p>
        </w:tc>
      </w:tr>
    </w:tbl>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color w:val="000000" w:themeColor="text1"/>
          <w:sz w:val="32"/>
          <w:szCs w:val="32"/>
          <w:highlight w:val="none"/>
          <w14:textFill>
            <w14:solidFill>
              <w14:schemeClr w14:val="tx1"/>
            </w14:solidFill>
          </w14:textFill>
        </w:rPr>
        <w:br w:type="page"/>
      </w: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6" w:name="_Toc20009"/>
      <w:bookmarkStart w:id="7" w:name="_Toc30043"/>
      <w:r>
        <w:rPr>
          <w:rFonts w:hint="default" w:ascii="Times New Roman" w:hAnsi="Times New Roman" w:eastAsia="宋体" w:cs="Times New Roman"/>
          <w:b/>
          <w:bCs/>
          <w:color w:val="000000" w:themeColor="text1"/>
          <w:sz w:val="32"/>
          <w:szCs w:val="32"/>
          <w:highlight w:val="none"/>
          <w14:textFill>
            <w14:solidFill>
              <w14:schemeClr w14:val="tx1"/>
            </w14:solidFill>
          </w14:textFill>
        </w:rPr>
        <w:t>04.环境质量状况</w:t>
      </w:r>
      <w:bookmarkEnd w:id="6"/>
      <w:bookmarkEnd w:id="7"/>
    </w:p>
    <w:tbl>
      <w:tblPr>
        <w:tblStyle w:val="26"/>
        <w:tblW w:w="9460" w:type="dxa"/>
        <w:jc w:val="center"/>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46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12036" w:hRule="atLeast"/>
          <w:jc w:val="center"/>
        </w:trPr>
        <w:tc>
          <w:tcPr>
            <w:tcW w:w="9460" w:type="dxa"/>
          </w:tcPr>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4.1项目所在区域环境质量现状及主要环境保护目标</w:t>
            </w:r>
          </w:p>
          <w:p>
            <w:pPr>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4.1.1水环境质量现状</w:t>
            </w:r>
          </w:p>
          <w:p>
            <w:pPr>
              <w:spacing w:line="360" w:lineRule="auto"/>
              <w:ind w:firstLine="471"/>
              <w:rPr>
                <w:rFonts w:hint="default" w:ascii="Times New Roman" w:hAnsi="Times New Roman" w:eastAsia="宋体" w:cs="Times New Roman"/>
                <w:snapToGrid w:val="0"/>
                <w:color w:val="000000" w:themeColor="text1"/>
                <w:kern w:val="0"/>
                <w:sz w:val="24"/>
                <w:szCs w:val="20"/>
                <w14:textFill>
                  <w14:solidFill>
                    <w14:schemeClr w14:val="tx1"/>
                  </w14:solidFill>
                </w14:textFill>
              </w:rPr>
            </w:pPr>
            <w:r>
              <w:rPr>
                <w:rFonts w:hint="default" w:ascii="Times New Roman" w:hAnsi="Times New Roman" w:eastAsia="宋体" w:cs="Times New Roman"/>
                <w:b w:val="0"/>
                <w:bCs/>
                <w:caps w:val="0"/>
                <w:color w:val="000000" w:themeColor="text1"/>
                <w:sz w:val="24"/>
                <w:szCs w:val="24"/>
                <w:highlight w:val="none"/>
                <w:lang w:eastAsia="zh-CN"/>
                <w14:textFill>
                  <w14:solidFill>
                    <w14:schemeClr w14:val="tx1"/>
                  </w14:solidFill>
                </w14:textFill>
              </w:rPr>
              <w:t>本项目纳污水体是位于项目北侧</w:t>
            </w:r>
            <w:r>
              <w:rPr>
                <w:rFonts w:hint="default" w:ascii="Times New Roman" w:hAnsi="Times New Roman" w:eastAsia="宋体" w:cs="Times New Roman"/>
                <w:b w:val="0"/>
                <w:bCs/>
                <w:caps w:val="0"/>
                <w:color w:val="000000" w:themeColor="text1"/>
                <w:sz w:val="24"/>
                <w:szCs w:val="24"/>
                <w:highlight w:val="none"/>
                <w:lang w:val="en-US" w:eastAsia="zh-CN"/>
                <w14:textFill>
                  <w14:solidFill>
                    <w14:schemeClr w14:val="tx1"/>
                  </w14:solidFill>
                </w14:textFill>
              </w:rPr>
              <w:t>25m处的潖江，</w:t>
            </w:r>
            <w:r>
              <w:rPr>
                <w:rFonts w:hint="default" w:ascii="Times New Roman" w:hAnsi="Times New Roman" w:eastAsia="宋体" w:cs="Times New Roman"/>
                <w:b w:val="0"/>
                <w:bCs/>
                <w:caps w:val="0"/>
                <w:color w:val="000000" w:themeColor="text1"/>
                <w:sz w:val="24"/>
                <w:szCs w:val="24"/>
                <w:highlight w:val="none"/>
                <w14:textFill>
                  <w14:solidFill>
                    <w14:schemeClr w14:val="tx1"/>
                  </w14:solidFill>
                </w14:textFill>
              </w:rPr>
              <w:t>根据《广东省地表水环境功能区划粤环》（〔2011〕14号），</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潖江（佛冈县城湖滨至北江与浰江交汇处）</w:t>
            </w:r>
            <w:r>
              <w:rPr>
                <w:rFonts w:hint="default" w:ascii="Times New Roman" w:hAnsi="Times New Roman" w:eastAsia="宋体" w:cs="Times New Roman"/>
                <w:snapToGrid w:val="0"/>
                <w:color w:val="000000" w:themeColor="text1"/>
                <w:kern w:val="0"/>
                <w:sz w:val="24"/>
                <w:szCs w:val="20"/>
                <w:lang w:eastAsia="zh-CN"/>
                <w14:textFill>
                  <w14:solidFill>
                    <w14:schemeClr w14:val="tx1"/>
                  </w14:solidFill>
                </w14:textFill>
              </w:rPr>
              <w:t>属于</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Ⅲ类</w:t>
            </w:r>
            <w:r>
              <w:rPr>
                <w:rFonts w:hint="default" w:ascii="Times New Roman" w:hAnsi="Times New Roman" w:eastAsia="宋体" w:cs="Times New Roman"/>
                <w:snapToGrid w:val="0"/>
                <w:color w:val="000000" w:themeColor="text1"/>
                <w:kern w:val="0"/>
                <w:sz w:val="24"/>
                <w:szCs w:val="20"/>
                <w:lang w:eastAsia="zh-CN"/>
                <w14:textFill>
                  <w14:solidFill>
                    <w14:schemeClr w14:val="tx1"/>
                  </w14:solidFill>
                </w14:textFill>
              </w:rPr>
              <w:t>水功能区，</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执行《地表水环境质量标准》（GB3838-2002）Ⅲ类水质标准。</w: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本次环评引用《佛冈县汤塘镇海业石英砂加工14000吨石英砂项目》中的监测数据，该监测数据监测时间为2017年9月2日，该监测</w:t>
            </w:r>
            <w:r>
              <w:rPr>
                <w:rFonts w:hint="default" w:ascii="Times New Roman" w:hAnsi="Times New Roman" w:eastAsia="宋体" w:cs="Times New Roman"/>
                <w:bCs/>
                <w:color w:val="000000" w:themeColor="text1"/>
                <w:sz w:val="24"/>
                <w:lang w:eastAsia="zh-CN"/>
                <w14:textFill>
                  <w14:solidFill>
                    <w14:schemeClr w14:val="tx1"/>
                  </w14:solidFill>
                </w14:textFill>
              </w:rPr>
              <w:t>断面</w:t>
            </w:r>
            <w:r>
              <w:rPr>
                <w:rFonts w:hint="default" w:ascii="Times New Roman" w:hAnsi="Times New Roman" w:eastAsia="宋体" w:cs="Times New Roman"/>
                <w:bCs/>
                <w:color w:val="000000" w:themeColor="text1"/>
                <w:sz w:val="24"/>
                <w:lang w:val="en-US" w:eastAsia="zh-CN"/>
                <w14:textFill>
                  <w14:solidFill>
                    <w14:schemeClr w14:val="tx1"/>
                  </w14:solidFill>
                </w14:textFill>
              </w:rPr>
              <w:t>W3</w:t>
            </w:r>
            <w:r>
              <w:rPr>
                <w:rFonts w:hint="default" w:ascii="Times New Roman" w:hAnsi="Times New Roman" w:eastAsia="宋体" w:cs="Times New Roman"/>
                <w:bCs/>
                <w:color w:val="000000" w:themeColor="text1"/>
                <w:sz w:val="24"/>
                <w:lang w:eastAsia="zh-CN"/>
                <w14:textFill>
                  <w14:solidFill>
                    <w14:schemeClr w14:val="tx1"/>
                  </w14:solidFill>
                </w14:textFill>
              </w:rPr>
              <w:t>位于项目西北侧</w:t>
            </w:r>
            <w:r>
              <w:rPr>
                <w:rFonts w:hint="default" w:ascii="Times New Roman" w:hAnsi="Times New Roman" w:eastAsia="宋体" w:cs="Times New Roman"/>
                <w:bCs/>
                <w:color w:val="000000" w:themeColor="text1"/>
                <w:sz w:val="24"/>
                <w:lang w:val="en-US" w:eastAsia="zh-CN"/>
                <w14:textFill>
                  <w14:solidFill>
                    <w14:schemeClr w14:val="tx1"/>
                  </w14:solidFill>
                </w14:textFill>
              </w:rPr>
              <w:t>100m处</w:t>
            </w:r>
            <w:r>
              <w:rPr>
                <w:rFonts w:hint="default" w:ascii="Times New Roman" w:hAnsi="Times New Roman" w:eastAsia="宋体" w:cs="Times New Roman"/>
                <w:bCs/>
                <w:color w:val="000000" w:themeColor="text1"/>
                <w:sz w:val="24"/>
                <w14:textFill>
                  <w14:solidFill>
                    <w14:schemeClr w14:val="tx1"/>
                  </w14:solidFill>
                </w14:textFill>
              </w:rPr>
              <w:t>，</w:t>
            </w:r>
            <w:r>
              <w:rPr>
                <w:rFonts w:hint="default" w:ascii="Times New Roman" w:hAnsi="Times New Roman" w:eastAsia="宋体" w:cs="Times New Roman"/>
                <w:bCs/>
                <w:color w:val="000000" w:themeColor="text1"/>
                <w:sz w:val="24"/>
                <w:lang w:eastAsia="zh-CN"/>
                <w14:textFill>
                  <w14:solidFill>
                    <w14:schemeClr w14:val="tx1"/>
                  </w14:solidFill>
                </w14:textFill>
              </w:rPr>
              <w:t>检测时间至今未超过</w:t>
            </w:r>
            <w:r>
              <w:rPr>
                <w:rFonts w:hint="default" w:ascii="Times New Roman" w:hAnsi="Times New Roman" w:eastAsia="宋体" w:cs="Times New Roman"/>
                <w:bCs/>
                <w:color w:val="000000" w:themeColor="text1"/>
                <w:sz w:val="24"/>
                <w:lang w:val="en-US" w:eastAsia="zh-CN"/>
                <w14:textFill>
                  <w14:solidFill>
                    <w14:schemeClr w14:val="tx1"/>
                  </w14:solidFill>
                </w14:textFill>
              </w:rPr>
              <w:t>3年，</w:t>
            </w:r>
            <w:r>
              <w:rPr>
                <w:rFonts w:hint="default" w:ascii="Times New Roman" w:hAnsi="Times New Roman" w:eastAsia="宋体" w:cs="Times New Roman"/>
                <w:bCs/>
                <w:color w:val="000000" w:themeColor="text1"/>
                <w:sz w:val="24"/>
                <w14:textFill>
                  <w14:solidFill>
                    <w14:schemeClr w14:val="tx1"/>
                  </w14:solidFill>
                </w14:textFill>
              </w:rPr>
              <w:t>故该监测数据可反映本项目所在区域地表水质量现状，引用此数据可行。监测结果见下表。</w:t>
            </w:r>
          </w:p>
          <w:p>
            <w:pPr>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表4.1-1  项目地表水监测断面监测结果  （单位mg/L,pH除外)</w:t>
            </w:r>
          </w:p>
          <w:tbl>
            <w:tblPr>
              <w:tblStyle w:val="26"/>
              <w:tblW w:w="905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9"/>
              <w:gridCol w:w="1462"/>
              <w:gridCol w:w="637"/>
              <w:gridCol w:w="799"/>
              <w:gridCol w:w="633"/>
              <w:gridCol w:w="710"/>
              <w:gridCol w:w="556"/>
              <w:gridCol w:w="655"/>
              <w:gridCol w:w="700"/>
              <w:gridCol w:w="574"/>
              <w:gridCol w:w="614"/>
              <w:gridCol w:w="610"/>
              <w:gridCol w:w="7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1"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监测项目</w:t>
                  </w:r>
                </w:p>
              </w:tc>
              <w:tc>
                <w:tcPr>
                  <w:tcW w:w="6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pH值</w:t>
                  </w:r>
                </w:p>
              </w:tc>
              <w:tc>
                <w:tcPr>
                  <w:tcW w:w="799"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COD</w:t>
                  </w:r>
                  <w:r>
                    <w:rPr>
                      <w:rFonts w:hint="default" w:ascii="Times New Roman" w:hAnsi="Times New Roman" w:eastAsia="宋体" w:cs="Times New Roman"/>
                      <w:color w:val="000000" w:themeColor="text1"/>
                      <w:vertAlign w:val="subscript"/>
                      <w14:textFill>
                        <w14:solidFill>
                          <w14:schemeClr w14:val="tx1"/>
                        </w14:solidFill>
                      </w14:textFill>
                    </w:rPr>
                    <w:t>Cr</w:t>
                  </w:r>
                </w:p>
              </w:tc>
              <w:tc>
                <w:tcPr>
                  <w:tcW w:w="633" w:type="dxa"/>
                  <w:noWrap w:val="0"/>
                  <w:vAlign w:val="center"/>
                </w:tcPr>
                <w:p>
                  <w:pPr>
                    <w:ind w:left="-97" w:leftChars="-46" w:right="-94" w:rightChars="-45"/>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BOD</w:t>
                  </w:r>
                  <w:r>
                    <w:rPr>
                      <w:rFonts w:hint="default" w:ascii="Times New Roman" w:hAnsi="Times New Roman" w:eastAsia="宋体" w:cs="Times New Roman"/>
                      <w:color w:val="000000" w:themeColor="text1"/>
                      <w:vertAlign w:val="subscript"/>
                      <w14:textFill>
                        <w14:solidFill>
                          <w14:schemeClr w14:val="tx1"/>
                        </w14:solidFill>
                      </w14:textFill>
                    </w:rPr>
                    <w:t>5</w:t>
                  </w:r>
                </w:p>
              </w:tc>
              <w:tc>
                <w:tcPr>
                  <w:tcW w:w="710" w:type="dxa"/>
                  <w:noWrap w:val="0"/>
                  <w:vAlign w:val="center"/>
                </w:tcPr>
                <w:p>
                  <w:pPr>
                    <w:ind w:left="-97" w:leftChars="-46" w:right="-94" w:rightChars="-45"/>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氨氮</w:t>
                  </w:r>
                </w:p>
              </w:tc>
              <w:tc>
                <w:tcPr>
                  <w:tcW w:w="5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DO</w:t>
                  </w:r>
                </w:p>
              </w:tc>
              <w:tc>
                <w:tcPr>
                  <w:tcW w:w="6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石油类</w:t>
                  </w:r>
                </w:p>
              </w:tc>
              <w:tc>
                <w:tcPr>
                  <w:tcW w:w="70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挥发酚</w:t>
                  </w:r>
                </w:p>
              </w:tc>
              <w:tc>
                <w:tcPr>
                  <w:tcW w:w="574" w:type="dxa"/>
                  <w:noWrap w:val="0"/>
                  <w:vAlign w:val="center"/>
                </w:tcPr>
                <w:p>
                  <w:pPr>
                    <w:ind w:left="-99" w:leftChars="-47" w:right="-94" w:rightChars="-45"/>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LAS</w:t>
                  </w:r>
                </w:p>
              </w:tc>
              <w:tc>
                <w:tcPr>
                  <w:tcW w:w="614" w:type="dxa"/>
                  <w:noWrap w:val="0"/>
                  <w:vAlign w:val="center"/>
                </w:tcPr>
                <w:p>
                  <w:pPr>
                    <w:ind w:left="-99" w:leftChars="-47" w:right="-94" w:rightChars="-45"/>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总磷</w:t>
                  </w:r>
                </w:p>
              </w:tc>
              <w:tc>
                <w:tcPr>
                  <w:tcW w:w="610" w:type="dxa"/>
                  <w:noWrap w:val="0"/>
                  <w:vAlign w:val="center"/>
                </w:tcPr>
                <w:p>
                  <w:pPr>
                    <w:ind w:left="-99" w:leftChars="-47" w:right="-94" w:rightChars="-45"/>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铅</w:t>
                  </w:r>
                </w:p>
              </w:tc>
              <w:tc>
                <w:tcPr>
                  <w:tcW w:w="773" w:type="dxa"/>
                  <w:noWrap w:val="0"/>
                  <w:vAlign w:val="center"/>
                </w:tcPr>
                <w:p>
                  <w:pPr>
                    <w:ind w:left="-99" w:leftChars="-47" w:right="-94" w:rightChars="-45"/>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粪肠</w:t>
                  </w:r>
                </w:p>
                <w:p>
                  <w:pPr>
                    <w:ind w:left="-99" w:leftChars="-47" w:right="-94" w:rightChars="-45"/>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杆菌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29" w:type="dxa"/>
                  <w:vMerge w:val="restart"/>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监</w:t>
                  </w:r>
                </w:p>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测</w:t>
                  </w:r>
                </w:p>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点</w:t>
                  </w:r>
                </w:p>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位</w:t>
                  </w:r>
                </w:p>
              </w:tc>
              <w:tc>
                <w:tcPr>
                  <w:tcW w:w="1462" w:type="dxa"/>
                  <w:noWrap w:val="0"/>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W1项目</w:t>
                  </w:r>
                  <w:r>
                    <w:rPr>
                      <w:rFonts w:hint="default" w:ascii="Times New Roman" w:hAnsi="Times New Roman" w:eastAsia="宋体" w:cs="Times New Roman"/>
                      <w:color w:val="000000" w:themeColor="text1"/>
                      <w:szCs w:val="21"/>
                      <w:lang w:eastAsia="zh-CN"/>
                      <w14:textFill>
                        <w14:solidFill>
                          <w14:schemeClr w14:val="tx1"/>
                        </w14:solidFill>
                      </w14:textFill>
                    </w:rPr>
                    <w:t>东北面上游</w:t>
                  </w:r>
                  <w:r>
                    <w:rPr>
                      <w:rFonts w:hint="default" w:ascii="Times New Roman" w:hAnsi="Times New Roman" w:eastAsia="宋体" w:cs="Times New Roman"/>
                      <w:color w:val="000000" w:themeColor="text1"/>
                      <w:szCs w:val="21"/>
                      <w:lang w:val="en-US" w:eastAsia="zh-CN"/>
                      <w14:textFill>
                        <w14:solidFill>
                          <w14:schemeClr w14:val="tx1"/>
                        </w14:solidFill>
                      </w14:textFill>
                    </w:rPr>
                    <w:t>700m处</w:t>
                  </w:r>
                </w:p>
              </w:tc>
              <w:tc>
                <w:tcPr>
                  <w:tcW w:w="6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6.78</w:t>
                  </w:r>
                </w:p>
              </w:tc>
              <w:tc>
                <w:tcPr>
                  <w:tcW w:w="799"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17.6</w:t>
                  </w:r>
                </w:p>
              </w:tc>
              <w:tc>
                <w:tcPr>
                  <w:tcW w:w="633"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3.6</w:t>
                  </w:r>
                </w:p>
              </w:tc>
              <w:tc>
                <w:tcPr>
                  <w:tcW w:w="7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0.665</w:t>
                  </w:r>
                </w:p>
              </w:tc>
              <w:tc>
                <w:tcPr>
                  <w:tcW w:w="5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5.5</w:t>
                  </w:r>
                </w:p>
              </w:tc>
              <w:tc>
                <w:tcPr>
                  <w:tcW w:w="6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0.03</w:t>
                  </w:r>
                </w:p>
              </w:tc>
              <w:tc>
                <w:tcPr>
                  <w:tcW w:w="70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57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1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0.09</w:t>
                  </w:r>
                </w:p>
              </w:tc>
              <w:tc>
                <w:tcPr>
                  <w:tcW w:w="6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73"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29"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62"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W2项目</w:t>
                  </w:r>
                  <w:r>
                    <w:rPr>
                      <w:rFonts w:hint="default" w:ascii="Times New Roman" w:hAnsi="Times New Roman" w:eastAsia="宋体" w:cs="Times New Roman"/>
                      <w:color w:val="000000" w:themeColor="text1"/>
                      <w:szCs w:val="21"/>
                      <w:lang w:eastAsia="zh-CN"/>
                      <w14:textFill>
                        <w14:solidFill>
                          <w14:schemeClr w14:val="tx1"/>
                        </w14:solidFill>
                      </w14:textFill>
                    </w:rPr>
                    <w:t>东北面</w:t>
                  </w:r>
                  <w:r>
                    <w:rPr>
                      <w:rFonts w:hint="default" w:ascii="Times New Roman" w:hAnsi="Times New Roman" w:eastAsia="宋体" w:cs="Times New Roman"/>
                      <w:color w:val="000000" w:themeColor="text1"/>
                      <w:szCs w:val="21"/>
                      <w14:textFill>
                        <w14:solidFill>
                          <w14:schemeClr w14:val="tx1"/>
                        </w14:solidFill>
                      </w14:textFill>
                    </w:rPr>
                    <w:t>上游500m</w:t>
                  </w:r>
                </w:p>
              </w:tc>
              <w:tc>
                <w:tcPr>
                  <w:tcW w:w="6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6.95</w:t>
                  </w:r>
                </w:p>
              </w:tc>
              <w:tc>
                <w:tcPr>
                  <w:tcW w:w="799"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16.5</w:t>
                  </w:r>
                </w:p>
              </w:tc>
              <w:tc>
                <w:tcPr>
                  <w:tcW w:w="633"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3.3</w:t>
                  </w:r>
                </w:p>
              </w:tc>
              <w:tc>
                <w:tcPr>
                  <w:tcW w:w="7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0.420</w:t>
                  </w:r>
                </w:p>
              </w:tc>
              <w:tc>
                <w:tcPr>
                  <w:tcW w:w="5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5.6</w:t>
                  </w:r>
                </w:p>
              </w:tc>
              <w:tc>
                <w:tcPr>
                  <w:tcW w:w="6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0.02</w:t>
                  </w:r>
                </w:p>
              </w:tc>
              <w:tc>
                <w:tcPr>
                  <w:tcW w:w="70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57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1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6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73"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29"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462"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W3项目</w:t>
                  </w:r>
                  <w:r>
                    <w:rPr>
                      <w:rFonts w:hint="default" w:ascii="Times New Roman" w:hAnsi="Times New Roman" w:eastAsia="宋体" w:cs="Times New Roman"/>
                      <w:color w:val="000000" w:themeColor="text1"/>
                      <w:szCs w:val="21"/>
                      <w:lang w:eastAsia="zh-CN"/>
                      <w14:textFill>
                        <w14:solidFill>
                          <w14:schemeClr w14:val="tx1"/>
                        </w14:solidFill>
                      </w14:textFill>
                    </w:rPr>
                    <w:t>西北</w:t>
                  </w:r>
                  <w:r>
                    <w:rPr>
                      <w:rFonts w:hint="default" w:ascii="Times New Roman" w:hAnsi="Times New Roman" w:eastAsia="宋体" w:cs="Times New Roman"/>
                      <w:color w:val="000000" w:themeColor="text1"/>
                      <w:szCs w:val="21"/>
                      <w14:textFill>
                        <w14:solidFill>
                          <w14:schemeClr w14:val="tx1"/>
                        </w14:solidFill>
                      </w14:textFill>
                    </w:rPr>
                    <w:t>下游100m</w:t>
                  </w:r>
                </w:p>
              </w:tc>
              <w:tc>
                <w:tcPr>
                  <w:tcW w:w="6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6.70</w:t>
                  </w:r>
                </w:p>
              </w:tc>
              <w:tc>
                <w:tcPr>
                  <w:tcW w:w="799"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18.5</w:t>
                  </w:r>
                </w:p>
              </w:tc>
              <w:tc>
                <w:tcPr>
                  <w:tcW w:w="633"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3.8</w:t>
                  </w:r>
                </w:p>
              </w:tc>
              <w:tc>
                <w:tcPr>
                  <w:tcW w:w="7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0.821</w:t>
                  </w:r>
                </w:p>
              </w:tc>
              <w:tc>
                <w:tcPr>
                  <w:tcW w:w="5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5.3</w:t>
                  </w:r>
                </w:p>
              </w:tc>
              <w:tc>
                <w:tcPr>
                  <w:tcW w:w="6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0.04</w:t>
                  </w:r>
                </w:p>
              </w:tc>
              <w:tc>
                <w:tcPr>
                  <w:tcW w:w="70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57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61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0.12</w:t>
                  </w:r>
                </w:p>
              </w:tc>
              <w:tc>
                <w:tcPr>
                  <w:tcW w:w="6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ND</w:t>
                  </w:r>
                </w:p>
              </w:tc>
              <w:tc>
                <w:tcPr>
                  <w:tcW w:w="773"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791" w:type="dxa"/>
                  <w:gridSpan w:val="2"/>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Ⅲ标准</w:t>
                  </w:r>
                </w:p>
              </w:tc>
              <w:tc>
                <w:tcPr>
                  <w:tcW w:w="63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6-9</w:t>
                  </w:r>
                </w:p>
              </w:tc>
              <w:tc>
                <w:tcPr>
                  <w:tcW w:w="799"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w:t>
                  </w:r>
                </w:p>
              </w:tc>
              <w:tc>
                <w:tcPr>
                  <w:tcW w:w="633"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7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c>
                <w:tcPr>
                  <w:tcW w:w="556"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655"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70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0.005</w:t>
                  </w:r>
                </w:p>
              </w:tc>
              <w:tc>
                <w:tcPr>
                  <w:tcW w:w="57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w:t>
                  </w:r>
                </w:p>
              </w:tc>
              <w:tc>
                <w:tcPr>
                  <w:tcW w:w="61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w:t>
                  </w:r>
                </w:p>
              </w:tc>
              <w:tc>
                <w:tcPr>
                  <w:tcW w:w="61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w:t>
                  </w:r>
                </w:p>
              </w:tc>
              <w:tc>
                <w:tcPr>
                  <w:tcW w:w="773"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052" w:type="dxa"/>
                  <w:gridSpan w:val="13"/>
                  <w:noWrap w:val="0"/>
                  <w:vAlign w:val="center"/>
                </w:tcPr>
                <w:p>
                  <w:pPr>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注：用ND表示检验数值低于方法最低检出限</w:t>
                  </w:r>
                </w:p>
              </w:tc>
            </w:tr>
          </w:tbl>
          <w:p>
            <w:pPr>
              <w:spacing w:before="156" w:beforeLines="50" w:line="360" w:lineRule="auto"/>
              <w:ind w:firstLine="480" w:firstLineChars="200"/>
              <w:rPr>
                <w:rFonts w:hint="default" w:ascii="Times New Roman" w:hAnsi="Times New Roman" w:eastAsia="宋体" w:cs="Times New Roman"/>
                <w:snapToGrid w:val="0"/>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监测数据表明，各监测断面各监测因子均符合《地表水环境质量标准》（GB3838-2002）Ш类标准的要求。</w:t>
            </w:r>
            <w:r>
              <w:rPr>
                <w:rFonts w:hint="default" w:ascii="Times New Roman" w:hAnsi="Times New Roman" w:eastAsia="宋体" w:cs="Times New Roman"/>
                <w:color w:val="000000" w:themeColor="text1"/>
                <w:sz w:val="24"/>
                <w:szCs w:val="24"/>
                <w14:textFill>
                  <w14:solidFill>
                    <w14:schemeClr w14:val="tx1"/>
                  </w14:solidFill>
                </w14:textFill>
              </w:rPr>
              <w:t>说明项目评价区域内的地表水</w:t>
            </w:r>
            <w:r>
              <w:rPr>
                <w:rFonts w:hint="default" w:ascii="Times New Roman" w:hAnsi="Times New Roman" w:eastAsia="宋体" w:cs="Times New Roman"/>
                <w:color w:val="000000" w:themeColor="text1"/>
                <w:sz w:val="24"/>
                <w:szCs w:val="24"/>
                <w:lang w:eastAsia="zh-CN"/>
                <w14:textFill>
                  <w14:solidFill>
                    <w14:schemeClr w14:val="tx1"/>
                  </w14:solidFill>
                </w14:textFill>
              </w:rPr>
              <w:t>潖江的水质</w:t>
            </w:r>
            <w:r>
              <w:rPr>
                <w:rFonts w:hint="default" w:ascii="Times New Roman" w:hAnsi="Times New Roman" w:eastAsia="宋体" w:cs="Times New Roman"/>
                <w:color w:val="000000" w:themeColor="text1"/>
                <w:sz w:val="24"/>
                <w:szCs w:val="24"/>
                <w14:textFill>
                  <w14:solidFill>
                    <w14:schemeClr w14:val="tx1"/>
                  </w14:solidFill>
                </w14:textFill>
              </w:rPr>
              <w:t>质量良好。</w:t>
            </w:r>
          </w:p>
          <w:p>
            <w:pPr>
              <w:pStyle w:val="10"/>
              <w:spacing w:line="360" w:lineRule="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4.1.2大气环境质量现状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根据《关于确认我市环境空气质量功能区划的函》(清环函[2011]317号)，本项目所在地属于二类功能区，执行《环境空气质量标准》（GB3095-2012）二级标准。本评价报告引用</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清远市生态环境局官网公开的《</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2018年1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月</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清远市各县（市、区）</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空气</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环境质量</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状况发布》中“</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2018年</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月</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各县（市、区）环境</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空气</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质量状况”中佛冈县的环境</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空气</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质量监测数据</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，详见下表4.1-2。</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表4.1-2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2018年</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佛冈县</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环境空气质量状况</w:t>
            </w:r>
          </w:p>
          <w:tbl>
            <w:tblPr>
              <w:tblStyle w:val="26"/>
              <w:tblW w:w="92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923"/>
              <w:gridCol w:w="924"/>
              <w:gridCol w:w="923"/>
              <w:gridCol w:w="924"/>
              <w:gridCol w:w="1203"/>
              <w:gridCol w:w="1356"/>
              <w:gridCol w:w="893"/>
              <w:gridCol w:w="10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09"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地区</w:t>
                  </w:r>
                </w:p>
              </w:tc>
              <w:tc>
                <w:tcPr>
                  <w:tcW w:w="3694" w:type="dxa"/>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平均浓度（μ</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g/m</w:t>
                  </w:r>
                  <w:r>
                    <w:rPr>
                      <w:rFonts w:hint="default" w:ascii="Times New Roman" w:hAnsi="Times New Roman" w:eastAsia="宋体" w:cs="Times New Roman"/>
                      <w:b/>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p>
              </w:tc>
              <w:tc>
                <w:tcPr>
                  <w:tcW w:w="1203"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CO第95百分位数</w:t>
                  </w:r>
                </w:p>
              </w:tc>
              <w:tc>
                <w:tcPr>
                  <w:tcW w:w="1356"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O</w:t>
                  </w:r>
                  <w:r>
                    <w:rPr>
                      <w:rFonts w:hint="default" w:ascii="Times New Roman" w:hAnsi="Times New Roman" w:eastAsia="宋体" w:cs="Times New Roman"/>
                      <w:b/>
                      <w:bCs w:val="0"/>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-8H第90百分位数</w:t>
                  </w:r>
                </w:p>
              </w:tc>
              <w:tc>
                <w:tcPr>
                  <w:tcW w:w="893"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达标率%</w:t>
                  </w:r>
                </w:p>
              </w:tc>
              <w:tc>
                <w:tcPr>
                  <w:tcW w:w="1089" w:type="dxa"/>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综合质量指数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09"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SO</w:t>
                  </w:r>
                  <w:r>
                    <w:rPr>
                      <w:rFonts w:hint="default" w:ascii="Times New Roman" w:hAnsi="Times New Roman" w:eastAsia="宋体" w:cs="Times New Roman"/>
                      <w:b/>
                      <w:bCs w:val="0"/>
                      <w:color w:val="000000" w:themeColor="text1"/>
                      <w:sz w:val="21"/>
                      <w:szCs w:val="21"/>
                      <w:highlight w:val="none"/>
                      <w:vertAlign w:val="subscript"/>
                      <w:lang w:val="en-US" w:eastAsia="zh-CN"/>
                      <w14:textFill>
                        <w14:solidFill>
                          <w14:schemeClr w14:val="tx1"/>
                        </w14:solidFill>
                      </w14:textFill>
                    </w:rPr>
                    <w:t>2</w:t>
                  </w:r>
                </w:p>
              </w:tc>
              <w:tc>
                <w:tcPr>
                  <w:tcW w:w="9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NO</w:t>
                  </w:r>
                  <w:r>
                    <w:rPr>
                      <w:rFonts w:hint="default" w:ascii="Times New Roman" w:hAnsi="Times New Roman" w:eastAsia="宋体" w:cs="Times New Roman"/>
                      <w:b/>
                      <w:bCs w:val="0"/>
                      <w:color w:val="000000" w:themeColor="text1"/>
                      <w:sz w:val="21"/>
                      <w:szCs w:val="21"/>
                      <w:highlight w:val="none"/>
                      <w:vertAlign w:val="subscript"/>
                      <w:lang w:val="en-US" w:eastAsia="zh-CN"/>
                      <w14:textFill>
                        <w14:solidFill>
                          <w14:schemeClr w14:val="tx1"/>
                        </w14:solidFill>
                      </w14:textFill>
                    </w:rPr>
                    <w:t>2</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PM</w:t>
                  </w:r>
                  <w:r>
                    <w:rPr>
                      <w:rFonts w:hint="default" w:ascii="Times New Roman" w:hAnsi="Times New Roman" w:eastAsia="宋体" w:cs="Times New Roman"/>
                      <w:b/>
                      <w:bCs w:val="0"/>
                      <w:color w:val="000000" w:themeColor="text1"/>
                      <w:sz w:val="21"/>
                      <w:szCs w:val="21"/>
                      <w:highlight w:val="none"/>
                      <w:vertAlign w:val="subscript"/>
                      <w:lang w:val="en-US" w:eastAsia="zh-CN"/>
                      <w14:textFill>
                        <w14:solidFill>
                          <w14:schemeClr w14:val="tx1"/>
                        </w14:solidFill>
                      </w14:textFill>
                    </w:rPr>
                    <w:t>10</w:t>
                  </w:r>
                </w:p>
              </w:tc>
              <w:tc>
                <w:tcPr>
                  <w:tcW w:w="9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PM</w:t>
                  </w:r>
                  <w:r>
                    <w:rPr>
                      <w:rFonts w:hint="default" w:ascii="Times New Roman" w:hAnsi="Times New Roman" w:eastAsia="宋体" w:cs="Times New Roman"/>
                      <w:b/>
                      <w:bCs w:val="0"/>
                      <w:color w:val="000000" w:themeColor="text1"/>
                      <w:sz w:val="21"/>
                      <w:szCs w:val="21"/>
                      <w:highlight w:val="none"/>
                      <w:vertAlign w:val="subscript"/>
                      <w:lang w:val="en-US" w:eastAsia="zh-CN"/>
                      <w14:textFill>
                        <w14:solidFill>
                          <w14:schemeClr w14:val="tx1"/>
                        </w14:solidFill>
                      </w14:textFill>
                    </w:rPr>
                    <w:t>2.5</w:t>
                  </w:r>
                </w:p>
              </w:tc>
              <w:tc>
                <w:tcPr>
                  <w:tcW w:w="1203"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356"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893"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089" w:type="dxa"/>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0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佛冈县</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11</w:t>
                  </w:r>
                </w:p>
              </w:tc>
              <w:tc>
                <w:tcPr>
                  <w:tcW w:w="9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23</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46</w:t>
                  </w:r>
                </w:p>
              </w:tc>
              <w:tc>
                <w:tcPr>
                  <w:tcW w:w="9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34</w:t>
                  </w:r>
                </w:p>
              </w:tc>
              <w:tc>
                <w:tcPr>
                  <w:tcW w:w="120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1.1</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136</w:t>
                  </w:r>
                </w:p>
              </w:tc>
              <w:tc>
                <w:tcPr>
                  <w:tcW w:w="89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93.4</w:t>
                  </w:r>
                </w:p>
              </w:tc>
              <w:tc>
                <w:tcPr>
                  <w:tcW w:w="108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0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标准</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60</w:t>
                  </w:r>
                </w:p>
              </w:tc>
              <w:tc>
                <w:tcPr>
                  <w:tcW w:w="9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40</w:t>
                  </w:r>
                </w:p>
              </w:tc>
              <w:tc>
                <w:tcPr>
                  <w:tcW w:w="92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70</w:t>
                  </w:r>
                </w:p>
              </w:tc>
              <w:tc>
                <w:tcPr>
                  <w:tcW w:w="924"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35</w:t>
                  </w:r>
                </w:p>
              </w:tc>
              <w:tc>
                <w:tcPr>
                  <w:tcW w:w="120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w:t>
                  </w:r>
                </w:p>
              </w:tc>
              <w:tc>
                <w:tcPr>
                  <w:tcW w:w="1356"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160</w:t>
                  </w:r>
                </w:p>
              </w:tc>
              <w:tc>
                <w:tcPr>
                  <w:tcW w:w="893"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1089"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bl>
          <w:p>
            <w:pPr>
              <w:spacing w:beforeLines="50"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综合数据</w:t>
            </w:r>
            <w:r>
              <w:rPr>
                <w:rFonts w:hint="default" w:ascii="Times New Roman" w:hAnsi="Times New Roman" w:eastAsia="宋体" w:cs="Times New Roman"/>
                <w:color w:val="000000" w:themeColor="text1"/>
                <w:sz w:val="24"/>
                <w:szCs w:val="24"/>
                <w:highlight w:val="none"/>
                <w14:textFill>
                  <w14:solidFill>
                    <w14:schemeClr w14:val="tx1"/>
                  </w14:solidFill>
                </w14:textFill>
              </w:rPr>
              <w:t>表明：项目评价区域内的SO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、NO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PM</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、CO第95百分位数、O</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-8H第90百分位数</w:t>
            </w:r>
            <w:r>
              <w:rPr>
                <w:rFonts w:hint="default" w:ascii="Times New Roman" w:hAnsi="Times New Roman" w:eastAsia="宋体" w:cs="Times New Roman"/>
                <w:color w:val="000000" w:themeColor="text1"/>
                <w:sz w:val="24"/>
                <w:szCs w:val="24"/>
                <w:highlight w:val="none"/>
                <w14:textFill>
                  <w14:solidFill>
                    <w14:schemeClr w14:val="tx1"/>
                  </w14:solidFill>
                </w14:textFill>
              </w:rPr>
              <w:t>均满足《环境空气质量标准》（GB3095-2012）的二级标准的要求，说明项目评价区域内的环境空气质量良好</w:t>
            </w:r>
            <w:r>
              <w:rPr>
                <w:rFonts w:hint="default" w:ascii="Times New Roman" w:hAnsi="Times New Roman" w:eastAsia="宋体" w:cs="Times New Roman"/>
                <w:color w:val="000000" w:themeColor="text1"/>
                <w:sz w:val="24"/>
                <w:highlight w:val="none"/>
                <w14:textFill>
                  <w14:solidFill>
                    <w14:schemeClr w14:val="tx1"/>
                  </w14:solidFill>
                </w14:textFill>
              </w:rPr>
              <w:t>。</w:t>
            </w:r>
          </w:p>
          <w:p>
            <w:pPr>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4.1.3声环境质量现状</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项目所在地</w:t>
            </w:r>
            <w:r>
              <w:rPr>
                <w:rFonts w:hint="default" w:ascii="Times New Roman" w:hAnsi="Times New Roman" w:eastAsia="宋体" w:cs="Times New Roman"/>
                <w:color w:val="000000" w:themeColor="text1"/>
                <w:sz w:val="24"/>
                <w:highlight w:val="none"/>
                <w14:textFill>
                  <w14:solidFill>
                    <w14:schemeClr w14:val="tx1"/>
                  </w14:solidFill>
                </w14:textFill>
              </w:rPr>
              <w:t>属</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类区域，执行《声环境质量标准》（GB3096-2008）</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中的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类标准</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根据201</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highlight w:val="none"/>
                <w14:textFill>
                  <w14:solidFill>
                    <w14:schemeClr w14:val="tx1"/>
                  </w14:solidFill>
                </w14:textFill>
              </w:rPr>
              <w:t>年</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14:textFill>
                  <w14:solidFill>
                    <w14:schemeClr w14:val="tx1"/>
                  </w14:solidFill>
                </w14:textFill>
              </w:rPr>
              <w:t>月</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highlight w:val="none"/>
                <w14:textFill>
                  <w14:solidFill>
                    <w14:schemeClr w14:val="tx1"/>
                  </w14:solidFill>
                </w14:textFill>
              </w:rPr>
              <w:t>日至</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14:textFill>
                  <w14:solidFill>
                    <w14:schemeClr w14:val="tx1"/>
                  </w14:solidFill>
                </w14:textFill>
              </w:rPr>
              <w:t>月</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highlight w:val="none"/>
                <w14:textFill>
                  <w14:solidFill>
                    <w14:schemeClr w14:val="tx1"/>
                  </w14:solidFill>
                </w14:textFill>
              </w:rPr>
              <w:t>日广东正合环境检测技术有限公司</w:t>
            </w:r>
            <w:r>
              <w:rPr>
                <w:rFonts w:hint="default" w:ascii="Times New Roman" w:hAnsi="Times New Roman" w:eastAsia="宋体" w:cs="Times New Roman"/>
                <w:bCs/>
                <w:color w:val="000000" w:themeColor="text1"/>
                <w:sz w:val="24"/>
                <w:szCs w:val="24"/>
                <w:highlight w:val="none"/>
                <w14:textFill>
                  <w14:solidFill>
                    <w14:schemeClr w14:val="tx1"/>
                  </w14:solidFill>
                </w14:textFill>
              </w:rPr>
              <w:t>对项目周围环境噪声进行的现状检测，</w:t>
            </w:r>
            <w:r>
              <w:rPr>
                <w:rFonts w:hint="default" w:ascii="Times New Roman" w:hAnsi="Times New Roman" w:eastAsia="宋体" w:cs="Times New Roman"/>
                <w:color w:val="000000" w:themeColor="text1"/>
                <w:sz w:val="24"/>
                <w:szCs w:val="24"/>
                <w:highlight w:val="none"/>
                <w14:textFill>
                  <w14:solidFill>
                    <w14:schemeClr w14:val="tx1"/>
                  </w14:solidFill>
                </w14:textFill>
              </w:rPr>
              <w:t>检测结果如下表。</w:t>
            </w:r>
          </w:p>
          <w:p>
            <w:pPr>
              <w:spacing w:beforeLines="50"/>
              <w:jc w:val="center"/>
              <w:rPr>
                <w:rFonts w:hint="default" w:ascii="Times New Roman" w:hAnsi="Times New Roman" w:eastAsia="宋体" w:cs="Times New Roman"/>
                <w:b/>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表4.1-3</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声环境现状检测结果  </w:t>
            </w:r>
            <w:r>
              <w:rPr>
                <w:rFonts w:hint="default" w:ascii="Times New Roman" w:hAnsi="Times New Roman" w:eastAsia="宋体" w:cs="Times New Roman"/>
                <w:b/>
                <w:snapToGrid w:val="0"/>
                <w:color w:val="000000" w:themeColor="text1"/>
                <w:sz w:val="24"/>
                <w:szCs w:val="24"/>
                <w:highlight w:val="none"/>
                <w14:textFill>
                  <w14:solidFill>
                    <w14:schemeClr w14:val="tx1"/>
                  </w14:solidFill>
                </w14:textFill>
              </w:rPr>
              <w:t>单位：dB(A)</w:t>
            </w:r>
          </w:p>
          <w:tbl>
            <w:tblPr>
              <w:tblStyle w:val="26"/>
              <w:tblW w:w="9230" w:type="dxa"/>
              <w:jc w:val="center"/>
              <w:tblInd w:w="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22"/>
              <w:gridCol w:w="2881"/>
              <w:gridCol w:w="1307"/>
              <w:gridCol w:w="1307"/>
              <w:gridCol w:w="1306"/>
              <w:gridCol w:w="1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11" w:hRule="atLeast"/>
                <w:jc w:val="center"/>
              </w:trPr>
              <w:tc>
                <w:tcPr>
                  <w:tcW w:w="1122"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881"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监测点位</w:t>
                  </w:r>
                </w:p>
              </w:tc>
              <w:tc>
                <w:tcPr>
                  <w:tcW w:w="2614" w:type="dxa"/>
                  <w:gridSpan w:val="2"/>
                  <w:tcBorders>
                    <w:tl2br w:val="nil"/>
                    <w:tr2bl w:val="nil"/>
                  </w:tcBorders>
                  <w:noWrap w:val="0"/>
                  <w:vAlign w:val="center"/>
                </w:tcPr>
                <w:p>
                  <w:pPr>
                    <w:spacing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14:textFill>
                        <w14:solidFill>
                          <w14:schemeClr w14:val="tx1"/>
                        </w14:solidFill>
                      </w14:textFill>
                    </w:rPr>
                    <w:t>月</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
                      <w:bCs/>
                      <w:color w:val="000000" w:themeColor="text1"/>
                      <w:sz w:val="21"/>
                      <w:szCs w:val="21"/>
                      <w14:textFill>
                        <w14:solidFill>
                          <w14:schemeClr w14:val="tx1"/>
                        </w14:solidFill>
                      </w14:textFill>
                    </w:rPr>
                    <w:t>日</w:t>
                  </w:r>
                </w:p>
              </w:tc>
              <w:tc>
                <w:tcPr>
                  <w:tcW w:w="2613" w:type="dxa"/>
                  <w:gridSpan w:val="2"/>
                  <w:tcBorders>
                    <w:tl2br w:val="nil"/>
                    <w:tr2bl w:val="nil"/>
                  </w:tcBorders>
                  <w:noWrap w:val="0"/>
                  <w:vAlign w:val="center"/>
                </w:tcPr>
                <w:p>
                  <w:pPr>
                    <w:spacing w:line="240" w:lineRule="atLeast"/>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14:textFill>
                        <w14:solidFill>
                          <w14:schemeClr w14:val="tx1"/>
                        </w14:solidFill>
                      </w14:textFill>
                    </w:rPr>
                    <w:t>月</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16</w:t>
                  </w:r>
                  <w:r>
                    <w:rPr>
                      <w:rFonts w:hint="default" w:ascii="Times New Roman" w:hAnsi="Times New Roman" w:eastAsia="宋体" w:cs="Times New Roman"/>
                      <w:b/>
                      <w:bCs/>
                      <w:color w:val="000000" w:themeColor="text1"/>
                      <w:sz w:val="21"/>
                      <w:szCs w:val="21"/>
                      <w14:textFill>
                        <w14:solidFill>
                          <w14:schemeClr w14:val="tx1"/>
                        </w14:solidFill>
                      </w14:textFill>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64" w:hRule="atLeast"/>
                <w:jc w:val="center"/>
              </w:trPr>
              <w:tc>
                <w:tcPr>
                  <w:tcW w:w="1122"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88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昼间</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夜间</w:t>
                  </w:r>
                </w:p>
              </w:tc>
              <w:tc>
                <w:tcPr>
                  <w:tcW w:w="1306"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昼间</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2"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2881"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highlight w:val="none"/>
                      <w14:textFill>
                        <w14:solidFill>
                          <w14:schemeClr w14:val="tx1"/>
                        </w14:solidFill>
                      </w14:textFill>
                    </w:rPr>
                    <w:t>N1厂界东外1m处</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56.2</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45.1</w:t>
                  </w:r>
                </w:p>
              </w:tc>
              <w:tc>
                <w:tcPr>
                  <w:tcW w:w="130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56.0</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2"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w:t>
                  </w:r>
                </w:p>
              </w:tc>
              <w:tc>
                <w:tcPr>
                  <w:tcW w:w="2881"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highlight w:val="none"/>
                      <w14:textFill>
                        <w14:solidFill>
                          <w14:schemeClr w14:val="tx1"/>
                        </w14:solidFill>
                      </w14:textFill>
                    </w:rPr>
                    <w:t>N</w:t>
                  </w:r>
                  <w:r>
                    <w:rPr>
                      <w:rFonts w:hint="default"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val="0"/>
                      <w:bCs w:val="0"/>
                      <w:snapToGrid w:val="0"/>
                      <w:color w:val="000000" w:themeColor="text1"/>
                      <w:sz w:val="21"/>
                      <w:szCs w:val="21"/>
                      <w:highlight w:val="none"/>
                      <w14:textFill>
                        <w14:solidFill>
                          <w14:schemeClr w14:val="tx1"/>
                        </w14:solidFill>
                      </w14:textFill>
                    </w:rPr>
                    <w:t>厂界</w:t>
                  </w:r>
                  <w:r>
                    <w:rPr>
                      <w:rFonts w:hint="default" w:ascii="Times New Roman" w:hAnsi="Times New Roman" w:eastAsia="宋体" w:cs="Times New Roman"/>
                      <w:b w:val="0"/>
                      <w:bCs w:val="0"/>
                      <w:snapToGrid w:val="0"/>
                      <w:color w:val="000000" w:themeColor="text1"/>
                      <w:sz w:val="21"/>
                      <w:szCs w:val="21"/>
                      <w:highlight w:val="none"/>
                      <w:lang w:eastAsia="zh-CN"/>
                      <w14:textFill>
                        <w14:solidFill>
                          <w14:schemeClr w14:val="tx1"/>
                        </w14:solidFill>
                      </w14:textFill>
                    </w:rPr>
                    <w:t>南</w:t>
                  </w:r>
                  <w:r>
                    <w:rPr>
                      <w:rFonts w:hint="default" w:ascii="Times New Roman" w:hAnsi="Times New Roman" w:eastAsia="宋体" w:cs="Times New Roman"/>
                      <w:b w:val="0"/>
                      <w:bCs w:val="0"/>
                      <w:snapToGrid w:val="0"/>
                      <w:color w:val="000000" w:themeColor="text1"/>
                      <w:sz w:val="21"/>
                      <w:szCs w:val="21"/>
                      <w:highlight w:val="none"/>
                      <w14:textFill>
                        <w14:solidFill>
                          <w14:schemeClr w14:val="tx1"/>
                        </w14:solidFill>
                      </w14:textFill>
                    </w:rPr>
                    <w:t>外1m处</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56.4</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44.2</w:t>
                  </w:r>
                </w:p>
              </w:tc>
              <w:tc>
                <w:tcPr>
                  <w:tcW w:w="130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56.8</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2"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w:t>
                  </w:r>
                </w:p>
              </w:tc>
              <w:tc>
                <w:tcPr>
                  <w:tcW w:w="2881"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highlight w:val="none"/>
                      <w14:textFill>
                        <w14:solidFill>
                          <w14:schemeClr w14:val="tx1"/>
                        </w14:solidFill>
                      </w14:textFill>
                    </w:rPr>
                    <w:t>N</w:t>
                  </w:r>
                  <w:r>
                    <w:rPr>
                      <w:rFonts w:hint="default"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 w:val="0"/>
                      <w:bCs w:val="0"/>
                      <w:snapToGrid w:val="0"/>
                      <w:color w:val="000000" w:themeColor="text1"/>
                      <w:sz w:val="21"/>
                      <w:szCs w:val="21"/>
                      <w:highlight w:val="none"/>
                      <w14:textFill>
                        <w14:solidFill>
                          <w14:schemeClr w14:val="tx1"/>
                        </w14:solidFill>
                      </w14:textFill>
                    </w:rPr>
                    <w:t>厂界</w:t>
                  </w:r>
                  <w:r>
                    <w:rPr>
                      <w:rFonts w:hint="default" w:ascii="Times New Roman" w:hAnsi="Times New Roman" w:eastAsia="宋体" w:cs="Times New Roman"/>
                      <w:b w:val="0"/>
                      <w:bCs w:val="0"/>
                      <w:snapToGrid w:val="0"/>
                      <w:color w:val="000000" w:themeColor="text1"/>
                      <w:sz w:val="21"/>
                      <w:szCs w:val="21"/>
                      <w:highlight w:val="none"/>
                      <w:lang w:eastAsia="zh-CN"/>
                      <w14:textFill>
                        <w14:solidFill>
                          <w14:schemeClr w14:val="tx1"/>
                        </w14:solidFill>
                      </w14:textFill>
                    </w:rPr>
                    <w:t>西</w:t>
                  </w:r>
                  <w:r>
                    <w:rPr>
                      <w:rFonts w:hint="default" w:ascii="Times New Roman" w:hAnsi="Times New Roman" w:eastAsia="宋体" w:cs="Times New Roman"/>
                      <w:b w:val="0"/>
                      <w:bCs w:val="0"/>
                      <w:snapToGrid w:val="0"/>
                      <w:color w:val="000000" w:themeColor="text1"/>
                      <w:sz w:val="21"/>
                      <w:szCs w:val="21"/>
                      <w:highlight w:val="none"/>
                      <w14:textFill>
                        <w14:solidFill>
                          <w14:schemeClr w14:val="tx1"/>
                        </w14:solidFill>
                      </w14:textFill>
                    </w:rPr>
                    <w:t>外1m处</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54.1</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43.8</w:t>
                  </w:r>
                </w:p>
              </w:tc>
              <w:tc>
                <w:tcPr>
                  <w:tcW w:w="130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54.3</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2"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w:t>
                  </w:r>
                </w:p>
              </w:tc>
              <w:tc>
                <w:tcPr>
                  <w:tcW w:w="2881"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highlight w:val="none"/>
                      <w14:textFill>
                        <w14:solidFill>
                          <w14:schemeClr w14:val="tx1"/>
                        </w14:solidFill>
                      </w14:textFill>
                    </w:rPr>
                    <w:t>N</w:t>
                  </w:r>
                  <w:r>
                    <w:rPr>
                      <w:rFonts w:hint="default"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 w:val="0"/>
                      <w:bCs w:val="0"/>
                      <w:snapToGrid w:val="0"/>
                      <w:color w:val="000000" w:themeColor="text1"/>
                      <w:sz w:val="21"/>
                      <w:szCs w:val="21"/>
                      <w:highlight w:val="none"/>
                      <w14:textFill>
                        <w14:solidFill>
                          <w14:schemeClr w14:val="tx1"/>
                        </w14:solidFill>
                      </w14:textFill>
                    </w:rPr>
                    <w:t>厂界</w:t>
                  </w:r>
                  <w:r>
                    <w:rPr>
                      <w:rFonts w:hint="default" w:ascii="Times New Roman" w:hAnsi="Times New Roman" w:eastAsia="宋体" w:cs="Times New Roman"/>
                      <w:b w:val="0"/>
                      <w:bCs w:val="0"/>
                      <w:snapToGrid w:val="0"/>
                      <w:color w:val="000000" w:themeColor="text1"/>
                      <w:sz w:val="21"/>
                      <w:szCs w:val="21"/>
                      <w:highlight w:val="none"/>
                      <w:lang w:eastAsia="zh-CN"/>
                      <w14:textFill>
                        <w14:solidFill>
                          <w14:schemeClr w14:val="tx1"/>
                        </w14:solidFill>
                      </w14:textFill>
                    </w:rPr>
                    <w:t>北</w:t>
                  </w:r>
                  <w:r>
                    <w:rPr>
                      <w:rFonts w:hint="default" w:ascii="Times New Roman" w:hAnsi="Times New Roman" w:eastAsia="宋体" w:cs="Times New Roman"/>
                      <w:b w:val="0"/>
                      <w:bCs w:val="0"/>
                      <w:snapToGrid w:val="0"/>
                      <w:color w:val="000000" w:themeColor="text1"/>
                      <w:sz w:val="21"/>
                      <w:szCs w:val="21"/>
                      <w:highlight w:val="none"/>
                      <w14:textFill>
                        <w14:solidFill>
                          <w14:schemeClr w14:val="tx1"/>
                        </w14:solidFill>
                      </w14:textFill>
                    </w:rPr>
                    <w:t>外1m处</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55.3</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45.2</w:t>
                  </w:r>
                </w:p>
              </w:tc>
              <w:tc>
                <w:tcPr>
                  <w:tcW w:w="130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55.5</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122"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w:t>
                  </w:r>
                </w:p>
              </w:tc>
              <w:tc>
                <w:tcPr>
                  <w:tcW w:w="2881"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N5北侧145m处的上刀排村</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55.8</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45.3</w:t>
                  </w:r>
                </w:p>
              </w:tc>
              <w:tc>
                <w:tcPr>
                  <w:tcW w:w="130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56.2</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4003"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14:textFill>
                        <w14:solidFill>
                          <w14:schemeClr w14:val="tx1"/>
                        </w14:solidFill>
                      </w14:textFill>
                    </w:rPr>
                    <w:t>类标准值</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60</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c>
                <w:tcPr>
                  <w:tcW w:w="1306"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60</w:t>
                  </w:r>
                </w:p>
              </w:tc>
              <w:tc>
                <w:tcPr>
                  <w:tcW w:w="1307" w:type="dxa"/>
                  <w:tcBorders>
                    <w:tl2br w:val="nil"/>
                    <w:tr2bl w:val="nil"/>
                  </w:tcBorders>
                  <w:noWrap w:val="0"/>
                  <w:vAlign w:val="center"/>
                </w:tcPr>
                <w:p>
                  <w:pPr>
                    <w:adjustRightInd w:val="0"/>
                    <w:snapToGrid w:val="0"/>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50</w:t>
                  </w:r>
                </w:p>
              </w:tc>
            </w:tr>
          </w:tbl>
          <w:p>
            <w:pPr>
              <w:spacing w:beforeLines="50" w:line="360" w:lineRule="auto"/>
              <w:ind w:firstLine="480"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由表4.1-3的检测结果可知，</w:t>
            </w:r>
            <w:r>
              <w:rPr>
                <w:rFonts w:hint="default" w:ascii="Times New Roman" w:hAnsi="Times New Roman" w:eastAsia="宋体" w:cs="Times New Roman"/>
                <w:color w:val="000000" w:themeColor="text1"/>
                <w:sz w:val="24"/>
                <w:szCs w:val="24"/>
                <w14:textFill>
                  <w14:solidFill>
                    <w14:schemeClr w14:val="tx1"/>
                  </w14:solidFill>
                </w14:textFill>
              </w:rPr>
              <w:t>本</w:t>
            </w:r>
            <w:r>
              <w:rPr>
                <w:rFonts w:hint="default" w:ascii="Times New Roman" w:hAnsi="Times New Roman" w:eastAsia="宋体" w:cs="Times New Roman"/>
                <w:bCs/>
                <w:color w:val="000000" w:themeColor="text1"/>
                <w:sz w:val="24"/>
                <w14:textFill>
                  <w14:solidFill>
                    <w14:schemeClr w14:val="tx1"/>
                  </w14:solidFill>
                </w14:textFill>
              </w:rPr>
              <w:t>项目</w:t>
            </w:r>
            <w:r>
              <w:rPr>
                <w:rFonts w:hint="default" w:ascii="Times New Roman" w:hAnsi="Times New Roman" w:eastAsia="宋体" w:cs="Times New Roman"/>
                <w:color w:val="000000" w:themeColor="text1"/>
                <w:sz w:val="24"/>
                <w14:textFill>
                  <w14:solidFill>
                    <w14:schemeClr w14:val="tx1"/>
                  </w14:solidFill>
                </w14:textFill>
              </w:rPr>
              <w:t>各边界</w:t>
            </w:r>
            <w:r>
              <w:rPr>
                <w:rFonts w:hint="default" w:ascii="Times New Roman" w:hAnsi="Times New Roman" w:eastAsia="宋体" w:cs="Times New Roman"/>
                <w:color w:val="000000" w:themeColor="text1"/>
                <w:sz w:val="24"/>
                <w:lang w:eastAsia="zh-CN"/>
                <w14:textFill>
                  <w14:solidFill>
                    <w14:schemeClr w14:val="tx1"/>
                  </w14:solidFill>
                </w14:textFill>
              </w:rPr>
              <w:t>及附近敏感点</w:t>
            </w:r>
            <w:r>
              <w:rPr>
                <w:rFonts w:hint="default" w:ascii="Times New Roman" w:hAnsi="Times New Roman" w:eastAsia="宋体" w:cs="Times New Roman"/>
                <w:bCs/>
                <w:color w:val="000000" w:themeColor="text1"/>
                <w:sz w:val="24"/>
                <w14:textFill>
                  <w14:solidFill>
                    <w14:schemeClr w14:val="tx1"/>
                  </w14:solidFill>
                </w14:textFill>
              </w:rPr>
              <w:t>昼夜噪声监测值均符合</w:t>
            </w:r>
            <w:r>
              <w:rPr>
                <w:rFonts w:hint="default" w:ascii="Times New Roman" w:hAnsi="Times New Roman" w:eastAsia="宋体" w:cs="Times New Roman"/>
                <w:color w:val="000000" w:themeColor="text1"/>
                <w:sz w:val="24"/>
                <w14:textFill>
                  <w14:solidFill>
                    <w14:schemeClr w14:val="tx1"/>
                  </w14:solidFill>
                </w14:textFill>
              </w:rPr>
              <w:t>《声环境质量标准》（GB 3096-2008）2类标准的要求</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没有出现超标现象，说明项目所在地声环境质量良好。</w:t>
            </w:r>
          </w:p>
          <w:p>
            <w:pPr>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4.1.4生态环境现状</w:t>
            </w:r>
          </w:p>
          <w:p>
            <w:pPr>
              <w:pStyle w:val="72"/>
              <w:adjustRightInd/>
              <w:ind w:firstLine="480" w:firstLineChars="200"/>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本</w:t>
            </w:r>
            <w:r>
              <w:rPr>
                <w:rFonts w:hint="default" w:ascii="Times New Roman" w:hAnsi="Times New Roman" w:eastAsia="宋体" w:cs="Times New Roman"/>
                <w:color w:val="000000" w:themeColor="text1"/>
                <w:highlight w:val="none"/>
                <w14:textFill>
                  <w14:solidFill>
                    <w14:schemeClr w14:val="tx1"/>
                  </w14:solidFill>
                </w14:textFill>
              </w:rPr>
              <w:t>项目</w:t>
            </w:r>
            <w:r>
              <w:rPr>
                <w:rFonts w:hint="default" w:ascii="Times New Roman" w:hAnsi="Times New Roman" w:eastAsia="宋体" w:cs="Times New Roman"/>
                <w:color w:val="000000" w:themeColor="text1"/>
                <w:highlight w:val="none"/>
                <w:lang w:eastAsia="zh-CN"/>
                <w14:textFill>
                  <w14:solidFill>
                    <w14:schemeClr w14:val="tx1"/>
                  </w14:solidFill>
                </w14:textFill>
              </w:rPr>
              <w:t>厂房</w:t>
            </w:r>
            <w:r>
              <w:rPr>
                <w:rFonts w:hint="default" w:ascii="Times New Roman" w:hAnsi="Times New Roman" w:eastAsia="宋体" w:cs="Times New Roman"/>
                <w:color w:val="000000" w:themeColor="text1"/>
                <w:highlight w:val="none"/>
                <w14:textFill>
                  <w14:solidFill>
                    <w14:schemeClr w14:val="tx1"/>
                  </w14:solidFill>
                </w14:textFill>
              </w:rPr>
              <w:t>周围是</w:t>
            </w:r>
            <w:r>
              <w:rPr>
                <w:rFonts w:hint="default" w:ascii="Times New Roman" w:hAnsi="Times New Roman" w:eastAsia="宋体" w:cs="Times New Roman"/>
                <w:color w:val="000000" w:themeColor="text1"/>
                <w:highlight w:val="none"/>
                <w:lang w:eastAsia="zh-CN"/>
                <w14:textFill>
                  <w14:solidFill>
                    <w14:schemeClr w14:val="tx1"/>
                  </w14:solidFill>
                </w14:textFill>
              </w:rPr>
              <w:t>竹林</w:t>
            </w:r>
            <w:r>
              <w:rPr>
                <w:rFonts w:hint="default" w:ascii="Times New Roman" w:hAnsi="Times New Roman" w:eastAsia="宋体" w:cs="Times New Roman"/>
                <w:color w:val="000000" w:themeColor="text1"/>
                <w:highlight w:val="none"/>
                <w14:textFill>
                  <w14:solidFill>
                    <w14:schemeClr w14:val="tx1"/>
                  </w14:solidFill>
                </w14:textFill>
              </w:rPr>
              <w:t>，未有明显的水土流失和地质灾害状况发生。</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根据现状调查，评价区内没有发现各类保护区和国家重点保护的珍稀濒危物种，无其他需保护的生态环境敏感保护目标。</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4.2主要环境保护目标</w:t>
            </w:r>
          </w:p>
          <w:p>
            <w:pPr>
              <w:tabs>
                <w:tab w:val="left" w:pos="1770"/>
              </w:tabs>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highlight w:val="none"/>
                <w14:textFill>
                  <w14:solidFill>
                    <w14:schemeClr w14:val="tx1"/>
                  </w14:solidFill>
                </w14:textFill>
              </w:rPr>
              <w:t>项目的主要环境保护目标，是保护好项目所在地周围评价区域环境质量。要采取有效的环保措施，确保项目所在地区域原有的环境空气、地表水和声环境质量不致因本项目的建设和运行而受到影响。</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（1）环境空气质量</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执行</w:t>
            </w:r>
            <w:r>
              <w:rPr>
                <w:rFonts w:hint="default" w:ascii="Times New Roman" w:hAnsi="Times New Roman" w:eastAsia="宋体" w:cs="Times New Roman"/>
                <w:color w:val="000000" w:themeColor="text1"/>
                <w:sz w:val="24"/>
                <w:highlight w:val="none"/>
                <w14:textFill>
                  <w14:solidFill>
                    <w14:schemeClr w14:val="tx1"/>
                  </w14:solidFill>
                </w14:textFill>
              </w:rPr>
              <w:t>《环境空气质量标准》（GB3095-2012）二级标准。控制废气排放对附近空气环境的影响。</w:t>
            </w:r>
          </w:p>
          <w:p>
            <w:pPr>
              <w:tabs>
                <w:tab w:val="left" w:pos="1770"/>
              </w:tabs>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（2）项目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附近</w:t>
            </w:r>
            <w:r>
              <w:rPr>
                <w:rFonts w:hint="default" w:ascii="Times New Roman" w:hAnsi="Times New Roman" w:eastAsia="宋体" w:cs="Times New Roman"/>
                <w:color w:val="000000" w:themeColor="text1"/>
                <w:sz w:val="24"/>
                <w:highlight w:val="none"/>
                <w14:textFill>
                  <w14:solidFill>
                    <w14:schemeClr w14:val="tx1"/>
                  </w14:solidFill>
                </w14:textFill>
              </w:rPr>
              <w:t>水体水环境质量</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执行</w:t>
            </w:r>
            <w:r>
              <w:rPr>
                <w:rFonts w:hint="default" w:ascii="Times New Roman" w:hAnsi="Times New Roman" w:eastAsia="宋体" w:cs="Times New Roman"/>
                <w:color w:val="000000" w:themeColor="text1"/>
                <w:sz w:val="24"/>
                <w:highlight w:val="none"/>
                <w14:textFill>
                  <w14:solidFill>
                    <w14:schemeClr w14:val="tx1"/>
                  </w14:solidFill>
                </w14:textFill>
              </w:rPr>
              <w:t>（GB3838-2002）中的Ⅲ类标准。控制废</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（污）</w:t>
            </w:r>
            <w:r>
              <w:rPr>
                <w:rFonts w:hint="default" w:ascii="Times New Roman" w:hAnsi="Times New Roman" w:eastAsia="宋体" w:cs="Times New Roman"/>
                <w:color w:val="000000" w:themeColor="text1"/>
                <w:sz w:val="24"/>
                <w:highlight w:val="none"/>
                <w14:textFill>
                  <w14:solidFill>
                    <w14:schemeClr w14:val="tx1"/>
                  </w14:solidFill>
                </w14:textFill>
              </w:rPr>
              <w:t>水排放对附近水环境的影响。</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（3）声环境质量</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执行《声环境质量标准》（GB3096-2008）</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中的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类标准。控制各种噪声声源，确保项目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厂界</w:t>
            </w:r>
            <w:r>
              <w:rPr>
                <w:rFonts w:hint="default" w:ascii="Times New Roman" w:hAnsi="Times New Roman" w:eastAsia="宋体" w:cs="Times New Roman"/>
                <w:color w:val="000000" w:themeColor="text1"/>
                <w:sz w:val="24"/>
                <w:highlight w:val="none"/>
                <w14:textFill>
                  <w14:solidFill>
                    <w14:schemeClr w14:val="tx1"/>
                  </w14:solidFill>
                </w14:textFill>
              </w:rPr>
              <w:t>噪声达到《工业企业厂界环境噪声排放标准》(GB12348-2008)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类要求。</w:t>
            </w:r>
          </w:p>
          <w:p>
            <w:pPr>
              <w:pStyle w:val="72"/>
              <w:adjustRightInd/>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（4）环境敏感点</w:t>
            </w:r>
          </w:p>
          <w:p>
            <w:pPr>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highlight w:val="none"/>
                <w14:textFill>
                  <w14:solidFill>
                    <w14:schemeClr w14:val="tx1"/>
                  </w14:solidFill>
                </w14:textFill>
              </w:rPr>
              <w:t>项目</w:t>
            </w:r>
            <w:r>
              <w:rPr>
                <w:rFonts w:hint="default" w:ascii="Times New Roman" w:hAnsi="Times New Roman" w:eastAsia="宋体" w:cs="Times New Roman"/>
                <w:color w:val="000000" w:themeColor="text1"/>
                <w:sz w:val="24"/>
                <w:szCs w:val="28"/>
                <w:highlight w:val="none"/>
                <w14:textFill>
                  <w14:solidFill>
                    <w14:schemeClr w14:val="tx1"/>
                  </w14:solidFill>
                </w14:textFill>
              </w:rPr>
              <w:t>主要环境敏感点如表4.2-1。</w:t>
            </w:r>
          </w:p>
          <w:p>
            <w:pPr>
              <w:spacing w:beforeLines="5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表4.2-1</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主要环境保护目标</w:t>
            </w:r>
          </w:p>
          <w:tbl>
            <w:tblPr>
              <w:tblStyle w:val="26"/>
              <w:tblW w:w="918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350"/>
              <w:gridCol w:w="819"/>
              <w:gridCol w:w="1258"/>
              <w:gridCol w:w="1084"/>
              <w:gridCol w:w="39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4" w:hRule="atLeast"/>
                <w:jc w:val="center"/>
              </w:trPr>
              <w:tc>
                <w:tcPr>
                  <w:tcW w:w="702" w:type="dxa"/>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序号</w:t>
                  </w:r>
                </w:p>
              </w:tc>
              <w:tc>
                <w:tcPr>
                  <w:tcW w:w="1350" w:type="dxa"/>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环境敏感点</w:t>
                  </w:r>
                </w:p>
              </w:tc>
              <w:tc>
                <w:tcPr>
                  <w:tcW w:w="819" w:type="dxa"/>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方位</w:t>
                  </w:r>
                </w:p>
              </w:tc>
              <w:tc>
                <w:tcPr>
                  <w:tcW w:w="1258" w:type="dxa"/>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距离</w:t>
                  </w:r>
                </w:p>
              </w:tc>
              <w:tc>
                <w:tcPr>
                  <w:tcW w:w="1084" w:type="dxa"/>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规模</w:t>
                  </w:r>
                </w:p>
              </w:tc>
              <w:tc>
                <w:tcPr>
                  <w:tcW w:w="3967" w:type="dxa"/>
                  <w:noWrap w:val="0"/>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02"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135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上刀排村</w:t>
                  </w:r>
                </w:p>
              </w:tc>
              <w:tc>
                <w:tcPr>
                  <w:tcW w:w="819"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N</w:t>
                  </w:r>
                </w:p>
              </w:tc>
              <w:tc>
                <w:tcPr>
                  <w:tcW w:w="125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145m</w:t>
                  </w:r>
                </w:p>
              </w:tc>
              <w:tc>
                <w:tcPr>
                  <w:tcW w:w="108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174人</w:t>
                  </w:r>
                </w:p>
              </w:tc>
              <w:tc>
                <w:tcPr>
                  <w:tcW w:w="3967" w:type="dxa"/>
                  <w:noWrap w:val="0"/>
                  <w:vAlign w:val="center"/>
                </w:tcPr>
                <w:p>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（GB3095-2012）中的二级标准</w:t>
                  </w:r>
                </w:p>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（GB3096-2008）中的</w:t>
                  </w:r>
                  <w:r>
                    <w:rPr>
                      <w:rFonts w:hint="default" w:ascii="Times New Roman" w:hAnsi="Times New Roman" w:eastAsia="宋体" w:cs="Times New Roman"/>
                      <w:bCs/>
                      <w:color w:val="000000" w:themeColor="text1"/>
                      <w:lang w:val="en-US" w:eastAsia="zh-CN"/>
                      <w14:textFill>
                        <w14:solidFill>
                          <w14:schemeClr w14:val="tx1"/>
                        </w14:solidFill>
                      </w14:textFill>
                    </w:rPr>
                    <w:t>2</w:t>
                  </w:r>
                  <w:r>
                    <w:rPr>
                      <w:rFonts w:hint="default" w:ascii="Times New Roman" w:hAnsi="Times New Roman" w:eastAsia="宋体" w:cs="Times New Roman"/>
                      <w:bCs/>
                      <w:color w:val="000000" w:themeColor="text1"/>
                      <w14:textFill>
                        <w14:solidFill>
                          <w14:schemeClr w14:val="tx1"/>
                        </w14:solidFill>
                      </w14:textFill>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02"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135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下刀排村</w:t>
                  </w:r>
                </w:p>
              </w:tc>
              <w:tc>
                <w:tcPr>
                  <w:tcW w:w="819" w:type="dxa"/>
                  <w:noWrap w:val="0"/>
                  <w:vAlign w:val="center"/>
                </w:tcPr>
                <w:p>
                  <w:pPr>
                    <w:jc w:val="center"/>
                    <w:rPr>
                      <w:rFonts w:hint="default" w:ascii="Times New Roman" w:hAnsi="Times New Roman" w:eastAsia="宋体" w:cs="Times New Roman"/>
                      <w:color w:val="000000" w:themeColor="text1"/>
                      <w:szCs w:val="22"/>
                      <w14:textFill>
                        <w14:solidFill>
                          <w14:schemeClr w14:val="tx1"/>
                        </w14:solidFill>
                      </w14:textFill>
                    </w:rPr>
                  </w:pPr>
                  <w:r>
                    <w:rPr>
                      <w:rFonts w:hint="default" w:ascii="Times New Roman" w:hAnsi="Times New Roman" w:eastAsia="宋体" w:cs="Times New Roman"/>
                      <w:color w:val="000000" w:themeColor="text1"/>
                      <w:szCs w:val="22"/>
                      <w:lang w:val="en-US" w:eastAsia="zh-CN"/>
                      <w14:textFill>
                        <w14:solidFill>
                          <w14:schemeClr w14:val="tx1"/>
                        </w14:solidFill>
                      </w14:textFill>
                    </w:rPr>
                    <w:t>W</w:t>
                  </w:r>
                  <w:r>
                    <w:rPr>
                      <w:rFonts w:hint="default" w:ascii="Times New Roman" w:hAnsi="Times New Roman" w:eastAsia="宋体" w:cs="Times New Roman"/>
                      <w:color w:val="000000" w:themeColor="text1"/>
                      <w:szCs w:val="22"/>
                      <w14:textFill>
                        <w14:solidFill>
                          <w14:schemeClr w14:val="tx1"/>
                        </w14:solidFill>
                      </w14:textFill>
                    </w:rPr>
                    <w:t>N</w:t>
                  </w:r>
                </w:p>
              </w:tc>
              <w:tc>
                <w:tcPr>
                  <w:tcW w:w="125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250</w:t>
                  </w:r>
                  <w:r>
                    <w:rPr>
                      <w:rFonts w:hint="default" w:ascii="Times New Roman" w:hAnsi="Times New Roman" w:eastAsia="宋体" w:cs="Times New Roman"/>
                      <w:color w:val="000000" w:themeColor="text1"/>
                      <w:szCs w:val="21"/>
                      <w14:textFill>
                        <w14:solidFill>
                          <w14:schemeClr w14:val="tx1"/>
                        </w14:solidFill>
                      </w14:textFill>
                    </w:rPr>
                    <w:t>m</w:t>
                  </w:r>
                </w:p>
              </w:tc>
              <w:tc>
                <w:tcPr>
                  <w:tcW w:w="108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210人</w:t>
                  </w:r>
                </w:p>
              </w:tc>
              <w:tc>
                <w:tcPr>
                  <w:tcW w:w="3967" w:type="dxa"/>
                  <w:vMerge w:val="restart"/>
                  <w:noWrap w:val="0"/>
                  <w:vAlign w:val="center"/>
                </w:tcPr>
                <w:p>
                  <w:pPr>
                    <w:jc w:val="center"/>
                    <w:rPr>
                      <w:rFonts w:hint="default" w:ascii="Times New Roman" w:hAnsi="Times New Roman" w:eastAsia="宋体" w:cs="Times New Roman"/>
                      <w:bCs/>
                      <w:color w:val="000000" w:themeColor="text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（GB3095-2012）中的二级标准</w:t>
                  </w:r>
                </w:p>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02"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1350"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升平村</w:t>
                  </w:r>
                </w:p>
              </w:tc>
              <w:tc>
                <w:tcPr>
                  <w:tcW w:w="819" w:type="dxa"/>
                  <w:noWrap w:val="0"/>
                  <w:vAlign w:val="center"/>
                </w:tcPr>
                <w:p>
                  <w:pPr>
                    <w:jc w:val="center"/>
                    <w:rPr>
                      <w:rFonts w:hint="default" w:ascii="Times New Roman" w:hAnsi="Times New Roman" w:eastAsia="宋体" w:cs="Times New Roman"/>
                      <w:color w:val="000000" w:themeColor="text1"/>
                      <w:szCs w:val="22"/>
                      <w14:textFill>
                        <w14:solidFill>
                          <w14:schemeClr w14:val="tx1"/>
                        </w14:solidFill>
                      </w14:textFill>
                    </w:rPr>
                  </w:pPr>
                  <w:r>
                    <w:rPr>
                      <w:rFonts w:hint="default" w:ascii="Times New Roman" w:hAnsi="Times New Roman" w:eastAsia="宋体" w:cs="Times New Roman"/>
                      <w:color w:val="000000" w:themeColor="text1"/>
                      <w:szCs w:val="22"/>
                      <w14:textFill>
                        <w14:solidFill>
                          <w14:schemeClr w14:val="tx1"/>
                        </w14:solidFill>
                      </w14:textFill>
                    </w:rPr>
                    <w:t>N</w:t>
                  </w:r>
                </w:p>
              </w:tc>
              <w:tc>
                <w:tcPr>
                  <w:tcW w:w="1258"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826m</w:t>
                  </w:r>
                </w:p>
              </w:tc>
              <w:tc>
                <w:tcPr>
                  <w:tcW w:w="108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200人</w:t>
                  </w:r>
                </w:p>
              </w:tc>
              <w:tc>
                <w:tcPr>
                  <w:tcW w:w="3967"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02"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1350"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三门村</w:t>
                  </w:r>
                </w:p>
              </w:tc>
              <w:tc>
                <w:tcPr>
                  <w:tcW w:w="819" w:type="dxa"/>
                  <w:noWrap w:val="0"/>
                  <w:vAlign w:val="center"/>
                </w:tcPr>
                <w:p>
                  <w:pPr>
                    <w:jc w:val="center"/>
                    <w:rPr>
                      <w:rFonts w:hint="default" w:ascii="Times New Roman" w:hAnsi="Times New Roman" w:eastAsia="宋体" w:cs="Times New Roman"/>
                      <w:color w:val="000000" w:themeColor="text1"/>
                      <w:szCs w:val="22"/>
                      <w14:textFill>
                        <w14:solidFill>
                          <w14:schemeClr w14:val="tx1"/>
                        </w14:solidFill>
                      </w14:textFill>
                    </w:rPr>
                  </w:pPr>
                  <w:r>
                    <w:rPr>
                      <w:rFonts w:hint="default" w:ascii="Times New Roman" w:hAnsi="Times New Roman" w:eastAsia="宋体" w:cs="Times New Roman"/>
                      <w:color w:val="000000" w:themeColor="text1"/>
                      <w:szCs w:val="22"/>
                      <w:lang w:val="en-US" w:eastAsia="zh-CN"/>
                      <w14:textFill>
                        <w14:solidFill>
                          <w14:schemeClr w14:val="tx1"/>
                        </w14:solidFill>
                      </w14:textFill>
                    </w:rPr>
                    <w:t>W</w:t>
                  </w:r>
                  <w:r>
                    <w:rPr>
                      <w:rFonts w:hint="default" w:ascii="Times New Roman" w:hAnsi="Times New Roman" w:eastAsia="宋体" w:cs="Times New Roman"/>
                      <w:color w:val="000000" w:themeColor="text1"/>
                      <w:szCs w:val="22"/>
                      <w14:textFill>
                        <w14:solidFill>
                          <w14:schemeClr w14:val="tx1"/>
                        </w14:solidFill>
                      </w14:textFill>
                    </w:rPr>
                    <w:t>N</w:t>
                  </w:r>
                </w:p>
              </w:tc>
              <w:tc>
                <w:tcPr>
                  <w:tcW w:w="1258" w:type="dxa"/>
                  <w:noWrap w:val="0"/>
                  <w:vAlign w:val="center"/>
                </w:tcPr>
                <w:p>
                  <w:pPr>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1000m</w:t>
                  </w:r>
                </w:p>
              </w:tc>
              <w:tc>
                <w:tcPr>
                  <w:tcW w:w="108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150人</w:t>
                  </w:r>
                </w:p>
              </w:tc>
              <w:tc>
                <w:tcPr>
                  <w:tcW w:w="3967" w:type="dxa"/>
                  <w:vMerge w:val="continue"/>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702"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1350"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潖江河</w:t>
                  </w:r>
                </w:p>
              </w:tc>
              <w:tc>
                <w:tcPr>
                  <w:tcW w:w="819" w:type="dxa"/>
                  <w:noWrap w:val="0"/>
                  <w:vAlign w:val="center"/>
                </w:tcPr>
                <w:p>
                  <w:pPr>
                    <w:jc w:val="center"/>
                    <w:rPr>
                      <w:rFonts w:hint="default" w:ascii="Times New Roman" w:hAnsi="Times New Roman" w:eastAsia="宋体" w:cs="Times New Roman"/>
                      <w:color w:val="000000" w:themeColor="text1"/>
                      <w:szCs w:val="22"/>
                      <w14:textFill>
                        <w14:solidFill>
                          <w14:schemeClr w14:val="tx1"/>
                        </w14:solidFill>
                      </w14:textFill>
                    </w:rPr>
                  </w:pPr>
                  <w:r>
                    <w:rPr>
                      <w:rFonts w:hint="default" w:ascii="Times New Roman" w:hAnsi="Times New Roman" w:eastAsia="宋体" w:cs="Times New Roman"/>
                      <w:color w:val="000000" w:themeColor="text1"/>
                      <w:szCs w:val="22"/>
                      <w14:textFill>
                        <w14:solidFill>
                          <w14:schemeClr w14:val="tx1"/>
                        </w14:solidFill>
                      </w14:textFill>
                    </w:rPr>
                    <w:t>N</w:t>
                  </w:r>
                </w:p>
              </w:tc>
              <w:tc>
                <w:tcPr>
                  <w:tcW w:w="1258"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25m</w:t>
                  </w:r>
                </w:p>
              </w:tc>
              <w:tc>
                <w:tcPr>
                  <w:tcW w:w="1084"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w:t>
                  </w:r>
                </w:p>
              </w:tc>
              <w:tc>
                <w:tcPr>
                  <w:tcW w:w="3967"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（GB3838-2002）中的Ⅲ类标准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jc w:val="center"/>
              </w:trPr>
              <w:tc>
                <w:tcPr>
                  <w:tcW w:w="702" w:type="dxa"/>
                  <w:noWrap w:val="0"/>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生态环境</w:t>
                  </w:r>
                </w:p>
              </w:tc>
              <w:tc>
                <w:tcPr>
                  <w:tcW w:w="8478" w:type="dxa"/>
                  <w:gridSpan w:val="5"/>
                  <w:noWrap w:val="0"/>
                  <w:vAlign w:val="center"/>
                </w:tcPr>
                <w:p>
                  <w:pP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根据调查，评价区域范围内尚无涉及自然保护区、饮用水源保护区、严格控制区、风景名胜区、森林公园、以及其他需要特别保护的受国家和地方保护的历史文物、文化遗址、重要政治文化设施等环境敏感区域。</w:t>
                  </w:r>
                </w:p>
              </w:tc>
            </w:tr>
          </w:tbl>
          <w:p>
            <w:pPr>
              <w:spacing w:beforeLines="50"/>
              <w:jc w:val="cente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p>
          <w:p>
            <w:pPr>
              <w:pStyle w:val="2"/>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p>
          <w:p>
            <w:pPr>
              <w:spacing w:beforeLines="50"/>
              <w:jc w:val="cente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p>
          <w:p>
            <w:pPr>
              <w:rPr>
                <w:rFonts w:hint="default" w:ascii="Times New Roman" w:hAnsi="Times New Roman" w:eastAsia="宋体" w:cs="Times New Roman"/>
                <w:color w:val="000000" w:themeColor="text1"/>
                <w:sz w:val="24"/>
                <w:szCs w:val="28"/>
                <w:highlight w:val="none"/>
                <w14:textFill>
                  <w14:solidFill>
                    <w14:schemeClr w14:val="tx1"/>
                  </w14:solidFill>
                </w14:textFill>
              </w:rPr>
            </w:pPr>
          </w:p>
        </w:tc>
      </w:tr>
    </w:tbl>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color w:val="000000" w:themeColor="text1"/>
          <w:sz w:val="32"/>
          <w:szCs w:val="32"/>
          <w:highlight w:val="none"/>
          <w14:textFill>
            <w14:solidFill>
              <w14:schemeClr w14:val="tx1"/>
            </w14:solidFill>
          </w14:textFill>
        </w:rPr>
        <w:br w:type="page"/>
      </w: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8" w:name="_Toc30037"/>
      <w:bookmarkStart w:id="9" w:name="_Toc61"/>
      <w:r>
        <w:rPr>
          <w:rFonts w:hint="default" w:ascii="Times New Roman" w:hAnsi="Times New Roman" w:eastAsia="宋体" w:cs="Times New Roman"/>
          <w:b/>
          <w:bCs/>
          <w:color w:val="000000" w:themeColor="text1"/>
          <w:sz w:val="32"/>
          <w:szCs w:val="32"/>
          <w:highlight w:val="none"/>
          <w14:textFill>
            <w14:solidFill>
              <w14:schemeClr w14:val="tx1"/>
            </w14:solidFill>
          </w14:textFill>
        </w:rPr>
        <w:t>05.评价适用标准</w:t>
      </w:r>
      <w:bookmarkEnd w:id="8"/>
      <w:bookmarkEnd w:id="9"/>
    </w:p>
    <w:tbl>
      <w:tblPr>
        <w:tblStyle w:val="26"/>
        <w:tblW w:w="9440" w:type="dxa"/>
        <w:jc w:val="center"/>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44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5192" w:hRule="atLeast"/>
          <w:jc w:val="center"/>
        </w:trPr>
        <w:tc>
          <w:tcPr>
            <w:tcW w:w="9440" w:type="dxa"/>
          </w:tcPr>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5.1环境质量标准</w:t>
            </w:r>
          </w:p>
          <w:p>
            <w:pPr>
              <w:spacing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5.1.1水环境质量标准</w:t>
            </w:r>
          </w:p>
          <w:p>
            <w:pPr>
              <w:spacing w:line="360" w:lineRule="auto"/>
              <w:ind w:firstLine="471"/>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附近</w:t>
            </w:r>
            <w:r>
              <w:rPr>
                <w:rFonts w:hint="default" w:ascii="Times New Roman" w:hAnsi="Times New Roman" w:eastAsia="宋体" w:cs="Times New Roman"/>
                <w:color w:val="000000" w:themeColor="text1"/>
                <w:sz w:val="24"/>
                <w:szCs w:val="24"/>
                <w:highlight w:val="none"/>
                <w14:textFill>
                  <w14:solidFill>
                    <w14:schemeClr w14:val="tx1"/>
                  </w14:solidFill>
                </w14:textFill>
              </w:rPr>
              <w:t>水体潖江河</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潖江（佛冈县城湖滨至北江与浰江交汇处）</w:t>
            </w:r>
            <w:r>
              <w:rPr>
                <w:rFonts w:hint="default" w:ascii="Times New Roman" w:hAnsi="Times New Roman" w:eastAsia="宋体" w:cs="Times New Roman"/>
                <w:snapToGrid w:val="0"/>
                <w:color w:val="000000" w:themeColor="text1"/>
                <w:kern w:val="0"/>
                <w:sz w:val="24"/>
                <w:szCs w:val="20"/>
                <w:lang w:eastAsia="zh-CN"/>
                <w14:textFill>
                  <w14:solidFill>
                    <w14:schemeClr w14:val="tx1"/>
                  </w14:solidFill>
                </w14:textFill>
              </w:rPr>
              <w:t>属于</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Ⅲ类</w:t>
            </w:r>
            <w:r>
              <w:rPr>
                <w:rFonts w:hint="default" w:ascii="Times New Roman" w:hAnsi="Times New Roman" w:eastAsia="宋体" w:cs="Times New Roman"/>
                <w:snapToGrid w:val="0"/>
                <w:color w:val="000000" w:themeColor="text1"/>
                <w:kern w:val="0"/>
                <w:sz w:val="24"/>
                <w:szCs w:val="20"/>
                <w:lang w:eastAsia="zh-CN"/>
                <w14:textFill>
                  <w14:solidFill>
                    <w14:schemeClr w14:val="tx1"/>
                  </w14:solidFill>
                </w14:textFill>
              </w:rPr>
              <w:t>水功能区，</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执行《地表水环境质量标准》（GB3838-2002）Ⅲ类水质标准</w:t>
            </w:r>
            <w:r>
              <w:rPr>
                <w:rFonts w:hint="default" w:ascii="Times New Roman" w:hAnsi="Times New Roman" w:eastAsia="宋体" w:cs="Times New Roman"/>
                <w:color w:val="000000" w:themeColor="text1"/>
                <w:sz w:val="24"/>
                <w:highlight w:val="none"/>
                <w14:textFill>
                  <w14:solidFill>
                    <w14:schemeClr w14:val="tx1"/>
                  </w14:solidFill>
                </w14:textFill>
              </w:rPr>
              <w:t>。详见下表。</w:t>
            </w:r>
          </w:p>
          <w:p>
            <w:pPr>
              <w:widowControl/>
              <w:spacing w:beforeLines="50"/>
              <w:jc w:val="cente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表5.1-1</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地表水环境质量标准</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0"/>
              <w:gridCol w:w="3252"/>
              <w:gridCol w:w="45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b/>
                      <w:bCs w:val="0"/>
                      <w:caps w:val="0"/>
                      <w:snapToGrid w:val="0"/>
                      <w:color w:val="000000" w:themeColor="text1"/>
                      <w:kern w:val="0"/>
                      <w:highlight w:val="none"/>
                      <w14:textFill>
                        <w14:solidFill>
                          <w14:schemeClr w14:val="tx1"/>
                        </w14:solidFill>
                      </w14:textFill>
                    </w:rPr>
                    <w:t>序号</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b/>
                      <w:bCs w:val="0"/>
                      <w:caps w:val="0"/>
                      <w:snapToGrid w:val="0"/>
                      <w:color w:val="000000" w:themeColor="text1"/>
                      <w:kern w:val="0"/>
                      <w:highlight w:val="none"/>
                      <w14:textFill>
                        <w14:solidFill>
                          <w14:schemeClr w14:val="tx1"/>
                        </w14:solidFill>
                      </w14:textFill>
                    </w:rPr>
                    <w:t>项目名称</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
                      <w:bCs w:val="0"/>
                      <w:caps w:val="0"/>
                      <w:snapToGrid w:val="0"/>
                      <w:color w:val="000000" w:themeColor="text1"/>
                      <w:kern w:val="0"/>
                      <w:highlight w:val="none"/>
                      <w14:textFill>
                        <w14:solidFill>
                          <w14:schemeClr w14:val="tx1"/>
                        </w14:solidFill>
                      </w14:textFill>
                    </w:rPr>
                    <w:t>Ⅲ类标准</w:t>
                  </w:r>
                  <w:r>
                    <w:rPr>
                      <w:rFonts w:hint="default" w:ascii="Times New Roman" w:hAnsi="Times New Roman" w:eastAsia="宋体" w:cs="Times New Roman"/>
                      <w:b/>
                      <w:bCs w:val="0"/>
                      <w:caps w:val="0"/>
                      <w:snapToGrid w:val="0"/>
                      <w:color w:val="000000" w:themeColor="text1"/>
                      <w:kern w:val="0"/>
                      <w:highlight w:val="none"/>
                      <w:lang w:eastAsia="zh-CN"/>
                      <w14:textFill>
                        <w14:solidFill>
                          <w14:schemeClr w14:val="tx1"/>
                        </w14:solidFill>
                      </w14:textFill>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1</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bookmarkStart w:id="10" w:name="_Toc109467320"/>
                  <w:bookmarkStart w:id="11" w:name="_Toc109183696"/>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酸碱度（pH</w:t>
                  </w:r>
                  <w:bookmarkEnd w:id="10"/>
                  <w:bookmarkEnd w:id="11"/>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p>
              </w:tc>
              <w:tc>
                <w:tcPr>
                  <w:tcW w:w="4572" w:type="dxa"/>
                  <w:tcBorders>
                    <w:tl2br w:val="nil"/>
                    <w:tr2bl w:val="nil"/>
                  </w:tcBorders>
                  <w:vAlign w:val="center"/>
                </w:tcPr>
                <w:p>
                  <w:pPr>
                    <w:keepNext w:val="0"/>
                    <w:keepLines w:val="0"/>
                    <w:pageBreakBefore w:val="0"/>
                    <w:kinsoku/>
                    <w:wordWrap/>
                    <w:overflowPunct/>
                    <w:topLinePunct w:val="0"/>
                    <w:autoSpaceDE/>
                    <w:bidi w:val="0"/>
                    <w:spacing w:line="240" w:lineRule="exact"/>
                    <w:ind w:left="0" w:leftChars="0" w:right="0" w:rightChars="0" w:firstLine="0" w:firstLineChars="0"/>
                    <w:jc w:val="cente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2</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溶解氧（DO）</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5</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3</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化学需氧量（CODcr）</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20</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4</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生化需氧量（BOD</w:t>
                  </w:r>
                  <w:r>
                    <w:rPr>
                      <w:rFonts w:hint="default" w:ascii="Times New Roman" w:hAnsi="Times New Roman" w:eastAsia="宋体" w:cs="Times New Roman"/>
                      <w:caps w:val="0"/>
                      <w:snapToGrid w:val="0"/>
                      <w:color w:val="000000" w:themeColor="text1"/>
                      <w:kern w:val="0"/>
                      <w:highlight w:val="none"/>
                      <w:vertAlign w:val="subscript"/>
                      <w14:textFill>
                        <w14:solidFill>
                          <w14:schemeClr w14:val="tx1"/>
                        </w14:solidFill>
                      </w14:textFill>
                    </w:rPr>
                    <w:t>5</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4</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5</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氨氮（NH</w:t>
                  </w:r>
                  <w:r>
                    <w:rPr>
                      <w:rFonts w:hint="default" w:ascii="Times New Roman" w:hAnsi="Times New Roman" w:eastAsia="宋体" w:cs="Times New Roman"/>
                      <w:caps w:val="0"/>
                      <w:snapToGrid w:val="0"/>
                      <w:color w:val="000000" w:themeColor="text1"/>
                      <w:kern w:val="0"/>
                      <w:highlight w:val="none"/>
                      <w:vertAlign w:val="subscript"/>
                      <w14:textFill>
                        <w14:solidFill>
                          <w14:schemeClr w14:val="tx1"/>
                        </w14:solidFill>
                      </w14:textFill>
                    </w:rPr>
                    <w:t>3</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-N）</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1.0</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6</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总磷（TP）</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0.2</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7</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石油类</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≤0.</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05</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lang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8</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LAS</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0.2</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9</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挥发酚</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0.2</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10</w:t>
                  </w:r>
                </w:p>
              </w:tc>
              <w:tc>
                <w:tcPr>
                  <w:tcW w:w="32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铅</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0.05</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11</w:t>
                  </w:r>
                </w:p>
              </w:tc>
              <w:tc>
                <w:tcPr>
                  <w:tcW w:w="3252" w:type="dxa"/>
                  <w:tcBorders>
                    <w:tl2br w:val="nil"/>
                    <w:tr2bl w:val="nil"/>
                  </w:tcBorders>
                  <w:vAlign w:val="center"/>
                </w:tcPr>
                <w:p>
                  <w:pPr>
                    <w:ind w:left="-99" w:leftChars="-47" w:right="-94" w:rightChars="-45"/>
                    <w:jc w:val="cente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粪肠杆菌</w:t>
                  </w:r>
                </w:p>
              </w:tc>
              <w:tc>
                <w:tcPr>
                  <w:tcW w:w="45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pP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10000</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lang w:eastAsia="zh-CN"/>
                      <w14:textFill>
                        <w14:solidFill>
                          <w14:schemeClr w14:val="tx1"/>
                        </w14:solidFill>
                      </w14:textFill>
                    </w:rPr>
                    <w:t>个</w:t>
                  </w:r>
                  <w:r>
                    <w:rPr>
                      <w:rFonts w:hint="default" w:ascii="Times New Roman" w:hAnsi="Times New Roman" w:eastAsia="宋体" w:cs="Times New Roman"/>
                      <w:caps w:val="0"/>
                      <w:snapToGrid w:val="0"/>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caps w:val="0"/>
                      <w:snapToGrid w:val="0"/>
                      <w:color w:val="000000" w:themeColor="text1"/>
                      <w:kern w:val="0"/>
                      <w:highlight w:val="none"/>
                      <w14:textFill>
                        <w14:solidFill>
                          <w14:schemeClr w14:val="tx1"/>
                        </w14:solidFill>
                      </w14:textFill>
                    </w:rPr>
                    <w:t>/L）</w:t>
                  </w:r>
                </w:p>
              </w:tc>
            </w:tr>
          </w:tbl>
          <w:p>
            <w:pPr>
              <w:keepNext w:val="0"/>
              <w:keepLines w:val="0"/>
              <w:pageBreakBefore w:val="0"/>
              <w:widowControl w:val="0"/>
              <w:kinsoku/>
              <w:wordWrap/>
              <w:overflowPunct/>
              <w:topLinePunct w:val="0"/>
              <w:autoSpaceDE/>
              <w:autoSpaceDN/>
              <w:bidi w:val="0"/>
              <w:adjustRightInd/>
              <w:snapToGrid/>
              <w:spacing w:beforeLines="50" w:line="360" w:lineRule="auto"/>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5.1.2大气环境质量标准</w:t>
            </w:r>
          </w:p>
          <w:p>
            <w:pPr>
              <w:widowControl/>
              <w:spacing w:line="360" w:lineRule="auto"/>
              <w:ind w:firstLine="480" w:firstLineChars="200"/>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项目所在区域属于环境空气质量二类功能区，SO</w:t>
            </w:r>
            <w:r>
              <w:rPr>
                <w:rFonts w:hint="default" w:ascii="Times New Roman" w:hAnsi="Times New Roman" w:eastAsia="宋体" w:cs="Times New Roman"/>
                <w:bCs/>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、NO</w:t>
            </w:r>
            <w:r>
              <w:rPr>
                <w:rFonts w:hint="default" w:ascii="Times New Roman" w:hAnsi="Times New Roman" w:eastAsia="宋体" w:cs="Times New Roman"/>
                <w:bCs/>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Cs/>
                <w:color w:val="000000" w:themeColor="text1"/>
                <w:kern w:val="0"/>
                <w:sz w:val="24"/>
                <w:szCs w:val="24"/>
                <w:highlight w:val="none"/>
                <w:vertAlign w:val="subscript"/>
                <w14:textFill>
                  <w14:solidFill>
                    <w14:schemeClr w14:val="tx1"/>
                  </w14:solidFill>
                </w14:textFill>
              </w:rPr>
              <w:t>10</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Cs/>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CO、O</w:t>
            </w:r>
            <w:r>
              <w:rPr>
                <w:rFonts w:hint="default" w:ascii="Times New Roman" w:hAnsi="Times New Roman" w:eastAsia="宋体" w:cs="Times New Roman"/>
                <w:bCs/>
                <w:color w:val="000000" w:themeColor="text1"/>
                <w:kern w:val="0"/>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执行《环境空气质量标准》（GB 3095-2012）中的二级标准</w:t>
            </w:r>
            <w:r>
              <w:rPr>
                <w:rFonts w:hint="default" w:ascii="Times New Roman" w:hAnsi="Times New Roman" w:eastAsia="宋体" w:cs="Times New Roman"/>
                <w:bCs/>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详细标准值见表5.1-2。</w:t>
            </w:r>
          </w:p>
          <w:p>
            <w:pPr>
              <w:widowControl/>
              <w:spacing w:beforeLines="50"/>
              <w:ind w:firstLine="482" w:firstLineChars="200"/>
              <w:jc w:val="cente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表5.1-2</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环境空气质量标准</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16"/>
              <w:gridCol w:w="2084"/>
              <w:gridCol w:w="2008"/>
              <w:gridCol w:w="1460"/>
              <w:gridCol w:w="23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t>污染物名称</w:t>
                  </w: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t>取值时间</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aps w:val="0"/>
                      <w:color w:val="000000" w:themeColor="text1"/>
                      <w:sz w:val="21"/>
                      <w:szCs w:val="21"/>
                      <w:highlight w:val="none"/>
                      <w14:textFill>
                        <w14:solidFill>
                          <w14:schemeClr w14:val="tx1"/>
                        </w14:solidFill>
                      </w14:textFill>
                    </w:rPr>
                    <w:t>浓度限值</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aps w:val="0"/>
                      <w:color w:val="000000" w:themeColor="text1"/>
                      <w:sz w:val="21"/>
                      <w:szCs w:val="21"/>
                      <w:highlight w:val="none"/>
                      <w:lang w:eastAsia="zh-CN"/>
                      <w14:textFill>
                        <w14:solidFill>
                          <w14:schemeClr w14:val="tx1"/>
                        </w14:solidFill>
                      </w14:textFill>
                    </w:rPr>
                    <w:t>单位</w:t>
                  </w:r>
                </w:p>
              </w:tc>
              <w:tc>
                <w:tcPr>
                  <w:tcW w:w="235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aps w:val="0"/>
                      <w:color w:val="000000" w:themeColor="text1"/>
                      <w:sz w:val="21"/>
                      <w:szCs w:val="21"/>
                      <w:highlight w:val="none"/>
                      <w:lang w:eastAsia="zh-CN"/>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SO</w:t>
                  </w:r>
                  <w:r>
                    <w:rPr>
                      <w:rFonts w:hint="default" w:ascii="Times New Roman" w:hAnsi="Times New Roman" w:eastAsia="宋体" w:cs="Times New Roman"/>
                      <w:caps w:val="0"/>
                      <w:color w:val="000000" w:themeColor="text1"/>
                      <w:sz w:val="21"/>
                      <w:szCs w:val="21"/>
                      <w:highlight w:val="none"/>
                      <w:vertAlign w:val="subscript"/>
                      <w14:textFill>
                        <w14:solidFill>
                          <w14:schemeClr w14:val="tx1"/>
                        </w14:solidFill>
                      </w14:textFill>
                    </w:rPr>
                    <w:t>2</w:t>
                  </w: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1小时平均</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500</w:t>
                  </w:r>
                </w:p>
              </w:tc>
              <w:tc>
                <w:tcPr>
                  <w:tcW w:w="14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μ</w:t>
                  </w: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g/m³</w:t>
                  </w:r>
                </w:p>
              </w:tc>
              <w:tc>
                <w:tcPr>
                  <w:tcW w:w="235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w:t>
                  </w:r>
                  <w:r>
                    <w:rPr>
                      <w:rFonts w:hint="default" w:ascii="Times New Roman" w:hAnsi="Times New Roman" w:eastAsia="宋体" w:cs="Times New Roman"/>
                      <w:color w:val="000000" w:themeColor="text1"/>
                      <w:spacing w:val="-8"/>
                      <w:sz w:val="21"/>
                      <w:szCs w:val="21"/>
                      <w:highlight w:val="none"/>
                      <w14:textFill>
                        <w14:solidFill>
                          <w14:schemeClr w14:val="tx1"/>
                        </w14:solidFill>
                      </w14:textFill>
                    </w:rPr>
                    <w:t>（GB3095-2012）</w:t>
                  </w:r>
                  <w:r>
                    <w:rPr>
                      <w:rFonts w:hint="default" w:ascii="Times New Roman" w:hAnsi="Times New Roman" w:eastAsia="宋体" w:cs="Times New Roman"/>
                      <w:color w:val="000000" w:themeColor="text1"/>
                      <w:sz w:val="21"/>
                      <w:szCs w:val="21"/>
                      <w:highlight w:val="none"/>
                      <w14:textFill>
                        <w14:solidFill>
                          <w14:schemeClr w14:val="tx1"/>
                        </w14:solidFill>
                      </w14:textFill>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日平均</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150</w:t>
                  </w:r>
                </w:p>
              </w:tc>
              <w:tc>
                <w:tcPr>
                  <w:tcW w:w="14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235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NO</w:t>
                  </w:r>
                  <w:r>
                    <w:rPr>
                      <w:rFonts w:hint="default" w:ascii="Times New Roman" w:hAnsi="Times New Roman" w:eastAsia="宋体" w:cs="Times New Roman"/>
                      <w:caps w:val="0"/>
                      <w:color w:val="000000" w:themeColor="text1"/>
                      <w:sz w:val="21"/>
                      <w:szCs w:val="21"/>
                      <w:highlight w:val="none"/>
                      <w:vertAlign w:val="subscript"/>
                      <w14:textFill>
                        <w14:solidFill>
                          <w14:schemeClr w14:val="tx1"/>
                        </w14:solidFill>
                      </w14:textFill>
                    </w:rPr>
                    <w:t>2</w:t>
                  </w: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1小时平均</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200</w:t>
                  </w:r>
                </w:p>
              </w:tc>
              <w:tc>
                <w:tcPr>
                  <w:tcW w:w="14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235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日平均</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80</w:t>
                  </w:r>
                </w:p>
              </w:tc>
              <w:tc>
                <w:tcPr>
                  <w:tcW w:w="14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235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PM</w:t>
                  </w:r>
                  <w:r>
                    <w:rPr>
                      <w:rFonts w:hint="default" w:ascii="Times New Roman" w:hAnsi="Times New Roman" w:eastAsia="宋体" w:cs="Times New Roman"/>
                      <w:caps w:val="0"/>
                      <w:color w:val="000000" w:themeColor="text1"/>
                      <w:sz w:val="21"/>
                      <w:szCs w:val="21"/>
                      <w:highlight w:val="none"/>
                      <w:vertAlign w:val="subscript"/>
                      <w:lang w:val="en-US" w:eastAsia="zh-CN"/>
                      <w14:textFill>
                        <w14:solidFill>
                          <w14:schemeClr w14:val="tx1"/>
                        </w14:solidFill>
                      </w14:textFill>
                    </w:rPr>
                    <w:t>10</w:t>
                  </w: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日平均</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150</w:t>
                  </w:r>
                </w:p>
              </w:tc>
              <w:tc>
                <w:tcPr>
                  <w:tcW w:w="14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235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PM</w:t>
                  </w:r>
                  <w:r>
                    <w:rPr>
                      <w:rFonts w:hint="default" w:ascii="Times New Roman" w:hAnsi="Times New Roman" w:eastAsia="宋体" w:cs="Times New Roman"/>
                      <w:caps w:val="0"/>
                      <w:color w:val="000000" w:themeColor="text1"/>
                      <w:sz w:val="21"/>
                      <w:szCs w:val="21"/>
                      <w:highlight w:val="none"/>
                      <w:vertAlign w:val="subscript"/>
                      <w:lang w:val="en-US" w:eastAsia="zh-CN"/>
                      <w14:textFill>
                        <w14:solidFill>
                          <w14:schemeClr w14:val="tx1"/>
                        </w14:solidFill>
                      </w14:textFill>
                    </w:rPr>
                    <w:t>2.5</w:t>
                  </w: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日平均</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70</w:t>
                  </w:r>
                </w:p>
              </w:tc>
              <w:tc>
                <w:tcPr>
                  <w:tcW w:w="14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235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CO</w:t>
                  </w: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1小时平均</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10</w:t>
                  </w:r>
                </w:p>
              </w:tc>
              <w:tc>
                <w:tcPr>
                  <w:tcW w:w="14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mg/m³</w:t>
                  </w:r>
                </w:p>
              </w:tc>
              <w:tc>
                <w:tcPr>
                  <w:tcW w:w="235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日平均</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4</w:t>
                  </w:r>
                </w:p>
              </w:tc>
              <w:tc>
                <w:tcPr>
                  <w:tcW w:w="14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235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O</w:t>
                  </w:r>
                  <w:r>
                    <w:rPr>
                      <w:rFonts w:hint="default" w:ascii="Times New Roman" w:hAnsi="Times New Roman" w:eastAsia="宋体" w:cs="Times New Roman"/>
                      <w:caps w:val="0"/>
                      <w:color w:val="000000" w:themeColor="text1"/>
                      <w:sz w:val="21"/>
                      <w:szCs w:val="21"/>
                      <w:highlight w:val="none"/>
                      <w:vertAlign w:val="subscript"/>
                      <w:lang w:val="en-US" w:eastAsia="zh-CN"/>
                      <w14:textFill>
                        <w14:solidFill>
                          <w14:schemeClr w14:val="tx1"/>
                        </w14:solidFill>
                      </w14:textFill>
                    </w:rPr>
                    <w:t>3</w:t>
                  </w: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1小时平均</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200</w:t>
                  </w:r>
                </w:p>
              </w:tc>
              <w:tc>
                <w:tcPr>
                  <w:tcW w:w="14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μg/m³</w:t>
                  </w:r>
                </w:p>
              </w:tc>
              <w:tc>
                <w:tcPr>
                  <w:tcW w:w="235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131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c>
                <w:tcPr>
                  <w:tcW w:w="208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日最大</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8小时平均</w:t>
                  </w:r>
                </w:p>
              </w:tc>
              <w:tc>
                <w:tcPr>
                  <w:tcW w:w="20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160</w:t>
                  </w:r>
                </w:p>
              </w:tc>
              <w:tc>
                <w:tcPr>
                  <w:tcW w:w="14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235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beforeLines="50" w:line="360" w:lineRule="auto"/>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5.1.3声环境质量标准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项目所在地属</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类区域，执行《声环境质量标准》（GB3096-2008）中的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类标准，</w:t>
            </w:r>
            <w:r>
              <w:rPr>
                <w:rFonts w:hint="default" w:ascii="Times New Roman" w:hAnsi="Times New Roman" w:eastAsia="宋体" w:cs="Times New Roman"/>
                <w:color w:val="000000" w:themeColor="text1"/>
                <w:sz w:val="24"/>
                <w:highlight w:val="none"/>
                <w14:textFill>
                  <w14:solidFill>
                    <w14:schemeClr w14:val="tx1"/>
                  </w14:solidFill>
                </w14:textFill>
              </w:rPr>
              <w:t>详见下表。</w:t>
            </w:r>
          </w:p>
          <w:p>
            <w:pPr>
              <w:spacing w:beforeLines="50"/>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表5.1-3</w:t>
            </w:r>
            <w:r>
              <w:rPr>
                <w:rFonts w:hint="default" w:ascii="Times New Roman" w:hAnsi="Times New Roman" w:eastAsia="宋体" w:cs="Times New Roman"/>
                <w:b/>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声环境质量标准限值</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40"/>
              <w:gridCol w:w="3091"/>
              <w:gridCol w:w="2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40" w:type="dxa"/>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指标名称</w:t>
                  </w:r>
                </w:p>
              </w:tc>
              <w:tc>
                <w:tcPr>
                  <w:tcW w:w="3091" w:type="dxa"/>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昼间</w:t>
                  </w:r>
                </w:p>
              </w:tc>
              <w:tc>
                <w:tcPr>
                  <w:tcW w:w="2993" w:type="dxa"/>
                  <w:vAlign w:val="center"/>
                </w:tcPr>
                <w:p>
                  <w:pPr>
                    <w:jc w:val="center"/>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140" w:type="dxa"/>
                  <w:vAlign w:val="center"/>
                </w:tcPr>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类标准限值</w:t>
                  </w:r>
                </w:p>
              </w:tc>
              <w:tc>
                <w:tcPr>
                  <w:tcW w:w="3091" w:type="dxa"/>
                  <w:vAlign w:val="center"/>
                </w:tcPr>
                <w:p>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6</w:t>
                  </w: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2993" w:type="dxa"/>
                  <w:vAlign w:val="center"/>
                </w:tcPr>
                <w:p>
                  <w:pPr>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50</w:t>
                  </w:r>
                </w:p>
              </w:tc>
            </w:tr>
          </w:tbl>
          <w:p>
            <w:pPr>
              <w:pStyle w:val="72"/>
              <w:keepNext w:val="0"/>
              <w:keepLines w:val="0"/>
              <w:pageBreakBefore w:val="0"/>
              <w:widowControl w:val="0"/>
              <w:kinsoku/>
              <w:wordWrap/>
              <w:overflowPunct/>
              <w:topLinePunct w:val="0"/>
              <w:autoSpaceDE/>
              <w:autoSpaceDN/>
              <w:bidi w:val="0"/>
              <w:adjustRightInd/>
              <w:snapToGrid/>
              <w:spacing w:before="157" w:beforeLines="50"/>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5.2污染物排放标准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5.2.1废水排放标准</w:t>
            </w:r>
          </w:p>
          <w:p>
            <w:pPr>
              <w:spacing w:line="360" w:lineRule="auto"/>
              <w:ind w:firstLine="540" w:firstLineChars="225"/>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生活污水经自建一体化生活污水处理设施处理达到广东省地方标准《水污染物排放限值》(DB44/26-2001)中第二时段一级标准后排到潖江</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eastAsia="zh-CN"/>
                <w14:textFill>
                  <w14:solidFill>
                    <w14:schemeClr w14:val="tx1"/>
                  </w14:solidFill>
                </w14:textFill>
              </w:rPr>
              <w:t>生产废水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经自建“中和调节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+混凝</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絮凝</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+沉淀+过滤”的生产废水处理设施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处理达到广东省地方标准《水污染物排放限值》(DB44/26-2001)中第二时段一级标准后排到潖江</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color w:val="000000" w:themeColor="text1"/>
                <w:sz w:val="24"/>
                <w:szCs w:val="22"/>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szCs w:val="22"/>
                <w:highlight w:val="none"/>
                <w14:textFill>
                  <w14:solidFill>
                    <w14:schemeClr w14:val="tx1"/>
                  </w14:solidFill>
                </w14:textFill>
              </w:rPr>
              <w:t xml:space="preserve">表5.2-1  </w:t>
            </w:r>
            <w:r>
              <w:rPr>
                <w:rFonts w:hint="default" w:ascii="Times New Roman" w:hAnsi="Times New Roman" w:eastAsia="宋体" w:cs="Times New Roman"/>
                <w:b/>
                <w:color w:val="000000" w:themeColor="text1"/>
                <w:sz w:val="24"/>
                <w:szCs w:val="22"/>
                <w:highlight w:val="none"/>
                <w:lang w:val="en-US" w:eastAsia="zh-CN"/>
                <w14:textFill>
                  <w14:solidFill>
                    <w14:schemeClr w14:val="tx1"/>
                  </w14:solidFill>
                </w14:textFill>
              </w:rPr>
              <w:t xml:space="preserve">本项目污水排放标准  </w:t>
            </w:r>
            <w:r>
              <w:rPr>
                <w:rFonts w:hint="default" w:ascii="Times New Roman" w:hAnsi="Times New Roman" w:eastAsia="宋体" w:cs="Times New Roman"/>
                <w:b/>
                <w:color w:val="000000" w:themeColor="text1"/>
                <w:sz w:val="24"/>
                <w:szCs w:val="22"/>
                <w:highlight w:val="none"/>
                <w14:textFill>
                  <w14:solidFill>
                    <w14:schemeClr w14:val="tx1"/>
                  </w14:solidFill>
                </w14:textFill>
              </w:rPr>
              <w:t>单位：mg/L，pH</w:t>
            </w:r>
            <w:r>
              <w:rPr>
                <w:rFonts w:hint="default" w:ascii="Times New Roman" w:hAnsi="Times New Roman" w:eastAsia="宋体" w:cs="Times New Roman"/>
                <w:b/>
                <w:color w:val="000000" w:themeColor="text1"/>
                <w:sz w:val="24"/>
                <w:szCs w:val="22"/>
                <w:highlight w:val="none"/>
                <w:lang w:eastAsia="zh-CN"/>
                <w14:textFill>
                  <w14:solidFill>
                    <w14:schemeClr w14:val="tx1"/>
                  </w14:solidFill>
                </w14:textFill>
              </w:rPr>
              <w:t>无量纲、水温℃</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722"/>
              <w:gridCol w:w="771"/>
              <w:gridCol w:w="1035"/>
              <w:gridCol w:w="678"/>
              <w:gridCol w:w="675"/>
              <w:gridCol w:w="810"/>
              <w:gridCol w:w="1164"/>
              <w:gridCol w:w="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491" w:type="dxa"/>
                  <w:tcBorders>
                    <w:tl2br w:val="nil"/>
                    <w:tr2bl w:val="nil"/>
                  </w:tcBorders>
                  <w:noWrap w:val="0"/>
                  <w:vAlign w:val="center"/>
                </w:tcPr>
                <w:p>
                  <w:pPr>
                    <w:keepNext w:val="0"/>
                    <w:keepLines w:val="0"/>
                    <w:pageBreakBefore w:val="0"/>
                    <w:kinsoku/>
                    <w:wordWrap/>
                    <w:bidi w:val="0"/>
                    <w:adjustRightInd/>
                    <w:snapToGrid/>
                    <w:spacing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722" w:type="dxa"/>
                  <w:tcBorders>
                    <w:tl2br w:val="nil"/>
                    <w:tr2bl w:val="nil"/>
                  </w:tcBorders>
                  <w:noWrap w:val="0"/>
                  <w:tcMar>
                    <w:left w:w="0" w:type="dxa"/>
                    <w:right w:w="0" w:type="dxa"/>
                  </w:tcMar>
                  <w:vAlign w:val="center"/>
                </w:tcPr>
                <w:p>
                  <w:pPr>
                    <w:keepNext w:val="0"/>
                    <w:keepLines w:val="0"/>
                    <w:pageBreakBefore w:val="0"/>
                    <w:kinsoku/>
                    <w:wordWrap/>
                    <w:bidi w:val="0"/>
                    <w:adjustRightInd/>
                    <w:snapToGrid/>
                    <w:spacing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pH</w:t>
                  </w:r>
                </w:p>
              </w:tc>
              <w:tc>
                <w:tcPr>
                  <w:tcW w:w="771" w:type="dxa"/>
                  <w:tcBorders>
                    <w:tl2br w:val="nil"/>
                    <w:tr2bl w:val="nil"/>
                  </w:tcBorders>
                  <w:noWrap w:val="0"/>
                  <w:tcMar>
                    <w:left w:w="0" w:type="dxa"/>
                    <w:right w:w="0" w:type="dxa"/>
                  </w:tcMar>
                  <w:vAlign w:val="center"/>
                </w:tcPr>
                <w:p>
                  <w:pPr>
                    <w:keepNext w:val="0"/>
                    <w:keepLines w:val="0"/>
                    <w:pageBreakBefore w:val="0"/>
                    <w:kinsoku/>
                    <w:wordWrap/>
                    <w:bidi w:val="0"/>
                    <w:adjustRightInd/>
                    <w:snapToGrid/>
                    <w:spacing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pacing w:val="-20"/>
                      <w:sz w:val="21"/>
                      <w:szCs w:val="21"/>
                      <w:highlight w:val="none"/>
                      <w14:textFill>
                        <w14:solidFill>
                          <w14:schemeClr w14:val="tx1"/>
                        </w14:solidFill>
                      </w14:textFill>
                    </w:rPr>
                    <w:t>COD</w:t>
                  </w:r>
                  <w:r>
                    <w:rPr>
                      <w:rFonts w:hint="default" w:ascii="Times New Roman" w:hAnsi="Times New Roman" w:eastAsia="宋体" w:cs="Times New Roman"/>
                      <w:b/>
                      <w:bCs/>
                      <w:color w:val="000000" w:themeColor="text1"/>
                      <w:spacing w:val="-20"/>
                      <w:sz w:val="21"/>
                      <w:szCs w:val="21"/>
                      <w:highlight w:val="none"/>
                      <w:vertAlign w:val="subscript"/>
                      <w14:textFill>
                        <w14:solidFill>
                          <w14:schemeClr w14:val="tx1"/>
                        </w14:solidFill>
                      </w14:textFill>
                    </w:rPr>
                    <w:t>Cr</w:t>
                  </w:r>
                </w:p>
              </w:tc>
              <w:tc>
                <w:tcPr>
                  <w:tcW w:w="1035" w:type="dxa"/>
                  <w:tcBorders>
                    <w:tl2br w:val="nil"/>
                    <w:tr2bl w:val="nil"/>
                  </w:tcBorders>
                  <w:noWrap w:val="0"/>
                  <w:tcMar>
                    <w:left w:w="0" w:type="dxa"/>
                    <w:right w:w="0" w:type="dxa"/>
                  </w:tcMar>
                  <w:vAlign w:val="center"/>
                </w:tcPr>
                <w:p>
                  <w:pPr>
                    <w:keepNext w:val="0"/>
                    <w:keepLines w:val="0"/>
                    <w:pageBreakBefore w:val="0"/>
                    <w:kinsoku/>
                    <w:wordWrap/>
                    <w:bidi w:val="0"/>
                    <w:adjustRightInd/>
                    <w:snapToGrid/>
                    <w:spacing w:line="240" w:lineRule="auto"/>
                    <w:ind w:firstLine="0" w:firstLineChars="0"/>
                    <w:jc w:val="center"/>
                    <w:outlineLvl w:val="9"/>
                    <w:rPr>
                      <w:rFonts w:hint="default" w:ascii="Times New Roman" w:hAnsi="Times New Roman" w:eastAsia="宋体" w:cs="Times New Roman"/>
                      <w:b/>
                      <w:bCs/>
                      <w:color w:val="000000" w:themeColor="text1"/>
                      <w:spacing w:val="-2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BOD</w:t>
                  </w:r>
                  <w:r>
                    <w:rPr>
                      <w:rFonts w:hint="default" w:ascii="Times New Roman" w:hAnsi="Times New Roman" w:eastAsia="宋体" w:cs="Times New Roman"/>
                      <w:b/>
                      <w:bCs/>
                      <w:color w:val="000000" w:themeColor="text1"/>
                      <w:sz w:val="21"/>
                      <w:szCs w:val="21"/>
                      <w:highlight w:val="none"/>
                      <w:vertAlign w:val="subscript"/>
                      <w14:textFill>
                        <w14:solidFill>
                          <w14:schemeClr w14:val="tx1"/>
                        </w14:solidFill>
                      </w14:textFill>
                    </w:rPr>
                    <w:t>5</w:t>
                  </w:r>
                </w:p>
              </w:tc>
              <w:tc>
                <w:tcPr>
                  <w:tcW w:w="678" w:type="dxa"/>
                  <w:tcBorders>
                    <w:tl2br w:val="nil"/>
                    <w:tr2bl w:val="nil"/>
                  </w:tcBorders>
                  <w:noWrap w:val="0"/>
                  <w:tcMar>
                    <w:left w:w="0" w:type="dxa"/>
                    <w:right w:w="0" w:type="dxa"/>
                  </w:tcMar>
                  <w:vAlign w:val="center"/>
                </w:tcPr>
                <w:p>
                  <w:pPr>
                    <w:keepNext w:val="0"/>
                    <w:keepLines w:val="0"/>
                    <w:pageBreakBefore w:val="0"/>
                    <w:kinsoku/>
                    <w:wordWrap/>
                    <w:bidi w:val="0"/>
                    <w:adjustRightInd/>
                    <w:snapToGrid/>
                    <w:spacing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NH</w:t>
                  </w:r>
                  <w:r>
                    <w:rPr>
                      <w:rFonts w:hint="default" w:ascii="Times New Roman" w:hAnsi="Times New Roman" w:eastAsia="宋体" w:cs="Times New Roman"/>
                      <w:b/>
                      <w:bCs/>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-N</w:t>
                  </w:r>
                </w:p>
              </w:tc>
              <w:tc>
                <w:tcPr>
                  <w:tcW w:w="675" w:type="dxa"/>
                  <w:tcBorders>
                    <w:tl2br w:val="nil"/>
                    <w:tr2bl w:val="nil"/>
                  </w:tcBorders>
                  <w:noWrap w:val="0"/>
                  <w:tcMar>
                    <w:left w:w="0" w:type="dxa"/>
                    <w:right w:w="0" w:type="dxa"/>
                  </w:tcMar>
                  <w:vAlign w:val="center"/>
                </w:tcPr>
                <w:p>
                  <w:pPr>
                    <w:keepNext w:val="0"/>
                    <w:keepLines w:val="0"/>
                    <w:pageBreakBefore w:val="0"/>
                    <w:kinsoku/>
                    <w:wordWrap/>
                    <w:bidi w:val="0"/>
                    <w:adjustRightInd/>
                    <w:snapToGrid/>
                    <w:spacing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SS</w:t>
                  </w:r>
                </w:p>
              </w:tc>
              <w:tc>
                <w:tcPr>
                  <w:tcW w:w="810" w:type="dxa"/>
                  <w:tcBorders>
                    <w:tl2br w:val="nil"/>
                    <w:tr2bl w:val="nil"/>
                  </w:tcBorders>
                  <w:noWrap w:val="0"/>
                  <w:tcMar>
                    <w:left w:w="0" w:type="dxa"/>
                    <w:right w:w="0" w:type="dxa"/>
                  </w:tcMar>
                  <w:vAlign w:val="center"/>
                </w:tcPr>
                <w:p>
                  <w:pPr>
                    <w:keepNext w:val="0"/>
                    <w:keepLines w:val="0"/>
                    <w:pageBreakBefore w:val="0"/>
                    <w:kinsoku/>
                    <w:wordWrap/>
                    <w:bidi w:val="0"/>
                    <w:adjustRightInd/>
                    <w:snapToGrid/>
                    <w:spacing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LAS</w:t>
                  </w:r>
                </w:p>
              </w:tc>
              <w:tc>
                <w:tcPr>
                  <w:tcW w:w="1164" w:type="dxa"/>
                  <w:tcBorders>
                    <w:tl2br w:val="nil"/>
                    <w:tr2bl w:val="nil"/>
                  </w:tcBorders>
                  <w:noWrap w:val="0"/>
                  <w:vAlign w:val="center"/>
                </w:tcPr>
                <w:p>
                  <w:pPr>
                    <w:keepNext w:val="0"/>
                    <w:keepLines w:val="0"/>
                    <w:pageBreakBefore w:val="0"/>
                    <w:kinsoku/>
                    <w:wordWrap/>
                    <w:bidi w:val="0"/>
                    <w:adjustRightInd/>
                    <w:snapToGrid/>
                    <w:spacing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动植物油</w:t>
                  </w:r>
                </w:p>
              </w:tc>
              <w:tc>
                <w:tcPr>
                  <w:tcW w:w="878" w:type="dxa"/>
                  <w:tcBorders>
                    <w:tl2br w:val="nil"/>
                    <w:tr2bl w:val="nil"/>
                  </w:tcBorders>
                  <w:noWrap w:val="0"/>
                  <w:vAlign w:val="center"/>
                </w:tcPr>
                <w:p>
                  <w:pPr>
                    <w:keepNext w:val="0"/>
                    <w:keepLines w:val="0"/>
                    <w:pageBreakBefore w:val="0"/>
                    <w:kinsoku/>
                    <w:wordWrap/>
                    <w:bidi w:val="0"/>
                    <w:adjustRightInd/>
                    <w:snapToGrid/>
                    <w:spacing w:line="240" w:lineRule="auto"/>
                    <w:ind w:firstLine="0" w:firstLineChars="0"/>
                    <w:jc w:val="center"/>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磷酸盐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491" w:type="dxa"/>
                  <w:tcBorders>
                    <w:tl2br w:val="nil"/>
                    <w:tr2bl w:val="nil"/>
                  </w:tcBorders>
                  <w:noWrap w:val="0"/>
                  <w:vAlign w:val="center"/>
                </w:tcPr>
                <w:p>
                  <w:pPr>
                    <w:pStyle w:val="78"/>
                    <w:keepNext w:val="0"/>
                    <w:keepLines w:val="0"/>
                    <w:pageBreakBefore w:val="0"/>
                    <w:tabs>
                      <w:tab w:val="left" w:pos="1152"/>
                    </w:tabs>
                    <w:kinsoku/>
                    <w:wordWrap/>
                    <w:bidi w:val="0"/>
                    <w:adjustRightInd/>
                    <w:snapToGrid/>
                    <w:outlineLvl w:val="9"/>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(DB44/26-2001)第二时段一级标准</w:t>
                  </w:r>
                </w:p>
              </w:tc>
              <w:tc>
                <w:tcPr>
                  <w:tcW w:w="722" w:type="dxa"/>
                  <w:tcBorders>
                    <w:tl2br w:val="nil"/>
                    <w:tr2bl w:val="nil"/>
                  </w:tcBorders>
                  <w:noWrap w:val="0"/>
                  <w:tcMar>
                    <w:left w:w="0" w:type="dxa"/>
                    <w:right w:w="0" w:type="dxa"/>
                  </w:tcMar>
                  <w:vAlign w:val="center"/>
                </w:tcPr>
                <w:p>
                  <w:pPr>
                    <w:keepNext w:val="0"/>
                    <w:keepLines w:val="0"/>
                    <w:pageBreakBefore w:val="0"/>
                    <w:tabs>
                      <w:tab w:val="left" w:pos="1152"/>
                    </w:tabs>
                    <w:kinsoku/>
                    <w:wordWrap/>
                    <w:overflowPunct w:val="0"/>
                    <w:autoSpaceDE w:val="0"/>
                    <w:autoSpaceDN w:val="0"/>
                    <w:bidi w:val="0"/>
                    <w:adjustRightInd/>
                    <w:snapToGrid/>
                    <w:spacing w:line="240" w:lineRule="auto"/>
                    <w:ind w:firstLine="0" w:firstLineChars="0"/>
                    <w:jc w:val="center"/>
                    <w:textAlignment w:val="baseline"/>
                    <w:outlineLvl w:val="9"/>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6-9</w:t>
                  </w:r>
                </w:p>
              </w:tc>
              <w:tc>
                <w:tcPr>
                  <w:tcW w:w="771" w:type="dxa"/>
                  <w:tcBorders>
                    <w:tl2br w:val="nil"/>
                    <w:tr2bl w:val="nil"/>
                  </w:tcBorders>
                  <w:noWrap w:val="0"/>
                  <w:tcMar>
                    <w:left w:w="0" w:type="dxa"/>
                    <w:right w:w="0" w:type="dxa"/>
                  </w:tcMar>
                  <w:vAlign w:val="center"/>
                </w:tcPr>
                <w:p>
                  <w:pPr>
                    <w:keepNext w:val="0"/>
                    <w:keepLines w:val="0"/>
                    <w:pageBreakBefore w:val="0"/>
                    <w:tabs>
                      <w:tab w:val="left" w:pos="1152"/>
                    </w:tabs>
                    <w:kinsoku/>
                    <w:wordWrap/>
                    <w:overflowPunct w:val="0"/>
                    <w:autoSpaceDE w:val="0"/>
                    <w:autoSpaceDN w:val="0"/>
                    <w:bidi w:val="0"/>
                    <w:adjustRightInd/>
                    <w:snapToGrid/>
                    <w:spacing w:line="240" w:lineRule="auto"/>
                    <w:ind w:firstLine="0" w:firstLineChars="0"/>
                    <w:jc w:val="center"/>
                    <w:textAlignment w:val="baseline"/>
                    <w:outlineLvl w:val="9"/>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90</w:t>
                  </w:r>
                </w:p>
              </w:tc>
              <w:tc>
                <w:tcPr>
                  <w:tcW w:w="1035" w:type="dxa"/>
                  <w:tcBorders>
                    <w:tl2br w:val="nil"/>
                    <w:tr2bl w:val="nil"/>
                  </w:tcBorders>
                  <w:noWrap w:val="0"/>
                  <w:tcMar>
                    <w:left w:w="0" w:type="dxa"/>
                    <w:right w:w="0" w:type="dxa"/>
                  </w:tcMar>
                  <w:vAlign w:val="center"/>
                </w:tcPr>
                <w:p>
                  <w:pPr>
                    <w:keepNext w:val="0"/>
                    <w:keepLines w:val="0"/>
                    <w:pageBreakBefore w:val="0"/>
                    <w:tabs>
                      <w:tab w:val="left" w:pos="1152"/>
                    </w:tabs>
                    <w:kinsoku/>
                    <w:wordWrap/>
                    <w:overflowPunct w:val="0"/>
                    <w:autoSpaceDE w:val="0"/>
                    <w:autoSpaceDN w:val="0"/>
                    <w:bidi w:val="0"/>
                    <w:adjustRightInd/>
                    <w:snapToGrid/>
                    <w:spacing w:line="240" w:lineRule="auto"/>
                    <w:ind w:firstLine="0" w:firstLineChars="0"/>
                    <w:jc w:val="center"/>
                    <w:textAlignment w:val="baseline"/>
                    <w:outlineLvl w:val="9"/>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20</w:t>
                  </w:r>
                </w:p>
              </w:tc>
              <w:tc>
                <w:tcPr>
                  <w:tcW w:w="678" w:type="dxa"/>
                  <w:tcBorders>
                    <w:tl2br w:val="nil"/>
                    <w:tr2bl w:val="nil"/>
                  </w:tcBorders>
                  <w:noWrap w:val="0"/>
                  <w:tcMar>
                    <w:left w:w="0" w:type="dxa"/>
                    <w:right w:w="0" w:type="dxa"/>
                  </w:tcMar>
                  <w:vAlign w:val="center"/>
                </w:tcPr>
                <w:p>
                  <w:pPr>
                    <w:keepNext w:val="0"/>
                    <w:keepLines w:val="0"/>
                    <w:pageBreakBefore w:val="0"/>
                    <w:tabs>
                      <w:tab w:val="left" w:pos="1152"/>
                    </w:tabs>
                    <w:kinsoku/>
                    <w:wordWrap/>
                    <w:overflowPunct w:val="0"/>
                    <w:autoSpaceDE w:val="0"/>
                    <w:autoSpaceDN w:val="0"/>
                    <w:bidi w:val="0"/>
                    <w:adjustRightInd/>
                    <w:snapToGrid/>
                    <w:spacing w:line="240" w:lineRule="auto"/>
                    <w:ind w:firstLine="0" w:firstLineChars="0"/>
                    <w:jc w:val="center"/>
                    <w:textAlignment w:val="baseline"/>
                    <w:outlineLvl w:val="9"/>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10</w:t>
                  </w:r>
                </w:p>
              </w:tc>
              <w:tc>
                <w:tcPr>
                  <w:tcW w:w="675" w:type="dxa"/>
                  <w:tcBorders>
                    <w:tl2br w:val="nil"/>
                    <w:tr2bl w:val="nil"/>
                  </w:tcBorders>
                  <w:noWrap w:val="0"/>
                  <w:tcMar>
                    <w:left w:w="0" w:type="dxa"/>
                    <w:right w:w="0" w:type="dxa"/>
                  </w:tcMar>
                  <w:vAlign w:val="center"/>
                </w:tcPr>
                <w:p>
                  <w:pPr>
                    <w:keepNext w:val="0"/>
                    <w:keepLines w:val="0"/>
                    <w:pageBreakBefore w:val="0"/>
                    <w:tabs>
                      <w:tab w:val="left" w:pos="1152"/>
                    </w:tabs>
                    <w:kinsoku/>
                    <w:wordWrap/>
                    <w:overflowPunct w:val="0"/>
                    <w:autoSpaceDE w:val="0"/>
                    <w:autoSpaceDN w:val="0"/>
                    <w:bidi w:val="0"/>
                    <w:adjustRightInd/>
                    <w:snapToGrid/>
                    <w:spacing w:line="240" w:lineRule="auto"/>
                    <w:ind w:firstLine="0" w:firstLineChars="0"/>
                    <w:jc w:val="center"/>
                    <w:textAlignment w:val="baseline"/>
                    <w:outlineLvl w:val="9"/>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60</w:t>
                  </w:r>
                </w:p>
              </w:tc>
              <w:tc>
                <w:tcPr>
                  <w:tcW w:w="810" w:type="dxa"/>
                  <w:tcBorders>
                    <w:tl2br w:val="nil"/>
                    <w:tr2bl w:val="nil"/>
                  </w:tcBorders>
                  <w:noWrap w:val="0"/>
                  <w:tcMar>
                    <w:left w:w="0" w:type="dxa"/>
                    <w:right w:w="0" w:type="dxa"/>
                  </w:tcMar>
                  <w:vAlign w:val="center"/>
                </w:tcPr>
                <w:p>
                  <w:pPr>
                    <w:keepNext w:val="0"/>
                    <w:keepLines w:val="0"/>
                    <w:pageBreakBefore w:val="0"/>
                    <w:tabs>
                      <w:tab w:val="left" w:pos="1152"/>
                    </w:tabs>
                    <w:kinsoku/>
                    <w:wordWrap/>
                    <w:overflowPunct w:val="0"/>
                    <w:autoSpaceDE w:val="0"/>
                    <w:autoSpaceDN w:val="0"/>
                    <w:bidi w:val="0"/>
                    <w:adjustRightInd/>
                    <w:snapToGrid/>
                    <w:spacing w:line="240" w:lineRule="auto"/>
                    <w:ind w:firstLine="0" w:firstLineChars="0"/>
                    <w:jc w:val="center"/>
                    <w:textAlignment w:val="baseline"/>
                    <w:outlineLvl w:val="9"/>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5.0</w:t>
                  </w:r>
                </w:p>
              </w:tc>
              <w:tc>
                <w:tcPr>
                  <w:tcW w:w="1164" w:type="dxa"/>
                  <w:tcBorders>
                    <w:tl2br w:val="nil"/>
                    <w:tr2bl w:val="nil"/>
                  </w:tcBorders>
                  <w:noWrap w:val="0"/>
                  <w:vAlign w:val="center"/>
                </w:tcPr>
                <w:p>
                  <w:pPr>
                    <w:keepNext w:val="0"/>
                    <w:keepLines w:val="0"/>
                    <w:pageBreakBefore w:val="0"/>
                    <w:tabs>
                      <w:tab w:val="left" w:pos="1152"/>
                    </w:tabs>
                    <w:kinsoku/>
                    <w:wordWrap/>
                    <w:overflowPunct w:val="0"/>
                    <w:autoSpaceDE w:val="0"/>
                    <w:autoSpaceDN w:val="0"/>
                    <w:bidi w:val="0"/>
                    <w:adjustRightInd/>
                    <w:snapToGrid/>
                    <w:spacing w:line="240" w:lineRule="auto"/>
                    <w:ind w:firstLine="0" w:firstLineChars="0"/>
                    <w:jc w:val="center"/>
                    <w:textAlignment w:val="baseline"/>
                    <w:outlineLvl w:val="9"/>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10</w:t>
                  </w:r>
                </w:p>
              </w:tc>
              <w:tc>
                <w:tcPr>
                  <w:tcW w:w="878" w:type="dxa"/>
                  <w:tcBorders>
                    <w:tl2br w:val="nil"/>
                    <w:tr2bl w:val="nil"/>
                  </w:tcBorders>
                  <w:noWrap w:val="0"/>
                  <w:vAlign w:val="center"/>
                </w:tcPr>
                <w:p>
                  <w:pPr>
                    <w:keepNext w:val="0"/>
                    <w:keepLines w:val="0"/>
                    <w:pageBreakBefore w:val="0"/>
                    <w:tabs>
                      <w:tab w:val="left" w:pos="1152"/>
                    </w:tabs>
                    <w:kinsoku/>
                    <w:wordWrap/>
                    <w:overflowPunct w:val="0"/>
                    <w:autoSpaceDE w:val="0"/>
                    <w:autoSpaceDN w:val="0"/>
                    <w:bidi w:val="0"/>
                    <w:adjustRightInd/>
                    <w:snapToGrid/>
                    <w:spacing w:line="240" w:lineRule="auto"/>
                    <w:ind w:firstLine="0" w:firstLineChars="0"/>
                    <w:jc w:val="center"/>
                    <w:textAlignment w:val="baseline"/>
                    <w:outlineLvl w:val="9"/>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r>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t>0.5</w:t>
                  </w:r>
                </w:p>
              </w:tc>
            </w:tr>
          </w:tbl>
          <w:p>
            <w:pPr>
              <w:keepNext w:val="0"/>
              <w:keepLines w:val="0"/>
              <w:pageBreakBefore w:val="0"/>
              <w:widowControl w:val="0"/>
              <w:kinsoku/>
              <w:wordWrap/>
              <w:overflowPunct/>
              <w:topLinePunct w:val="0"/>
              <w:autoSpaceDE/>
              <w:autoSpaceDN/>
              <w:bidi w:val="0"/>
              <w:adjustRightInd/>
              <w:snapToGrid/>
              <w:spacing w:beforeLines="50" w:line="360" w:lineRule="auto"/>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5.2.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2废气</w:t>
            </w:r>
            <w:r>
              <w:rPr>
                <w:rFonts w:hint="default" w:ascii="Times New Roman" w:hAnsi="Times New Roman" w:eastAsia="宋体" w:cs="Times New Roman"/>
                <w:b/>
                <w:bCs/>
                <w:color w:val="000000" w:themeColor="text1"/>
                <w:sz w:val="24"/>
                <w:highlight w:val="none"/>
                <w14:textFill>
                  <w14:solidFill>
                    <w14:schemeClr w14:val="tx1"/>
                  </w14:solidFill>
                </w14:textFill>
              </w:rPr>
              <w:t>排放标准</w:t>
            </w:r>
          </w:p>
          <w:p>
            <w:pPr>
              <w:pStyle w:val="2"/>
              <w:widowControl/>
              <w:spacing w:after="0" w:line="360" w:lineRule="auto"/>
              <w:ind w:left="0" w:leftChars="0"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bookmarkStart w:id="12" w:name="OLE_LINK14"/>
            <w:r>
              <w:rPr>
                <w:rFonts w:hint="eastAsia" w:cs="Times New Roman"/>
                <w:color w:val="000000" w:themeColor="text1"/>
                <w:sz w:val="24"/>
                <w:lang w:val="en-US" w:eastAsia="zh-CN"/>
                <w14:textFill>
                  <w14:solidFill>
                    <w14:schemeClr w14:val="tx1"/>
                  </w14:solidFill>
                </w14:textFill>
              </w:rPr>
              <w:t>项目</w:t>
            </w:r>
            <w:r>
              <w:rPr>
                <w:rFonts w:hint="eastAsia" w:ascii="Times New Roman" w:hAnsi="Times New Roman" w:eastAsia="宋体" w:cs="Times New Roman"/>
                <w:color w:val="000000" w:themeColor="text1"/>
                <w:sz w:val="24"/>
                <w:lang w:val="en-US" w:eastAsia="zh-CN"/>
                <w14:textFill>
                  <w14:solidFill>
                    <w14:schemeClr w14:val="tx1"/>
                  </w14:solidFill>
                </w14:textFill>
              </w:rPr>
              <w:t>无组织</w:t>
            </w:r>
            <w:r>
              <w:rPr>
                <w:rFonts w:hint="default" w:ascii="Times New Roman" w:hAnsi="Times New Roman" w:eastAsia="宋体" w:cs="Times New Roman"/>
                <w:color w:val="000000" w:themeColor="text1"/>
                <w:sz w:val="24"/>
                <w:lang w:val="en-US" w:eastAsia="zh-CN"/>
                <w14:textFill>
                  <w14:solidFill>
                    <w14:schemeClr w14:val="tx1"/>
                  </w14:solidFill>
                </w14:textFill>
              </w:rPr>
              <w:t>粉尘执行广东省《大气污染物排放标准》（DB44/27-2001）第二时段二级标准，详见下表。</w:t>
            </w:r>
          </w:p>
          <w:p>
            <w:pPr>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表5.2-2  《大气污染物排放限值》（DB44/27-2001）摘录</w:t>
            </w:r>
          </w:p>
          <w:tbl>
            <w:tblPr>
              <w:tblStyle w:val="26"/>
              <w:tblW w:w="91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2553"/>
              <w:gridCol w:w="2712"/>
              <w:gridCol w:w="2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367" w:type="dxa"/>
                  <w:vMerge w:val="restart"/>
                  <w:noWrap w:val="0"/>
                  <w:vAlign w:val="center"/>
                </w:tcPr>
                <w:p>
                  <w:pPr>
                    <w:widowControl/>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Cs w:val="21"/>
                      <w14:textFill>
                        <w14:solidFill>
                          <w14:schemeClr w14:val="tx1"/>
                        </w14:solidFill>
                      </w14:textFill>
                    </w:rPr>
                    <w:t>项  目</w:t>
                  </w:r>
                </w:p>
              </w:tc>
              <w:tc>
                <w:tcPr>
                  <w:tcW w:w="2553" w:type="dxa"/>
                  <w:vMerge w:val="restart"/>
                  <w:noWrap w:val="0"/>
                  <w:vAlign w:val="center"/>
                </w:tcPr>
                <w:p>
                  <w:pPr>
                    <w:widowControl/>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Cs w:val="21"/>
                      <w:lang w:eastAsia="zh-CN"/>
                      <w14:textFill>
                        <w14:solidFill>
                          <w14:schemeClr w14:val="tx1"/>
                        </w14:solidFill>
                      </w14:textFill>
                    </w:rPr>
                    <w:t>有组织</w:t>
                  </w:r>
                  <w:r>
                    <w:rPr>
                      <w:rFonts w:hint="default" w:ascii="Times New Roman" w:hAnsi="Times New Roman" w:eastAsia="宋体" w:cs="Times New Roman"/>
                      <w:bCs/>
                      <w:color w:val="000000" w:themeColor="text1"/>
                      <w:kern w:val="0"/>
                      <w:szCs w:val="21"/>
                      <w14:textFill>
                        <w14:solidFill>
                          <w14:schemeClr w14:val="tx1"/>
                        </w14:solidFill>
                      </w14:textFill>
                    </w:rPr>
                    <w:t>最高允许排放浓度（mg/m</w:t>
                  </w:r>
                  <w:r>
                    <w:rPr>
                      <w:rFonts w:hint="default" w:ascii="Times New Roman" w:hAnsi="Times New Roman" w:eastAsia="宋体" w:cs="Times New Roman"/>
                      <w:bCs/>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Cs/>
                      <w:color w:val="000000" w:themeColor="text1"/>
                      <w:kern w:val="0"/>
                      <w:szCs w:val="21"/>
                      <w14:textFill>
                        <w14:solidFill>
                          <w14:schemeClr w14:val="tx1"/>
                        </w14:solidFill>
                      </w14:textFill>
                    </w:rPr>
                    <w:t>）</w:t>
                  </w:r>
                </w:p>
              </w:tc>
              <w:tc>
                <w:tcPr>
                  <w:tcW w:w="5180" w:type="dxa"/>
                  <w:gridSpan w:val="2"/>
                  <w:noWrap w:val="0"/>
                  <w:vAlign w:val="center"/>
                </w:tcPr>
                <w:p>
                  <w:pPr>
                    <w:widowControl/>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Cs w:val="21"/>
                      <w14:textFill>
                        <w14:solidFill>
                          <w14:schemeClr w14:val="tx1"/>
                        </w14:solidFill>
                      </w14:textFill>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367" w:type="dxa"/>
                  <w:vMerge w:val="continue"/>
                  <w:noWrap w:val="0"/>
                  <w:vAlign w:val="center"/>
                </w:tcPr>
                <w:p>
                  <w:pPr>
                    <w:jc w:val="center"/>
                    <w:rPr>
                      <w:rFonts w:hint="default" w:ascii="Times New Roman" w:hAnsi="Times New Roman" w:eastAsia="宋体" w:cs="Times New Roman"/>
                      <w:bCs/>
                      <w:color w:val="000000" w:themeColor="text1"/>
                      <w:kern w:val="0"/>
                      <w:szCs w:val="21"/>
                      <w14:textFill>
                        <w14:solidFill>
                          <w14:schemeClr w14:val="tx1"/>
                        </w14:solidFill>
                      </w14:textFill>
                    </w:rPr>
                  </w:pPr>
                </w:p>
              </w:tc>
              <w:tc>
                <w:tcPr>
                  <w:tcW w:w="2553" w:type="dxa"/>
                  <w:vMerge w:val="continue"/>
                  <w:noWrap w:val="0"/>
                  <w:vAlign w:val="center"/>
                </w:tcPr>
                <w:p>
                  <w:pPr>
                    <w:jc w:val="center"/>
                    <w:rPr>
                      <w:rFonts w:hint="default" w:ascii="Times New Roman" w:hAnsi="Times New Roman" w:eastAsia="宋体" w:cs="Times New Roman"/>
                      <w:bCs/>
                      <w:color w:val="000000" w:themeColor="text1"/>
                      <w:kern w:val="0"/>
                      <w:szCs w:val="21"/>
                      <w14:textFill>
                        <w14:solidFill>
                          <w14:schemeClr w14:val="tx1"/>
                        </w14:solidFill>
                      </w14:textFill>
                    </w:rPr>
                  </w:pPr>
                </w:p>
              </w:tc>
              <w:tc>
                <w:tcPr>
                  <w:tcW w:w="2712" w:type="dxa"/>
                  <w:noWrap w:val="0"/>
                  <w:vAlign w:val="center"/>
                </w:tcPr>
                <w:p>
                  <w:pPr>
                    <w:widowControl/>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Cs w:val="21"/>
                      <w14:textFill>
                        <w14:solidFill>
                          <w14:schemeClr w14:val="tx1"/>
                        </w14:solidFill>
                      </w14:textFill>
                    </w:rPr>
                    <w:t>监测点</w:t>
                  </w:r>
                </w:p>
              </w:tc>
              <w:tc>
                <w:tcPr>
                  <w:tcW w:w="2468" w:type="dxa"/>
                  <w:noWrap w:val="0"/>
                  <w:vAlign w:val="center"/>
                </w:tcPr>
                <w:p>
                  <w:pPr>
                    <w:widowControl/>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Cs w:val="21"/>
                      <w14:textFill>
                        <w14:solidFill>
                          <w14:schemeClr w14:val="tx1"/>
                        </w14:solidFill>
                      </w14:textFill>
                    </w:rPr>
                    <w:t>浓度（mg/m</w:t>
                  </w:r>
                  <w:r>
                    <w:rPr>
                      <w:rFonts w:hint="default" w:ascii="Times New Roman" w:hAnsi="Times New Roman" w:eastAsia="宋体" w:cs="Times New Roman"/>
                      <w:bCs/>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Cs/>
                      <w:color w:val="000000" w:themeColor="text1"/>
                      <w:kern w:val="0"/>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367" w:type="dxa"/>
                  <w:noWrap w:val="0"/>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Cs w:val="21"/>
                      <w14:textFill>
                        <w14:solidFill>
                          <w14:schemeClr w14:val="tx1"/>
                        </w14:solidFill>
                      </w14:textFill>
                    </w:rPr>
                    <w:t>颗粒物</w:t>
                  </w:r>
                </w:p>
              </w:tc>
              <w:tc>
                <w:tcPr>
                  <w:tcW w:w="2553" w:type="dxa"/>
                  <w:noWrap w:val="0"/>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120</w:t>
                  </w:r>
                </w:p>
              </w:tc>
              <w:tc>
                <w:tcPr>
                  <w:tcW w:w="2712" w:type="dxa"/>
                  <w:noWrap w:val="0"/>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周界外浓度最高点</w:t>
                  </w:r>
                </w:p>
              </w:tc>
              <w:tc>
                <w:tcPr>
                  <w:tcW w:w="2468" w:type="dxa"/>
                  <w:noWrap w:val="0"/>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1.0</w:t>
                  </w:r>
                </w:p>
              </w:tc>
            </w:tr>
            <w:bookmarkEnd w:id="12"/>
          </w:tbl>
          <w:p>
            <w:pPr>
              <w:pStyle w:val="2"/>
              <w:widowControl/>
              <w:spacing w:after="0" w:line="360" w:lineRule="auto"/>
              <w:ind w:left="0" w:leftChars="0"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项目热水炉天然气燃烧废气执行广东省地方环境标准《锅炉大气污染物排放标准》（DB 44/765-2019）中表2 新建锅炉大气污染物排放浓度限值燃气锅炉标准；由于本项目烘干炉天然气燃烧废气、烘干筛分粉尘和热水炉燃烧废气共用1根15m高排气筒（1#排气筒）排放，根据“共用同一排气口，应执行更严污染物排放标准”的原则，相比于“广东省《大气污染物排放标准》（DB44/27-2001）第二时段二级标准中颗粒物</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有组织</w:t>
            </w:r>
            <w:r>
              <w:rPr>
                <w:rFonts w:hint="default" w:ascii="Times New Roman" w:hAnsi="Times New Roman" w:eastAsia="宋体" w:cs="Times New Roman"/>
                <w:bCs/>
                <w:color w:val="000000" w:themeColor="text1"/>
                <w:kern w:val="0"/>
                <w:sz w:val="24"/>
                <w:szCs w:val="24"/>
                <w14:textFill>
                  <w14:solidFill>
                    <w14:schemeClr w14:val="tx1"/>
                  </w14:solidFill>
                </w14:textFill>
              </w:rPr>
              <w:t>最高允许排放浓度</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120</w:t>
            </w:r>
            <w:r>
              <w:rPr>
                <w:rFonts w:hint="default" w:ascii="Times New Roman" w:hAnsi="Times New Roman" w:eastAsia="宋体" w:cs="Times New Roman"/>
                <w:bCs/>
                <w:color w:val="000000" w:themeColor="text1"/>
                <w:kern w:val="0"/>
                <w:sz w:val="24"/>
                <w:szCs w:val="24"/>
                <w14:textFill>
                  <w14:solidFill>
                    <w14:schemeClr w14:val="tx1"/>
                  </w14:solidFill>
                </w14:textFill>
              </w:rPr>
              <w:t>mg/m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”“《工业炉窑大气污染物排放标准》(GB9078–1996)表2二级标准中非金属热处理炉的颗粒物</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有组织</w:t>
            </w:r>
            <w:r>
              <w:rPr>
                <w:rFonts w:hint="default" w:ascii="Times New Roman" w:hAnsi="Times New Roman" w:eastAsia="宋体" w:cs="Times New Roman"/>
                <w:bCs/>
                <w:color w:val="000000" w:themeColor="text1"/>
                <w:kern w:val="0"/>
                <w:sz w:val="24"/>
                <w:szCs w:val="24"/>
                <w14:textFill>
                  <w14:solidFill>
                    <w14:schemeClr w14:val="tx1"/>
                  </w14:solidFill>
                </w14:textFill>
              </w:rPr>
              <w:t>最高允许排放浓度</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200</w:t>
            </w:r>
            <w:r>
              <w:rPr>
                <w:rFonts w:hint="default" w:ascii="Times New Roman" w:hAnsi="Times New Roman" w:eastAsia="宋体" w:cs="Times New Roman"/>
                <w:bCs/>
                <w:color w:val="000000" w:themeColor="text1"/>
                <w:kern w:val="0"/>
                <w:sz w:val="24"/>
                <w:szCs w:val="24"/>
                <w14:textFill>
                  <w14:solidFill>
                    <w14:schemeClr w14:val="tx1"/>
                  </w14:solidFill>
                </w14:textFill>
              </w:rPr>
              <w:t>mg/m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”，本项目热水炉天然气燃烧废气、烘干炉天然气燃烧废气、烘干筛分粉尘均应执行</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更为严格的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广东省地方环境标准《锅炉大气污染物排放标准》（DB 44/765-2019）中表2 新建锅炉大气污染物排放浓度限值燃气锅炉标准，因此如表5.2-3所示；</w:t>
            </w:r>
          </w:p>
          <w:p>
            <w:pPr>
              <w:pStyle w:val="93"/>
              <w:spacing w:before="0" w:after="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5.2-3</w:t>
            </w:r>
            <w:r>
              <w:rPr>
                <w:rFonts w:hint="default" w:ascii="Times New Roman" w:hAnsi="Times New Roman" w:eastAsia="宋体" w:cs="Times New Roman"/>
                <w:bCs/>
                <w:color w:val="000000" w:themeColor="text1"/>
                <w:sz w:val="24"/>
                <w:szCs w:val="24"/>
                <w14:textFill>
                  <w14:solidFill>
                    <w14:schemeClr w14:val="tx1"/>
                  </w14:solidFill>
                </w14:textFill>
              </w:rPr>
              <w:t xml:space="preserve">  本项目各类污染物排放标准</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892"/>
              <w:gridCol w:w="1824"/>
              <w:gridCol w:w="2128"/>
              <w:gridCol w:w="22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59" w:hRule="atLeast"/>
                <w:jc w:val="center"/>
              </w:trPr>
              <w:tc>
                <w:tcPr>
                  <w:tcW w:w="1101" w:type="dxa"/>
                  <w:noWrap w:val="0"/>
                  <w:vAlign w:val="center"/>
                </w:tcPr>
                <w:p>
                  <w:pPr>
                    <w:snapToGrid w:val="0"/>
                    <w:ind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要素分类</w:t>
                  </w:r>
                </w:p>
              </w:tc>
              <w:tc>
                <w:tcPr>
                  <w:tcW w:w="1892" w:type="dxa"/>
                  <w:noWrap w:val="0"/>
                  <w:vAlign w:val="center"/>
                </w:tcPr>
                <w:p>
                  <w:pPr>
                    <w:snapToGrid w:val="0"/>
                    <w:ind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标准名称</w:t>
                  </w:r>
                </w:p>
              </w:tc>
              <w:tc>
                <w:tcPr>
                  <w:tcW w:w="1824" w:type="dxa"/>
                  <w:noWrap w:val="0"/>
                  <w:vAlign w:val="center"/>
                </w:tcPr>
                <w:p>
                  <w:pPr>
                    <w:snapToGrid w:val="0"/>
                    <w:ind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适用类别</w:t>
                  </w:r>
                </w:p>
              </w:tc>
              <w:tc>
                <w:tcPr>
                  <w:tcW w:w="2128" w:type="dxa"/>
                  <w:noWrap w:val="0"/>
                  <w:vAlign w:val="center"/>
                </w:tcPr>
                <w:p>
                  <w:pPr>
                    <w:snapToGrid w:val="0"/>
                    <w:ind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污染因子</w:t>
                  </w:r>
                </w:p>
              </w:tc>
              <w:tc>
                <w:tcPr>
                  <w:tcW w:w="2279" w:type="dxa"/>
                  <w:noWrap w:val="0"/>
                  <w:vAlign w:val="center"/>
                </w:tcPr>
                <w:p>
                  <w:pPr>
                    <w:snapToGrid w:val="0"/>
                    <w:ind w:firstLine="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523" w:hRule="atLeast"/>
                <w:jc w:val="center"/>
              </w:trPr>
              <w:tc>
                <w:tcPr>
                  <w:tcW w:w="1101" w:type="dxa"/>
                  <w:vMerge w:val="restart"/>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天然气</w:t>
                  </w:r>
                  <w:r>
                    <w:rPr>
                      <w:rFonts w:hint="default" w:ascii="Times New Roman" w:hAnsi="Times New Roman" w:eastAsia="宋体" w:cs="Times New Roman"/>
                      <w:color w:val="000000" w:themeColor="text1"/>
                      <w:sz w:val="21"/>
                      <w:szCs w:val="21"/>
                      <w14:textFill>
                        <w14:solidFill>
                          <w14:schemeClr w14:val="tx1"/>
                        </w14:solidFill>
                      </w14:textFill>
                    </w:rPr>
                    <w:t>锅炉</w:t>
                  </w:r>
                  <w:r>
                    <w:rPr>
                      <w:rFonts w:hint="default" w:ascii="Times New Roman" w:hAnsi="Times New Roman" w:eastAsia="宋体" w:cs="Times New Roman"/>
                      <w:color w:val="000000" w:themeColor="text1"/>
                      <w:sz w:val="21"/>
                      <w:szCs w:val="21"/>
                      <w:lang w:eastAsia="zh-CN"/>
                      <w14:textFill>
                        <w14:solidFill>
                          <w14:schemeClr w14:val="tx1"/>
                        </w14:solidFill>
                      </w14:textFill>
                    </w:rPr>
                    <w:t>燃烧</w:t>
                  </w: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1892" w:type="dxa"/>
                  <w:vMerge w:val="restart"/>
                  <w:noWrap w:val="0"/>
                  <w:vAlign w:val="center"/>
                </w:tcPr>
                <w:p>
                  <w:pPr>
                    <w:snapToGrid w:val="0"/>
                    <w:ind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《锅炉大气污染物排放标准》（DB 44/765-2019）</w:t>
                  </w:r>
                </w:p>
              </w:tc>
              <w:tc>
                <w:tcPr>
                  <w:tcW w:w="1824" w:type="dxa"/>
                  <w:vMerge w:val="restart"/>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w:t>
                  </w:r>
                  <w:r>
                    <w:rPr>
                      <w:rFonts w:hint="default" w:ascii="Times New Roman" w:hAnsi="Times New Roman" w:eastAsia="宋体" w:cs="Times New Roman"/>
                      <w:color w:val="000000" w:themeColor="text1"/>
                      <w:sz w:val="21"/>
                      <w:szCs w:val="21"/>
                      <w14:textFill>
                        <w14:solidFill>
                          <w14:schemeClr w14:val="tx1"/>
                        </w14:solidFill>
                      </w14:textFill>
                    </w:rPr>
                    <w:t>新建锅炉大气污染物排放浓度限值燃气锅炉标准</w:t>
                  </w:r>
                </w:p>
              </w:tc>
              <w:tc>
                <w:tcPr>
                  <w:tcW w:w="2128" w:type="dxa"/>
                  <w:noWrap w:val="0"/>
                  <w:vAlign w:val="center"/>
                </w:tcPr>
                <w:p>
                  <w:pPr>
                    <w:pStyle w:val="12"/>
                    <w:adjustRightInd w:val="0"/>
                    <w:snapToGrid w:val="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颗粒物</w:t>
                  </w:r>
                </w:p>
              </w:tc>
              <w:tc>
                <w:tcPr>
                  <w:tcW w:w="2279" w:type="dxa"/>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8" w:hRule="atLeast"/>
                <w:jc w:val="center"/>
              </w:trPr>
              <w:tc>
                <w:tcPr>
                  <w:tcW w:w="1101" w:type="dxa"/>
                  <w:vMerge w:val="continue"/>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92" w:type="dxa"/>
                  <w:vMerge w:val="continue"/>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4" w:type="dxa"/>
                  <w:vMerge w:val="continue"/>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28" w:type="dxa"/>
                  <w:noWrap w:val="0"/>
                  <w:vAlign w:val="center"/>
                </w:tcPr>
                <w:p>
                  <w:pPr>
                    <w:pStyle w:val="12"/>
                    <w:adjustRightInd w:val="0"/>
                    <w:snapToGrid w:val="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二氧化硫</w:t>
                  </w:r>
                </w:p>
              </w:tc>
              <w:tc>
                <w:tcPr>
                  <w:tcW w:w="2279" w:type="dxa"/>
                  <w:noWrap w:val="0"/>
                  <w:vAlign w:val="center"/>
                </w:tcPr>
                <w:p>
                  <w:pPr>
                    <w:keepNext w:val="0"/>
                    <w:keepLines w:val="0"/>
                    <w:pageBreakBefore w:val="0"/>
                    <w:widowControl w:val="0"/>
                    <w:kinsoku/>
                    <w:wordWrap/>
                    <w:overflowPunct/>
                    <w:topLinePunct w:val="0"/>
                    <w:autoSpaceDE/>
                    <w:autoSpaceDN/>
                    <w:bidi w:val="0"/>
                    <w:adjustRightInd/>
                    <w:snapToGrid/>
                    <w:ind w:right="0" w:right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8" w:hRule="atLeast"/>
                <w:jc w:val="center"/>
              </w:trPr>
              <w:tc>
                <w:tcPr>
                  <w:tcW w:w="1101" w:type="dxa"/>
                  <w:vMerge w:val="continue"/>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92" w:type="dxa"/>
                  <w:vMerge w:val="continue"/>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4" w:type="dxa"/>
                  <w:vMerge w:val="continue"/>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28" w:type="dxa"/>
                  <w:noWrap w:val="0"/>
                  <w:vAlign w:val="center"/>
                </w:tcPr>
                <w:p>
                  <w:pPr>
                    <w:pStyle w:val="12"/>
                    <w:adjustRightInd w:val="0"/>
                    <w:snapToGrid w:val="0"/>
                    <w:ind w:firstLine="0" w:firstLineChars="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氮氧化物</w:t>
                  </w:r>
                </w:p>
              </w:tc>
              <w:tc>
                <w:tcPr>
                  <w:tcW w:w="2279" w:type="dxa"/>
                  <w:noWrap w:val="0"/>
                  <w:vAlign w:val="center"/>
                </w:tcPr>
                <w:p>
                  <w:pPr>
                    <w:keepNext w:val="0"/>
                    <w:keepLines w:val="0"/>
                    <w:pageBreakBefore w:val="0"/>
                    <w:widowControl w:val="0"/>
                    <w:kinsoku/>
                    <w:wordWrap/>
                    <w:overflowPunct/>
                    <w:topLinePunct w:val="0"/>
                    <w:autoSpaceDE/>
                    <w:autoSpaceDN/>
                    <w:bidi w:val="0"/>
                    <w:adjustRightInd/>
                    <w:snapToGrid/>
                    <w:ind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150</w:t>
                  </w:r>
                  <w:r>
                    <w:rPr>
                      <w:rFonts w:hint="default" w:ascii="Times New Roman" w:hAnsi="Times New Roman" w:eastAsia="宋体" w:cs="Times New Roman"/>
                      <w:color w:val="000000" w:themeColor="text1"/>
                      <w:sz w:val="21"/>
                      <w:szCs w:val="21"/>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48" w:hRule="atLeast"/>
                <w:jc w:val="center"/>
              </w:trPr>
              <w:tc>
                <w:tcPr>
                  <w:tcW w:w="1101" w:type="dxa"/>
                  <w:vMerge w:val="continue"/>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92" w:type="dxa"/>
                  <w:vMerge w:val="continue"/>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4" w:type="dxa"/>
                  <w:vMerge w:val="continue"/>
                  <w:noWrap w:val="0"/>
                  <w:vAlign w:val="center"/>
                </w:tcPr>
                <w:p>
                  <w:pPr>
                    <w:snapToGrid w:val="0"/>
                    <w:ind w:firstLine="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128" w:type="dxa"/>
                  <w:noWrap w:val="0"/>
                  <w:vAlign w:val="center"/>
                </w:tcPr>
                <w:p>
                  <w:pPr>
                    <w:pStyle w:val="12"/>
                    <w:adjustRightInd w:val="0"/>
                    <w:snapToGrid w:val="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 xml:space="preserve">  烟气黑度</w:t>
                  </w:r>
                </w:p>
                <w:p>
                  <w:pPr>
                    <w:pStyle w:val="12"/>
                    <w:adjustRightInd w:val="0"/>
                    <w:snapToGrid w:val="0"/>
                    <w:jc w:val="center"/>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（林格曼</w:t>
                  </w:r>
                  <w:r>
                    <w:rPr>
                      <w:rFonts w:hint="default" w:ascii="Times New Roman" w:hAnsi="Times New Roman" w:eastAsia="宋体" w:cs="Times New Roman"/>
                      <w:color w:val="000000" w:themeColor="text1"/>
                      <w:sz w:val="21"/>
                      <w:lang w:eastAsia="zh-CN"/>
                      <w14:textFill>
                        <w14:solidFill>
                          <w14:schemeClr w14:val="tx1"/>
                        </w14:solidFill>
                      </w14:textFill>
                    </w:rPr>
                    <w:t>，</w:t>
                  </w:r>
                  <w:r>
                    <w:rPr>
                      <w:rFonts w:hint="default" w:ascii="Times New Roman" w:hAnsi="Times New Roman" w:eastAsia="宋体" w:cs="Times New Roman"/>
                      <w:color w:val="000000" w:themeColor="text1"/>
                      <w:sz w:val="21"/>
                      <w14:textFill>
                        <w14:solidFill>
                          <w14:schemeClr w14:val="tx1"/>
                        </w14:solidFill>
                      </w14:textFill>
                    </w:rPr>
                    <w:t>级）</w:t>
                  </w:r>
                </w:p>
              </w:tc>
              <w:tc>
                <w:tcPr>
                  <w:tcW w:w="2279" w:type="dxa"/>
                  <w:noWrap w:val="0"/>
                  <w:vAlign w:val="center"/>
                </w:tcPr>
                <w:p>
                  <w:pPr>
                    <w:keepNext w:val="0"/>
                    <w:keepLines w:val="0"/>
                    <w:pageBreakBefore w:val="0"/>
                    <w:widowControl w:val="0"/>
                    <w:kinsoku/>
                    <w:wordWrap/>
                    <w:overflowPunct/>
                    <w:topLinePunct w:val="0"/>
                    <w:autoSpaceDE/>
                    <w:autoSpaceDN/>
                    <w:bidi w:val="0"/>
                    <w:adjustRightInd/>
                    <w:snapToGrid/>
                    <w:ind w:right="0" w:rightChars="0" w:firstLine="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5.2.3噪声排放标准</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运营期项目厂界噪声执行《工业企业厂界环境噪声排放标准》(GB12348-2008)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类标准，具体标准值详见下表。</w:t>
            </w:r>
          </w:p>
          <w:p>
            <w:pPr>
              <w:spacing w:beforeLines="50"/>
              <w:jc w:val="center"/>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表5.2-</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 xml:space="preserve">4 </w:t>
            </w:r>
            <w:r>
              <w:rPr>
                <w:rFonts w:hint="default" w:ascii="Times New Roman" w:hAnsi="Times New Roman" w:eastAsia="宋体" w:cs="Times New Roman"/>
                <w:b/>
                <w:color w:val="000000" w:themeColor="text1"/>
                <w:sz w:val="24"/>
                <w:highlight w:val="none"/>
                <w14:textFill>
                  <w14:solidFill>
                    <w14:schemeClr w14:val="tx1"/>
                  </w14:solidFill>
                </w14:textFill>
              </w:rPr>
              <w:t>营运期噪声排放标准</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455"/>
              <w:gridCol w:w="2882"/>
              <w:gridCol w:w="28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455" w:type="dxa"/>
                  <w:vMerge w:val="restart"/>
                  <w:tcBorders>
                    <w:tl2br w:val="nil"/>
                    <w:tr2bl w:val="nil"/>
                  </w:tcBorders>
                  <w:vAlign w:val="center"/>
                </w:tcPr>
                <w:p>
                  <w:pP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标准类别</w:t>
                  </w:r>
                </w:p>
              </w:tc>
              <w:tc>
                <w:tcPr>
                  <w:tcW w:w="5769" w:type="dxa"/>
                  <w:gridSpan w:val="2"/>
                  <w:tcBorders>
                    <w:tl2br w:val="nil"/>
                    <w:tr2bl w:val="nil"/>
                  </w:tcBorders>
                  <w:vAlign w:val="center"/>
                </w:tcPr>
                <w:p>
                  <w:pPr>
                    <w:pStyle w:val="110"/>
                    <w:rPr>
                      <w:rFonts w:hint="default" w:ascii="Times New Roman" w:hAnsi="Times New Roman" w:eastAsia="宋体" w:cs="Times New Roman"/>
                      <w:b/>
                      <w:bCs w:val="0"/>
                      <w:color w:val="000000" w:themeColor="text1"/>
                      <w:highlight w:val="none"/>
                      <w14:textFill>
                        <w14:solidFill>
                          <w14:schemeClr w14:val="tx1"/>
                        </w14:solidFill>
                      </w14:textFill>
                    </w:rPr>
                  </w:pPr>
                  <w:r>
                    <w:rPr>
                      <w:rFonts w:hint="default" w:ascii="Times New Roman" w:hAnsi="Times New Roman" w:eastAsia="宋体" w:cs="Times New Roman"/>
                      <w:b/>
                      <w:bCs w:val="0"/>
                      <w:color w:val="000000" w:themeColor="text1"/>
                      <w:highlight w:val="none"/>
                      <w14:textFill>
                        <w14:solidFill>
                          <w14:schemeClr w14:val="tx1"/>
                        </w14:solidFill>
                      </w14:textFill>
                    </w:rPr>
                    <w:t>标准限值[dB(A)]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455" w:type="dxa"/>
                  <w:vMerge w:val="continue"/>
                  <w:tcBorders>
                    <w:tl2br w:val="nil"/>
                    <w:tr2bl w:val="nil"/>
                  </w:tcBorders>
                  <w:vAlign w:val="center"/>
                </w:tcPr>
                <w:p>
                  <w:pP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p>
              </w:tc>
              <w:tc>
                <w:tcPr>
                  <w:tcW w:w="2882" w:type="dxa"/>
                  <w:tcBorders>
                    <w:tl2br w:val="nil"/>
                    <w:tr2bl w:val="nil"/>
                  </w:tcBorders>
                  <w:vAlign w:val="center"/>
                </w:tcPr>
                <w:p>
                  <w:pPr>
                    <w:pStyle w:val="110"/>
                    <w:rPr>
                      <w:rFonts w:hint="default" w:ascii="Times New Roman" w:hAnsi="Times New Roman" w:eastAsia="宋体" w:cs="Times New Roman"/>
                      <w:b/>
                      <w:bCs w:val="0"/>
                      <w:color w:val="000000" w:themeColor="text1"/>
                      <w:highlight w:val="none"/>
                      <w14:textFill>
                        <w14:solidFill>
                          <w14:schemeClr w14:val="tx1"/>
                        </w14:solidFill>
                      </w14:textFill>
                    </w:rPr>
                  </w:pPr>
                  <w:r>
                    <w:rPr>
                      <w:rFonts w:hint="default" w:ascii="Times New Roman" w:hAnsi="Times New Roman" w:eastAsia="宋体" w:cs="Times New Roman"/>
                      <w:b/>
                      <w:bCs w:val="0"/>
                      <w:color w:val="000000" w:themeColor="text1"/>
                      <w:highlight w:val="none"/>
                      <w14:textFill>
                        <w14:solidFill>
                          <w14:schemeClr w14:val="tx1"/>
                        </w14:solidFill>
                      </w14:textFill>
                    </w:rPr>
                    <w:t>昼间</w:t>
                  </w:r>
                </w:p>
              </w:tc>
              <w:tc>
                <w:tcPr>
                  <w:tcW w:w="2887" w:type="dxa"/>
                  <w:tcBorders>
                    <w:tl2br w:val="nil"/>
                    <w:tr2bl w:val="nil"/>
                  </w:tcBorders>
                  <w:vAlign w:val="center"/>
                </w:tcPr>
                <w:p>
                  <w:pPr>
                    <w:pStyle w:val="110"/>
                    <w:rPr>
                      <w:rFonts w:hint="default" w:ascii="Times New Roman" w:hAnsi="Times New Roman" w:eastAsia="宋体" w:cs="Times New Roman"/>
                      <w:b/>
                      <w:bCs w:val="0"/>
                      <w:color w:val="000000" w:themeColor="text1"/>
                      <w:highlight w:val="none"/>
                      <w14:textFill>
                        <w14:solidFill>
                          <w14:schemeClr w14:val="tx1"/>
                        </w14:solidFill>
                      </w14:textFill>
                    </w:rPr>
                  </w:pPr>
                  <w:r>
                    <w:rPr>
                      <w:rFonts w:hint="default" w:ascii="Times New Roman" w:hAnsi="Times New Roman" w:eastAsia="宋体" w:cs="Times New Roman"/>
                      <w:b/>
                      <w:bCs w:val="0"/>
                      <w:color w:val="000000" w:themeColor="text1"/>
                      <w:highlight w:val="none"/>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3455" w:type="dxa"/>
                  <w:tcBorders>
                    <w:tl2br w:val="nil"/>
                    <w:tr2bl w:val="nil"/>
                  </w:tcBorders>
                  <w:vAlign w:val="center"/>
                </w:tcPr>
                <w:p>
                  <w:pPr>
                    <w:jc w:val="center"/>
                    <w:rPr>
                      <w:rFonts w:hint="default" w:ascii="Times New Roman" w:hAnsi="Times New Roman" w:eastAsia="宋体" w:cs="Times New Roman"/>
                      <w:b w:val="0"/>
                      <w:bCs/>
                      <w:color w:val="000000" w:themeColor="text1"/>
                      <w:szCs w:val="21"/>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Cs w:val="21"/>
                      <w:highlight w:val="none"/>
                      <w14:textFill>
                        <w14:solidFill>
                          <w14:schemeClr w14:val="tx1"/>
                        </w14:solidFill>
                      </w14:textFill>
                    </w:rPr>
                    <w:t>类</w:t>
                  </w:r>
                </w:p>
              </w:tc>
              <w:tc>
                <w:tcPr>
                  <w:tcW w:w="2882" w:type="dxa"/>
                  <w:tcBorders>
                    <w:tl2br w:val="nil"/>
                    <w:tr2bl w:val="nil"/>
                  </w:tcBorders>
                  <w:vAlign w:val="center"/>
                </w:tcPr>
                <w:p>
                  <w:pPr>
                    <w:pStyle w:val="110"/>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60</w:t>
                  </w:r>
                </w:p>
              </w:tc>
              <w:tc>
                <w:tcPr>
                  <w:tcW w:w="2887" w:type="dxa"/>
                  <w:tcBorders>
                    <w:tl2br w:val="nil"/>
                    <w:tr2bl w:val="nil"/>
                  </w:tcBorders>
                  <w:vAlign w:val="center"/>
                </w:tcPr>
                <w:p>
                  <w:pPr>
                    <w:pStyle w:val="110"/>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50</w:t>
                  </w:r>
                </w:p>
              </w:tc>
            </w:tr>
          </w:tbl>
          <w:p>
            <w:pPr>
              <w:spacing w:beforeLines="50"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5.2.4固体废弃物</w:t>
            </w:r>
          </w:p>
          <w:p>
            <w:pPr>
              <w:pStyle w:val="72"/>
              <w:adjustRightInd/>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固体废物管理应遵循《中华人民共和国固体废物污染环境防治法》、《广东省固体废物污染环境防治条例》的有关规定。一般固废执行《一般工业固体废物贮存、处置场污染控制标准》（GB 18599-2001）及其修改单的有关规定。危险废物执行《危险废物贮存污染控制标准》（GB18597-2001）的有关规定。</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5.3总量控制指标</w:t>
            </w:r>
          </w:p>
          <w:p>
            <w:pPr>
              <w:pStyle w:val="130"/>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根据《“十三五”节能减排综合工作方案》，“十三五”期间国家对化学需氧量、氨氮、二氧化硫、氮氧化物、挥发性有机物5种主要污染物实行节能减排总量控制计划。</w:t>
            </w:r>
          </w:p>
          <w:p>
            <w:pPr>
              <w:pStyle w:val="36"/>
              <w:keepNext w:val="0"/>
              <w:keepLines w:val="0"/>
              <w:pageBreakBefore w:val="0"/>
              <w:widowControl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本项目运营期，生活污水及部分生产废水经处理达标后安排潖江河；本</w:t>
            </w:r>
            <w:r>
              <w:rPr>
                <w:rFonts w:hint="default" w:ascii="Times New Roman" w:hAnsi="Times New Roman" w:eastAsia="宋体" w:cs="Times New Roman"/>
                <w:color w:val="000000" w:themeColor="text1"/>
                <w:highlight w:val="none"/>
                <w14:textFill>
                  <w14:solidFill>
                    <w14:schemeClr w14:val="tx1"/>
                  </w14:solidFill>
                </w14:textFill>
              </w:rPr>
              <w:t>项目</w:t>
            </w:r>
            <w:r>
              <w:rPr>
                <w:rFonts w:hint="default" w:ascii="Times New Roman" w:hAnsi="Times New Roman" w:eastAsia="宋体" w:cs="Times New Roman"/>
                <w:color w:val="000000" w:themeColor="text1"/>
                <w:highlight w:val="none"/>
                <w:lang w:eastAsia="zh-CN"/>
                <w14:textFill>
                  <w14:solidFill>
                    <w14:schemeClr w14:val="tx1"/>
                  </w14:solidFill>
                </w14:textFill>
              </w:rPr>
              <w:t>水污染物</w:t>
            </w:r>
            <w:r>
              <w:rPr>
                <w:rFonts w:hint="default" w:ascii="Times New Roman" w:hAnsi="Times New Roman" w:eastAsia="宋体" w:cs="Times New Roman"/>
                <w:color w:val="000000" w:themeColor="text1"/>
                <w:highlight w:val="none"/>
                <w14:textFill>
                  <w14:solidFill>
                    <w14:schemeClr w14:val="tx1"/>
                  </w14:solidFill>
                </w14:textFill>
              </w:rPr>
              <w:t>总量控制指标</w:t>
            </w:r>
            <w:r>
              <w:rPr>
                <w:rFonts w:hint="default" w:ascii="Times New Roman" w:hAnsi="Times New Roman" w:eastAsia="宋体" w:cs="Times New Roman"/>
                <w:color w:val="000000" w:themeColor="text1"/>
                <w:highlight w:val="none"/>
                <w:lang w:eastAsia="zh-CN"/>
                <w14:textFill>
                  <w14:solidFill>
                    <w14:schemeClr w14:val="tx1"/>
                  </w14:solidFill>
                </w14:textFill>
              </w:rPr>
              <w:t>建议值为</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COD</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highlight w:val="none"/>
                <w:lang w:val="en-US" w:eastAsia="zh-CN"/>
                <w14:textFill>
                  <w14:solidFill>
                    <w14:schemeClr w14:val="tx1"/>
                  </w14:solidFill>
                </w14:textFill>
              </w:rPr>
              <w:t>：0.29t/a、NH</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-N</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：0.004t/a</w:t>
            </w: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w:t>
            </w:r>
          </w:p>
          <w:p>
            <w:pPr>
              <w:pStyle w:val="36"/>
              <w:keepNext w:val="0"/>
              <w:keepLines w:val="0"/>
              <w:pageBreakBefore w:val="0"/>
              <w:widowControl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本项目天然气燃烧废气会产生一定量的</w:t>
            </w:r>
            <w:r>
              <w:rPr>
                <w:rFonts w:hint="default" w:ascii="Times New Roman" w:hAnsi="Times New Roman" w:eastAsia="宋体" w:cs="Times New Roman"/>
                <w:caps w:val="0"/>
                <w:color w:val="000000" w:themeColor="text1"/>
                <w:sz w:val="24"/>
                <w14:textFill>
                  <w14:solidFill>
                    <w14:schemeClr w14:val="tx1"/>
                  </w14:solidFill>
                </w14:textFill>
              </w:rPr>
              <w:t>二氧化硫、氮氧化物</w:t>
            </w: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，本</w:t>
            </w:r>
            <w:r>
              <w:rPr>
                <w:rFonts w:hint="default" w:ascii="Times New Roman" w:hAnsi="Times New Roman" w:eastAsia="宋体" w:cs="Times New Roman"/>
                <w:color w:val="000000" w:themeColor="text1"/>
                <w:highlight w:val="none"/>
                <w14:textFill>
                  <w14:solidFill>
                    <w14:schemeClr w14:val="tx1"/>
                  </w14:solidFill>
                </w14:textFill>
              </w:rPr>
              <w:t>项目</w:t>
            </w:r>
            <w:r>
              <w:rPr>
                <w:rFonts w:hint="default" w:ascii="Times New Roman" w:hAnsi="Times New Roman" w:eastAsia="宋体" w:cs="Times New Roman"/>
                <w:color w:val="000000" w:themeColor="text1"/>
                <w:highlight w:val="none"/>
                <w:lang w:eastAsia="zh-CN"/>
                <w14:textFill>
                  <w14:solidFill>
                    <w14:schemeClr w14:val="tx1"/>
                  </w14:solidFill>
                </w14:textFill>
              </w:rPr>
              <w:t>排放量为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二氧化硫：0.157t/a、氮氧化物</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：0.734t/a</w:t>
            </w: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w:t>
            </w:r>
          </w:p>
          <w:p>
            <w:pPr>
              <w:pStyle w:val="36"/>
              <w:keepNext w:val="0"/>
              <w:keepLines w:val="0"/>
              <w:pageBreakBefore w:val="0"/>
              <w:widowControl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2"/>
                <w:szCs w:val="22"/>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w:t>
            </w:r>
            <w:r>
              <w:rPr>
                <w:rFonts w:hint="default" w:ascii="Times New Roman" w:hAnsi="Times New Roman" w:eastAsia="宋体" w:cs="Times New Roman"/>
                <w:color w:val="000000" w:themeColor="text1"/>
                <w:highlight w:val="none"/>
                <w:lang w:eastAsia="zh-CN"/>
                <w14:textFill>
                  <w14:solidFill>
                    <w14:schemeClr w14:val="tx1"/>
                  </w14:solidFill>
                </w14:textFill>
              </w:rPr>
              <w:t>次环评</w:t>
            </w:r>
            <w:r>
              <w:rPr>
                <w:rFonts w:hint="default" w:ascii="Times New Roman" w:hAnsi="Times New Roman" w:eastAsia="宋体" w:cs="Times New Roman"/>
                <w:color w:val="000000" w:themeColor="text1"/>
                <w:highlight w:val="none"/>
                <w14:textFill>
                  <w14:solidFill>
                    <w14:schemeClr w14:val="tx1"/>
                  </w14:solidFill>
                </w14:textFill>
              </w:rPr>
              <w:t>总量控制指标</w:t>
            </w:r>
            <w:r>
              <w:rPr>
                <w:rFonts w:hint="default" w:ascii="Times New Roman" w:hAnsi="Times New Roman" w:eastAsia="宋体" w:cs="Times New Roman"/>
                <w:color w:val="000000" w:themeColor="text1"/>
                <w:highlight w:val="none"/>
                <w:lang w:eastAsia="zh-CN"/>
                <w14:textFill>
                  <w14:solidFill>
                    <w14:schemeClr w14:val="tx1"/>
                  </w14:solidFill>
                </w14:textFill>
              </w:rPr>
              <w:t>申请建议值为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CODcr：0.29t/a、NH</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-N：0.004t/a</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；二氧化硫：0.157t/a、氮氧化物：0.734t/a</w:t>
            </w:r>
            <w:r>
              <w:rPr>
                <w:rFonts w:hint="default" w:ascii="Times New Roman" w:hAnsi="Times New Roman" w:eastAsia="宋体" w:cs="Times New Roman"/>
                <w:color w:val="000000" w:themeColor="text1"/>
                <w:kern w:val="2"/>
                <w:szCs w:val="22"/>
                <w:highlight w:val="none"/>
                <w14:textFill>
                  <w14:solidFill>
                    <w14:schemeClr w14:val="tx1"/>
                  </w14:solidFill>
                </w14:textFill>
              </w:rPr>
              <w:t>。</w:t>
            </w:r>
          </w:p>
          <w:p>
            <w:pPr>
              <w:pStyle w:val="2"/>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000000" w:themeColor="text1"/>
                <w:sz w:val="24"/>
                <w:highlight w:val="none"/>
                <w:lang w:val="de-DE"/>
                <w14:textFill>
                  <w14:solidFill>
                    <w14:schemeClr w14:val="tx1"/>
                  </w14:solidFill>
                </w14:textFill>
              </w:rPr>
            </w:pPr>
            <w:r>
              <w:rPr>
                <w:rFonts w:hint="default" w:ascii="Times New Roman" w:hAnsi="Times New Roman" w:eastAsia="宋体" w:cs="Times New Roman"/>
                <w:caps w:val="0"/>
                <w:color w:val="000000" w:themeColor="text1"/>
                <w:sz w:val="24"/>
                <w:highlight w:val="none"/>
                <w14:textFill>
                  <w14:solidFill>
                    <w14:schemeClr w14:val="tx1"/>
                  </w14:solidFill>
                </w14:textFill>
              </w:rPr>
              <w:t>建设单位须向有审批权的生态环境主管部门提出上述总量申请，并按核定的总量进行排污</w:t>
            </w:r>
            <w:r>
              <w:rPr>
                <w:rFonts w:hint="default" w:ascii="Times New Roman" w:hAnsi="Times New Roman" w:eastAsia="宋体" w:cs="Times New Roman"/>
                <w:caps w:val="0"/>
                <w:color w:val="000000" w:themeColor="text1"/>
                <w:sz w:val="24"/>
                <w:highlight w:val="none"/>
                <w:lang w:eastAsia="zh-CN"/>
                <w14:textFill>
                  <w14:solidFill>
                    <w14:schemeClr w14:val="tx1"/>
                  </w14:solidFill>
                </w14:textFill>
              </w:rPr>
              <w:t>。</w:t>
            </w:r>
          </w:p>
        </w:tc>
      </w:tr>
    </w:tbl>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color w:val="000000" w:themeColor="text1"/>
          <w:sz w:val="32"/>
          <w:szCs w:val="32"/>
          <w:highlight w:val="none"/>
          <w14:textFill>
            <w14:solidFill>
              <w14:schemeClr w14:val="tx1"/>
            </w14:solidFill>
          </w14:textFill>
        </w:rPr>
        <w:br w:type="page"/>
      </w: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13" w:name="_Toc17434"/>
      <w:bookmarkStart w:id="14" w:name="_Toc31837"/>
      <w:r>
        <w:rPr>
          <w:rFonts w:hint="default" w:ascii="Times New Roman" w:hAnsi="Times New Roman" w:eastAsia="宋体" w:cs="Times New Roman"/>
          <w:b/>
          <w:bCs/>
          <w:color w:val="000000" w:themeColor="text1"/>
          <w:sz w:val="32"/>
          <w:szCs w:val="32"/>
          <w:highlight w:val="none"/>
          <w14:textFill>
            <w14:solidFill>
              <w14:schemeClr w14:val="tx1"/>
            </w14:solidFill>
          </w14:textFill>
        </w:rPr>
        <w:t>06.建设项目工程分析</w:t>
      </w:r>
      <w:bookmarkEnd w:id="13"/>
      <w:bookmarkEnd w:id="14"/>
      <w:r>
        <w:rPr>
          <w:rFonts w:hint="default" w:ascii="Times New Roman" w:hAnsi="Times New Roman" w:eastAsia="宋体" w:cs="Times New Roman"/>
          <w:b/>
          <w:bCs/>
          <w:color w:val="000000" w:themeColor="text1"/>
          <w:sz w:val="32"/>
          <w:szCs w:val="32"/>
          <w:highlight w:val="none"/>
          <w14:textFill>
            <w14:solidFill>
              <w14:schemeClr w14:val="tx1"/>
            </w14:solidFill>
          </w14:textFill>
        </w:rPr>
        <w:tab/>
      </w:r>
    </w:p>
    <w:tbl>
      <w:tblPr>
        <w:tblStyle w:val="26"/>
        <w:tblW w:w="9380" w:type="dxa"/>
        <w:jc w:val="center"/>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38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13502" w:hRule="atLeast"/>
          <w:jc w:val="center"/>
        </w:trPr>
        <w:tc>
          <w:tcPr>
            <w:tcW w:w="9380" w:type="dxa"/>
          </w:tcPr>
          <w:p>
            <w:pPr>
              <w:spacing w:before="60" w:after="60" w:line="360" w:lineRule="auto"/>
              <w:jc w:val="left"/>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6.1</w:t>
            </w:r>
            <w:r>
              <w:rPr>
                <w:rFonts w:hint="default" w:ascii="Times New Roman" w:hAnsi="Times New Roman" w:eastAsia="宋体" w:cs="Times New Roman"/>
                <w:b/>
                <w:bCs/>
                <w:color w:val="000000" w:themeColor="text1"/>
                <w:sz w:val="28"/>
                <w:szCs w:val="28"/>
                <w:highlight w:val="none"/>
                <w14:textFill>
                  <w14:solidFill>
                    <w14:schemeClr w14:val="tx1"/>
                  </w14:solidFill>
                </w14:textFill>
              </w:rPr>
              <w:t>施工期</w:t>
            </w:r>
            <w:r>
              <w:rPr>
                <w:rFonts w:hint="default" w:ascii="Times New Roman" w:hAnsi="Times New Roman" w:eastAsia="宋体" w:cs="Times New Roman"/>
                <w:b/>
                <w:color w:val="000000" w:themeColor="text1"/>
                <w:sz w:val="28"/>
                <w:szCs w:val="28"/>
                <w:highlight w:val="none"/>
                <w14:textFill>
                  <w14:solidFill>
                    <w14:schemeClr w14:val="tx1"/>
                  </w14:solidFill>
                </w14:textFill>
              </w:rPr>
              <w:t xml:space="preserve">工程分析 </w:t>
            </w:r>
          </w:p>
          <w:p>
            <w:pPr>
              <w:pStyle w:val="79"/>
              <w:snapToGrid/>
              <w:spacing w:before="0" w:beforeAutospacing="0"/>
              <w:ind w:firstLine="504" w:firstLineChars="200"/>
              <w:rPr>
                <w:rFonts w:hint="default" w:ascii="Times New Roman" w:hAnsi="Times New Roman" w:eastAsia="宋体" w:cs="Times New Roman"/>
                <w:b w:val="0"/>
                <w:bCs w:val="0"/>
                <w:color w:val="000000" w:themeColor="text1"/>
                <w:szCs w:val="20"/>
                <w:highlight w:val="none"/>
                <w14:textFill>
                  <w14:solidFill>
                    <w14:schemeClr w14:val="tx1"/>
                  </w14:solidFill>
                </w14:textFill>
              </w:rPr>
            </w:pPr>
            <w:r>
              <w:rPr>
                <w:rFonts w:hint="default" w:ascii="Times New Roman" w:hAnsi="Times New Roman" w:eastAsia="宋体" w:cs="Times New Roman"/>
                <w:b w:val="0"/>
                <w:bCs/>
                <w:color w:val="000000" w:themeColor="text1"/>
                <w:spacing w:val="6"/>
                <w:highlight w:val="none"/>
                <w:lang w:val="en-US" w:eastAsia="zh-CN"/>
                <w14:textFill>
                  <w14:solidFill>
                    <w14:schemeClr w14:val="tx1"/>
                  </w14:solidFill>
                </w14:textFill>
              </w:rPr>
              <w:t>本项目选址位于佛冈县汤塘镇三门管理区下围队原三门再生纸厂房，主要利用原三门再生纸厂现有厂房进行建设，本次变动不新增永久性钢筋混凝土建筑物，</w:t>
            </w:r>
            <w:r>
              <w:rPr>
                <w:rFonts w:hint="default" w:ascii="Times New Roman" w:hAnsi="Times New Roman" w:eastAsia="宋体" w:cs="Times New Roman"/>
                <w:b w:val="0"/>
                <w:bCs w:val="0"/>
                <w:color w:val="000000" w:themeColor="text1"/>
                <w:szCs w:val="20"/>
                <w:highlight w:val="none"/>
                <w14:textFill>
                  <w14:solidFill>
                    <w14:schemeClr w14:val="tx1"/>
                  </w14:solidFill>
                </w14:textFill>
              </w:rPr>
              <w:t>无基建施工活动，</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施工期</w:t>
            </w:r>
            <w:r>
              <w:rPr>
                <w:rFonts w:hint="default" w:ascii="Times New Roman" w:hAnsi="Times New Roman" w:eastAsia="宋体" w:cs="Times New Roman"/>
                <w:b w:val="0"/>
                <w:bCs w:val="0"/>
                <w:color w:val="000000" w:themeColor="text1"/>
                <w:highlight w:val="none"/>
                <w14:textFill>
                  <w14:solidFill>
                    <w14:schemeClr w14:val="tx1"/>
                  </w14:solidFill>
                </w14:textFill>
              </w:rPr>
              <w:t>进行</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装修、</w:t>
            </w:r>
            <w:r>
              <w:rPr>
                <w:rFonts w:hint="default" w:ascii="Times New Roman" w:hAnsi="Times New Roman" w:eastAsia="宋体" w:cs="Times New Roman"/>
                <w:b w:val="0"/>
                <w:bCs w:val="0"/>
                <w:color w:val="000000" w:themeColor="text1"/>
                <w:highlight w:val="none"/>
                <w14:textFill>
                  <w14:solidFill>
                    <w14:schemeClr w14:val="tx1"/>
                  </w14:solidFill>
                </w14:textFill>
              </w:rPr>
              <w:t>设备的安装</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即可</w:t>
            </w:r>
            <w:r>
              <w:rPr>
                <w:rFonts w:hint="default" w:ascii="Times New Roman" w:hAnsi="Times New Roman" w:eastAsia="宋体" w:cs="Times New Roman"/>
                <w:b w:val="0"/>
                <w:bCs w:val="0"/>
                <w:color w:val="000000" w:themeColor="text1"/>
                <w:highlight w:val="none"/>
                <w14:textFill>
                  <w14:solidFill>
                    <w14:schemeClr w14:val="tx1"/>
                  </w14:solidFill>
                </w14:textFill>
              </w:rPr>
              <w:t>，其环境影响（如噪声）很小，</w:t>
            </w:r>
            <w:r>
              <w:rPr>
                <w:rFonts w:hint="default" w:ascii="Times New Roman" w:hAnsi="Times New Roman" w:eastAsia="宋体" w:cs="Times New Roman"/>
                <w:b w:val="0"/>
                <w:bCs w:val="0"/>
                <w:color w:val="000000" w:themeColor="text1"/>
                <w:szCs w:val="20"/>
                <w:highlight w:val="none"/>
                <w14:textFill>
                  <w14:solidFill>
                    <w14:schemeClr w14:val="tx1"/>
                  </w14:solidFill>
                </w14:textFill>
              </w:rPr>
              <w:t>故本评价不进行施工期评价</w:t>
            </w:r>
            <w:r>
              <w:rPr>
                <w:rFonts w:hint="default" w:ascii="Times New Roman" w:hAnsi="Times New Roman" w:eastAsia="宋体" w:cs="Times New Roman"/>
                <w:b w:val="0"/>
                <w:bCs w:val="0"/>
                <w:color w:val="000000" w:themeColor="text1"/>
                <w:szCs w:val="20"/>
                <w:highlight w:val="none"/>
                <w:lang w:eastAsia="zh-CN"/>
                <w14:textFill>
                  <w14:solidFill>
                    <w14:schemeClr w14:val="tx1"/>
                  </w14:solidFill>
                </w14:textFill>
              </w:rPr>
              <w:t>详细</w:t>
            </w:r>
            <w:r>
              <w:rPr>
                <w:rFonts w:hint="default" w:ascii="Times New Roman" w:hAnsi="Times New Roman" w:eastAsia="宋体" w:cs="Times New Roman"/>
                <w:b w:val="0"/>
                <w:bCs w:val="0"/>
                <w:color w:val="000000" w:themeColor="text1"/>
                <w:szCs w:val="20"/>
                <w:highlight w:val="none"/>
                <w14:textFill>
                  <w14:solidFill>
                    <w14:schemeClr w14:val="tx1"/>
                  </w14:solidFill>
                </w14:textFill>
              </w:rPr>
              <w:t>分析。</w:t>
            </w:r>
          </w:p>
          <w:p>
            <w:pPr>
              <w:pStyle w:val="79"/>
              <w:keepNext w:val="0"/>
              <w:keepLines w:val="0"/>
              <w:pageBreakBefore w:val="0"/>
              <w:widowControl w:val="0"/>
              <w:kinsoku/>
              <w:wordWrap/>
              <w:overflowPunct/>
              <w:topLinePunct w:val="0"/>
              <w:autoSpaceDE/>
              <w:autoSpaceDN/>
              <w:bidi w:val="0"/>
              <w:adjustRightInd/>
              <w:snapToGrid/>
              <w:spacing w:before="0" w:beforeAutospacing="0"/>
              <w:textAlignment w:val="auto"/>
              <w:outlineLvl w:val="9"/>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sz w:val="28"/>
                <w:szCs w:val="28"/>
                <w:highlight w:val="none"/>
                <w14:textFill>
                  <w14:solidFill>
                    <w14:schemeClr w14:val="tx1"/>
                  </w14:solidFill>
                </w14:textFill>
              </w:rPr>
              <w:t>6.2</w:t>
            </w:r>
            <w:r>
              <w:rPr>
                <w:rFonts w:hint="default" w:ascii="Times New Roman" w:hAnsi="Times New Roman" w:eastAsia="宋体" w:cs="Times New Roman"/>
                <w:color w:val="000000" w:themeColor="text1"/>
                <w:sz w:val="28"/>
                <w:szCs w:val="28"/>
                <w:highlight w:val="none"/>
                <w14:textFill>
                  <w14:solidFill>
                    <w14:schemeClr w14:val="tx1"/>
                  </w14:solidFill>
                </w14:textFill>
              </w:rPr>
              <w:t>运营期工程分析</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6.2.1</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运营期生产工艺简介</w:t>
            </w:r>
          </w:p>
          <w:p>
            <w:pPr>
              <w:spacing w:line="360" w:lineRule="auto"/>
              <w:jc w:val="left"/>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6.2.1.1</w:t>
            </w:r>
            <w:r>
              <w:rPr>
                <w:rFonts w:hint="default" w:ascii="Times New Roman" w:hAnsi="Times New Roman" w:eastAsia="宋体" w:cs="Times New Roman"/>
                <w:b/>
                <w:bCs/>
                <w:color w:val="000000" w:themeColor="text1"/>
                <w:sz w:val="24"/>
                <w:highlight w:val="none"/>
                <w14:textFill>
                  <w14:solidFill>
                    <w14:schemeClr w14:val="tx1"/>
                  </w14:solidFill>
                </w14:textFill>
              </w:rPr>
              <w:t xml:space="preserve">运营期工艺流程图 </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b w:val="0"/>
                <w:bCs w:val="0"/>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
                <w:sz w:val="24"/>
                <w:szCs w:val="24"/>
                <w:highlight w:val="none"/>
                <w:lang w:val="en-US" w:eastAsia="zh-CN" w:bidi="ar-SA"/>
                <w14:textFill>
                  <w14:solidFill>
                    <w14:schemeClr w14:val="tx1"/>
                  </w14:solidFill>
                </w14:textFill>
              </w:rPr>
              <w:t>本工艺流程与产污环节详见下图。</w:t>
            </w:r>
          </w:p>
          <w:p>
            <w:pPr>
              <w:keepNext w:val="0"/>
              <w:keepLines w:val="0"/>
              <w:pageBreakBefore w:val="0"/>
              <w:widowControl w:val="0"/>
              <w:kinsoku/>
              <w:wordWrap/>
              <w:overflowPunct/>
              <w:topLinePunct w:val="0"/>
              <w:autoSpaceDE/>
              <w:autoSpaceDN/>
              <w:bidi w:val="0"/>
              <w:adjustRightInd/>
              <w:snapToGrid/>
              <w:spacing w:line="480" w:lineRule="auto"/>
              <w:textAlignment w:val="auto"/>
              <w:outlineLvl w:val="9"/>
              <w:rPr>
                <w:rFonts w:hint="default" w:ascii="Times New Roman" w:hAnsi="Times New Roman" w:eastAsia="宋体" w:cs="Times New Roman"/>
                <w:b/>
                <w:bCs/>
                <w:color w:val="000000" w:themeColor="text1"/>
                <w:sz w:val="27"/>
                <w14:textFill>
                  <w14:solidFill>
                    <w14:schemeClr w14:val="tx1"/>
                  </w14:solidFill>
                </w14:textFill>
              </w:rPr>
            </w:pP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object>
                <v:shape id="_x0000_i1025" o:spt="75" type="#_x0000_t75" style="height:568.5pt;width:411.95pt;" o:ole="t" filled="f" o:preferrelative="t" stroked="f" coordsize="21600,21600">
                  <v:path/>
                  <v:fill on="f" focussize="0,0"/>
                  <v:stroke on="f"/>
                  <v:imagedata r:id="rId8" o:title=""/>
                  <o:lock v:ext="edit" aspectratio="f"/>
                  <w10:wrap type="none"/>
                  <w10:anchorlock/>
                </v:shape>
                <o:OLEObject Type="Embed" ProgID="Visio.Drawing.11" ShapeID="_x0000_i1025" DrawAspect="Content" ObjectID="_1468075725" r:id="rId7">
                  <o:LockedField>false</o:LockedField>
                </o:OLEObject>
              </w:objec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outlineLvl w:val="9"/>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图</w:t>
            </w:r>
            <w:r>
              <w:rPr>
                <w:rFonts w:hint="default" w:ascii="Times New Roman" w:hAnsi="Times New Roman" w:eastAsia="宋体" w:cs="Times New Roman"/>
                <w:b/>
                <w:bCs/>
                <w:caps w:val="0"/>
                <w:smallCaps w:val="0"/>
                <w:color w:val="000000" w:themeColor="text1"/>
                <w:sz w:val="24"/>
                <w:szCs w:val="24"/>
                <w:u w:val="none"/>
                <w:lang w:val="en-US" w:eastAsia="zh-CN"/>
                <w14:textFill>
                  <w14:solidFill>
                    <w14:schemeClr w14:val="tx1"/>
                  </w14:solidFill>
                </w14:textFill>
              </w:rPr>
              <w:t xml:space="preserve">6.2-1  </w:t>
            </w:r>
            <w:r>
              <w:rPr>
                <w:rFonts w:hint="default" w:ascii="Times New Roman" w:hAnsi="Times New Roman" w:eastAsia="宋体" w:cs="Times New Roman"/>
                <w:b/>
                <w:bCs/>
                <w:caps w:val="0"/>
                <w:smallCaps w:val="0"/>
                <w:color w:val="000000" w:themeColor="text1"/>
                <w:sz w:val="24"/>
                <w:szCs w:val="24"/>
                <w:u w:val="none"/>
                <w14:textFill>
                  <w14:solidFill>
                    <w14:schemeClr w14:val="tx1"/>
                  </w14:solidFill>
                </w14:textFill>
              </w:rPr>
              <w:t>项目</w:t>
            </w: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湿砂车间</w:t>
            </w:r>
            <w:r>
              <w:rPr>
                <w:rFonts w:hint="default" w:ascii="Times New Roman" w:hAnsi="Times New Roman" w:eastAsia="宋体" w:cs="Times New Roman"/>
                <w:b/>
                <w:bCs/>
                <w:caps w:val="0"/>
                <w:smallCaps w:val="0"/>
                <w:color w:val="000000" w:themeColor="text1"/>
                <w:sz w:val="24"/>
                <w:szCs w:val="24"/>
                <w:u w:val="none"/>
                <w14:textFill>
                  <w14:solidFill>
                    <w14:schemeClr w14:val="tx1"/>
                  </w14:solidFill>
                </w14:textFill>
              </w:rPr>
              <w:t>生产工艺流程</w:t>
            </w: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图</w:t>
            </w:r>
          </w:p>
          <w:p>
            <w:pPr>
              <w:pageBreakBefore w:val="0"/>
              <w:kinsoku/>
              <w:wordWrap/>
              <w:topLinePunct w:val="0"/>
              <w:bidi w:val="0"/>
              <w:adjustRightInd/>
              <w:snapToGrid/>
              <w:spacing w:line="360" w:lineRule="auto"/>
              <w:ind w:left="-630" w:leftChars="-300"/>
              <w:jc w:val="cente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pP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object>
                <v:shape id="_x0000_i1026" o:spt="75" alt="" type="#_x0000_t75" style="height:628.1pt;width:348.45pt;" o:ole="t" filled="f" o:preferrelative="t" stroked="f" coordsize="21600,21600">
                  <v:path/>
                  <v:fill on="f" focussize="0,0"/>
                  <v:stroke on="f"/>
                  <v:imagedata r:id="rId10" o:title=""/>
                  <o:lock v:ext="edit" aspectratio="f"/>
                  <w10:wrap type="none"/>
                  <w10:anchorlock/>
                </v:shape>
                <o:OLEObject Type="Embed" ProgID="Visio.Drawing.11" ShapeID="_x0000_i1026" DrawAspect="Content" ObjectID="_1468075726" r:id="rId9">
                  <o:LockedField>false</o:LockedField>
                </o:OLEObject>
              </w:object>
            </w:r>
          </w:p>
          <w:p>
            <w:pPr>
              <w:pageBreakBefore w:val="0"/>
              <w:kinsoku/>
              <w:wordWrap/>
              <w:topLinePunct w:val="0"/>
              <w:bidi w:val="0"/>
              <w:adjustRightInd/>
              <w:snapToGrid/>
              <w:spacing w:line="360" w:lineRule="auto"/>
              <w:ind w:left="-630" w:leftChars="-300"/>
              <w:jc w:val="center"/>
              <w:rPr>
                <w:rFonts w:hint="default" w:ascii="Times New Roman" w:hAnsi="Times New Roman" w:eastAsia="宋体" w:cs="Times New Roman"/>
                <w:b/>
                <w:caps w:val="0"/>
                <w:smallCaps w:val="0"/>
                <w:color w:val="000000" w:themeColor="text1"/>
                <w:sz w:val="24"/>
                <w:szCs w:val="24"/>
                <w:u w:val="none"/>
                <w14:textFill>
                  <w14:solidFill>
                    <w14:schemeClr w14:val="tx1"/>
                  </w14:solidFill>
                </w14:textFill>
              </w:rPr>
            </w:pPr>
            <w:r>
              <w:rPr>
                <w:rFonts w:hint="default" w:ascii="Times New Roman" w:hAnsi="Times New Roman" w:eastAsia="宋体" w:cs="Times New Roman"/>
                <w:b/>
                <w:caps w:val="0"/>
                <w:smallCaps w:val="0"/>
                <w:color w:val="000000" w:themeColor="text1"/>
                <w:sz w:val="24"/>
                <w:szCs w:val="24"/>
                <w:u w:val="none"/>
                <w14:textFill>
                  <w14:solidFill>
                    <w14:schemeClr w14:val="tx1"/>
                  </w14:solidFill>
                </w14:textFill>
              </w:rPr>
              <w:t>图</w:t>
            </w:r>
            <w:r>
              <w:rPr>
                <w:rFonts w:hint="default" w:ascii="Times New Roman" w:hAnsi="Times New Roman" w:eastAsia="宋体" w:cs="Times New Roman"/>
                <w:b/>
                <w:caps w:val="0"/>
                <w:smallCaps w:val="0"/>
                <w:color w:val="000000" w:themeColor="text1"/>
                <w:sz w:val="24"/>
                <w:szCs w:val="24"/>
                <w:u w:val="none"/>
                <w:lang w:val="en-US" w:eastAsia="zh-CN"/>
                <w14:textFill>
                  <w14:solidFill>
                    <w14:schemeClr w14:val="tx1"/>
                  </w14:solidFill>
                </w14:textFill>
              </w:rPr>
              <w:t>6</w:t>
            </w:r>
            <w:r>
              <w:rPr>
                <w:rFonts w:hint="default" w:ascii="Times New Roman" w:hAnsi="Times New Roman" w:eastAsia="宋体" w:cs="Times New Roman"/>
                <w:b/>
                <w:caps w:val="0"/>
                <w:smallCaps w:val="0"/>
                <w:color w:val="000000" w:themeColor="text1"/>
                <w:sz w:val="24"/>
                <w:szCs w:val="24"/>
                <w:u w:val="none"/>
                <w14:textFill>
                  <w14:solidFill>
                    <w14:schemeClr w14:val="tx1"/>
                  </w14:solidFill>
                </w14:textFill>
              </w:rPr>
              <w:t>.1-</w:t>
            </w:r>
            <w:r>
              <w:rPr>
                <w:rFonts w:hint="default" w:ascii="Times New Roman" w:hAnsi="Times New Roman" w:eastAsia="宋体" w:cs="Times New Roman"/>
                <w:b/>
                <w:caps w:val="0"/>
                <w:smallCaps w:val="0"/>
                <w:color w:val="000000" w:themeColor="text1"/>
                <w:sz w:val="24"/>
                <w:szCs w:val="24"/>
                <w:u w:val="none"/>
                <w:lang w:val="en-US" w:eastAsia="zh-CN"/>
                <w14:textFill>
                  <w14:solidFill>
                    <w14:schemeClr w14:val="tx1"/>
                  </w14:solidFill>
                </w14:textFill>
              </w:rPr>
              <w:t>2 酸洗车间</w:t>
            </w:r>
            <w:r>
              <w:rPr>
                <w:rFonts w:hint="default" w:ascii="Times New Roman" w:hAnsi="Times New Roman" w:eastAsia="宋体" w:cs="Times New Roman"/>
                <w:b/>
                <w:caps w:val="0"/>
                <w:smallCaps w:val="0"/>
                <w:color w:val="000000" w:themeColor="text1"/>
                <w:sz w:val="24"/>
                <w:szCs w:val="24"/>
                <w:u w:val="none"/>
                <w14:textFill>
                  <w14:solidFill>
                    <w14:schemeClr w14:val="tx1"/>
                  </w14:solidFill>
                </w14:textFill>
              </w:rPr>
              <w:t>生产工艺流程与产污环节图</w:t>
            </w:r>
          </w:p>
          <w:p>
            <w:pPr>
              <w:pStyle w:val="2"/>
              <w:rPr>
                <w:rFonts w:hint="default" w:ascii="Times New Roman" w:hAnsi="Times New Roman" w:eastAsia="宋体" w:cs="Times New Roman"/>
                <w:color w:val="000000" w:themeColor="text1"/>
                <w:lang w:val="en-US" w:eastAsia="zh-CN"/>
                <w14:textFill>
                  <w14:solidFill>
                    <w14:schemeClr w14:val="tx1"/>
                  </w14:solidFill>
                </w14:textFill>
              </w:rPr>
            </w:pPr>
          </w:p>
          <w:p>
            <w:pPr>
              <w:pStyle w:val="72"/>
              <w:keepNext w:val="0"/>
              <w:keepLines w:val="0"/>
              <w:pageBreakBefore w:val="0"/>
              <w:widowControl w:val="0"/>
              <w:kinsoku/>
              <w:wordWrap/>
              <w:overflowPunct/>
              <w:topLinePunct w:val="0"/>
              <w:autoSpaceDE/>
              <w:autoSpaceDN/>
              <w:bidi w:val="0"/>
              <w:adjustRightInd/>
              <w:snapToGrid/>
              <w:ind w:firstLine="0"/>
              <w:textAlignment w:val="baseline"/>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6.2.1.2</w:t>
            </w:r>
            <w:r>
              <w:rPr>
                <w:rFonts w:hint="default" w:ascii="Times New Roman" w:hAnsi="Times New Roman" w:eastAsia="宋体" w:cs="Times New Roman"/>
                <w:b/>
                <w:color w:val="000000" w:themeColor="text1"/>
                <w:sz w:val="24"/>
                <w:szCs w:val="24"/>
                <w:highlight w:val="none"/>
                <w14:textFill>
                  <w14:solidFill>
                    <w14:schemeClr w14:val="tx1"/>
                  </w14:solidFill>
                </w14:textFill>
              </w:rPr>
              <w:t>生产工艺</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流程</w:t>
            </w:r>
            <w:r>
              <w:rPr>
                <w:rFonts w:hint="default" w:ascii="Times New Roman" w:hAnsi="Times New Roman" w:eastAsia="宋体" w:cs="Times New Roman"/>
                <w:b/>
                <w:color w:val="000000" w:themeColor="text1"/>
                <w:sz w:val="24"/>
                <w:szCs w:val="24"/>
                <w:highlight w:val="none"/>
                <w14:textFill>
                  <w14:solidFill>
                    <w14:schemeClr w14:val="tx1"/>
                  </w14:solidFill>
                </w14:textFill>
              </w:rPr>
              <w:t>简介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aps w:val="0"/>
                <w:smallCaps w:val="0"/>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val="en-US" w:eastAsia="zh-CN"/>
                <w14:textFill>
                  <w14:solidFill>
                    <w14:schemeClr w14:val="tx1"/>
                  </w14:solidFill>
                </w14:textFill>
              </w:rPr>
              <w:t>1、破碎工序：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Cs/>
                <w:caps w:val="0"/>
                <w:smallCaps w:val="0"/>
                <w:color w:val="000000" w:themeColor="text1"/>
                <w:szCs w:val="21"/>
                <w:u w:val="none"/>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一次破碎：</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通过给料机</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将</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25~50mm左右粒径的石英岩矿</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给入颚式破碎机进行一次破碎，</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一级破碎（圆锥破碎）的目的是把</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石英岩矿破碎成10mm左右的颗粒，</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小于</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10mm的颗粒进入下一工序（洗矿工序），</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大于</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10mm的颗粒则继续</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破碎，该破碎过程中会一直喷水雾，</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水与石英矿的比例为0.2:1，</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不会产生粉尘废气。项目一次破碎物料约为</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62100t/a，则该工序加入水约为124</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/a</w:t>
            </w:r>
            <w:r>
              <w:rPr>
                <w:rFonts w:hint="default" w:ascii="Times New Roman" w:hAnsi="Times New Roman" w:eastAsia="宋体" w:cs="Times New Roman"/>
                <w:bCs/>
                <w:caps w:val="0"/>
                <w:smallCaps w:val="0"/>
                <w:color w:val="000000" w:themeColor="text1"/>
                <w:szCs w:val="21"/>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洗矿：</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加入水，洗去矿物中的细微颗粒物，洗砂废水</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自流至</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沉淀循环</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池</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，矿物则进入下个工序</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。洗砂废水进入沉淀循环池后，加药沉淀后，泥水分离后，尾泥进入尾泥堆场，水重新循环使用。洗矿工序中水与石英矿的比例为1:1，即每小时清洗1t的物料，则洗矿工序再次加水0.8t（</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一级破碎</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工序后石英砂物料混合液中水与石英矿的比例为0.2:1）；洗矿</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物料约为</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62100t/a，则该工序加入水约为49680</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/a</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；该工序需要水的参与，故洗矿工序没有粉尘废气产生，只产生废水。项目使用很洁净的石英原矿，该工序产生的尾泥约带走物料</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（干重）约为</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600t。石英砂物料（水与石英矿的比例为0.2:1）进入二次破碎工序，洗砂（洗矿）废水46725</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/a进入循环沉淀池。</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二次破碎、筛分：</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将洗矿后的物料</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送入</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打砂</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机进行二次破碎，二次破碎排料进入</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筛分</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工序。</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二级级破碎的目的是把</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10mm左右粒径的石英岩矿破碎成4.5mm左右的颗粒，</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二次破碎排料进入</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筛分</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工序</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，小于</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4.5mm的颗粒进入下一工序（球磨工序），</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大于</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4.5mm的颗粒返回上一工序（二次破碎工序）。</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该破碎过程中全程用水湿润，不会产生粉尘废气</w:t>
            </w:r>
            <w:r>
              <w:rPr>
                <w:rFonts w:hint="default" w:ascii="Times New Roman" w:hAnsi="Times New Roman" w:eastAsia="宋体" w:cs="Times New Roman"/>
                <w:bCs/>
                <w:caps w:val="0"/>
                <w:smallCaps w:val="0"/>
                <w:color w:val="000000" w:themeColor="text1"/>
                <w:szCs w:val="21"/>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球磨、筛分：</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经过二级破碎</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、筛分后</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的物料通过给料机进入</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球磨机</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进行</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球磨，球磨</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后砂浆</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经过检查筛分后，</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通过泵送至</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磁选工序</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球磨工序目的是把粒径</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4.5mm左右的石英砂碾磨成0.71mm的颗粒，</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大于</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0.71mm的颗粒返回上一工序（球磨），</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球磨后的物料需再次返回</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筛分工序</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，如此循环直至粒径符合要求</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。球磨工序中水与石英矿的比例为1:1；球磨</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物料约为</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61500t/a，则该工序加入水约为46125</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/a（</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球磨</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物料已含水约</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15375</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；筛分工序中水与石英矿的比例为2:1，筛分</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物料约为</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61500t/a，则该工序加入水约为61500</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/a</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（球磨</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物料已含水约</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61500</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）；该工序需要水的参与，故球磨工序没有粉尘废气产生，球磨工艺的废水随物料一起进入后续的磁选固液分离工序。</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磁选：</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经</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磁选机</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磁选挑出的强磁性物质（主要为</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夹带着</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铁屑、机械铁</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的石英砂</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）被泵送至磁尾砂浆贮矿斗脱水后收集磁尾砂，储存于磁尾砂堆场</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脱水后的</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磁尾砂</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量（干重）约为</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1200t（含水率约为20%，湿重为1500t）</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。而磁选后的</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非磁物料进入下个固液分离工序。</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固液分离：</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磁选后的物料经过固液分离后，精砂浆贮存斗脱水收集后得到产品石英砂</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（干重）约为</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60000t（含水率约为25%，湿重为80000t）</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，储存于湿砂仓库，方便进入酸洗工序</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项目使用很洁净的石英原矿，该工序产生的洗砂废水约带走物料主要是破碎过程过程中产生的细小粉尘灰，该过程带走物料（磁尾砂）量约为</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（干重）</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300t。洗砂（洗矿）废水46725</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32"/>
                <w:highlight w:val="none"/>
                <w:lang w:val="en-US" w:eastAsia="zh-CN"/>
                <w14:textFill>
                  <w14:solidFill>
                    <w14:schemeClr w14:val="tx1"/>
                  </w14:solidFill>
                </w14:textFill>
              </w:rPr>
              <w:t>/a进入循环沉淀池。</w:t>
            </w:r>
          </w:p>
          <w:p>
            <w:pPr>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本项目</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产生的</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洗砂废水</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经沉淀池沉降后，清水流入循环水池，由水泵送至各用水点；沉淀下来的泥浆用泥浆泵送到浓缩槽进一步</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过滤</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浓缩后，通过过滤</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设施</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将泥浆分离成清水和泥饼</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整个湿砂生产过程带走物料（尾泥饼）量约为</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（干重）</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900t（含水率约为40%，则湿重为1500t）</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清水由水泵送回</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清水池</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，而泥饼则直接进入尾泥堆场。由于本项目生产线各用水环节对水质要求较低，本项目</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洗砂</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废水经</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湿砂车间</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洗砂废水循环处理设施</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处理后回用，不外排</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b/>
                <w:bCs/>
                <w:caps w:val="0"/>
                <w:smallCaps w:val="0"/>
                <w:color w:val="000000" w:themeColor="text1"/>
                <w:sz w:val="24"/>
                <w:szCs w:val="24"/>
                <w:u w:val="none"/>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val="en-US" w:eastAsia="zh-CN"/>
                <w14:textFill>
                  <w14:solidFill>
                    <w14:schemeClr w14:val="tx1"/>
                  </w14:solidFill>
                </w14:textFill>
              </w:rPr>
              <w:t>2、酸洗烘干筛分工序</w:t>
            </w:r>
            <w:r>
              <w:rPr>
                <w:rFonts w:hint="default" w:ascii="Times New Roman" w:hAnsi="Times New Roman" w:eastAsia="宋体" w:cs="Times New Roman"/>
                <w:b/>
                <w:bCs/>
                <w:caps w:val="0"/>
                <w:smallCaps w:val="0"/>
                <w:color w:val="000000" w:themeColor="text1"/>
                <w:sz w:val="24"/>
                <w:szCs w:val="24"/>
                <w:u w:val="none"/>
                <w14:textFill>
                  <w14:solidFill>
                    <w14:schemeClr w14:val="tx1"/>
                  </w14:solidFill>
                </w14:textFill>
              </w:rPr>
              <w:t xml:space="preserve">生产工艺流程简述如下: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14:textFill>
                  <w14:solidFill>
                    <w14:schemeClr w14:val="tx1"/>
                  </w14:solidFill>
                </w14:textFill>
              </w:rPr>
              <w:t>（</w:t>
            </w:r>
            <w:r>
              <w:rPr>
                <w:rFonts w:hint="default" w:ascii="Times New Roman" w:hAnsi="Times New Roman" w:eastAsia="宋体" w:cs="Times New Roman"/>
                <w:b/>
                <w:bCs/>
                <w:caps w:val="0"/>
                <w:smallCaps w:val="0"/>
                <w:color w:val="000000" w:themeColor="text1"/>
                <w:sz w:val="24"/>
                <w:szCs w:val="24"/>
                <w:u w:val="none"/>
                <w:lang w:val="en-US" w:eastAsia="zh-CN"/>
                <w14:textFill>
                  <w14:solidFill>
                    <w14:schemeClr w14:val="tx1"/>
                  </w14:solidFill>
                </w14:textFill>
              </w:rPr>
              <w:t>1</w:t>
            </w:r>
            <w:r>
              <w:rPr>
                <w:rFonts w:hint="default" w:ascii="Times New Roman" w:hAnsi="Times New Roman" w:eastAsia="宋体" w:cs="Times New Roman"/>
                <w:b/>
                <w:bCs/>
                <w:caps w:val="0"/>
                <w:smallCaps w:val="0"/>
                <w:color w:val="000000" w:themeColor="text1"/>
                <w:sz w:val="24"/>
                <w:szCs w:val="24"/>
                <w:u w:val="none"/>
                <w14:textFill>
                  <w14:solidFill>
                    <w14:schemeClr w14:val="tx1"/>
                  </w14:solidFill>
                </w14:textFill>
              </w:rPr>
              <w:t>）</w:t>
            </w: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酸洗、脱酸：</w:t>
            </w:r>
            <w:r>
              <w:rPr>
                <w:rFonts w:hint="default" w:ascii="Times New Roman" w:hAnsi="Times New Roman" w:eastAsia="宋体" w:cs="Times New Roman"/>
                <w:color w:val="000000" w:themeColor="text1"/>
                <w:sz w:val="24"/>
                <w:szCs w:val="24"/>
                <w14:textFill>
                  <w14:solidFill>
                    <w14:schemeClr w14:val="tx1"/>
                  </w14:solidFill>
                </w14:textFill>
              </w:rPr>
              <w:t>酸</w:t>
            </w:r>
            <w:r>
              <w:rPr>
                <w:rFonts w:hint="default" w:ascii="Times New Roman" w:hAnsi="Times New Roman" w:eastAsia="宋体" w:cs="Times New Roman"/>
                <w:color w:val="000000" w:themeColor="text1"/>
                <w:sz w:val="24"/>
                <w:szCs w:val="24"/>
                <w:lang w:eastAsia="zh-CN"/>
                <w14:textFill>
                  <w14:solidFill>
                    <w14:schemeClr w14:val="tx1"/>
                  </w14:solidFill>
                </w14:textFill>
              </w:rPr>
              <w:t>洗</w:t>
            </w:r>
            <w:r>
              <w:rPr>
                <w:rFonts w:hint="default" w:ascii="Times New Roman" w:hAnsi="Times New Roman" w:eastAsia="宋体" w:cs="Times New Roman"/>
                <w:color w:val="000000" w:themeColor="text1"/>
                <w:sz w:val="24"/>
                <w:szCs w:val="24"/>
                <w14:textFill>
                  <w14:solidFill>
                    <w14:schemeClr w14:val="tx1"/>
                  </w14:solidFill>
                </w14:textFill>
              </w:rPr>
              <w:t>工序是将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湿砂车间生产的半成品</w:t>
            </w:r>
            <w:r>
              <w:rPr>
                <w:rFonts w:hint="default" w:ascii="Times New Roman" w:hAnsi="Times New Roman" w:eastAsia="宋体" w:cs="Times New Roman"/>
                <w:color w:val="000000" w:themeColor="text1"/>
                <w:sz w:val="24"/>
                <w:szCs w:val="24"/>
                <w14:textFill>
                  <w14:solidFill>
                    <w14:schemeClr w14:val="tx1"/>
                  </w14:solidFill>
                </w14:textFill>
              </w:rPr>
              <w:t>石英砂装入</w:t>
            </w:r>
            <w:r>
              <w:rPr>
                <w:rFonts w:hint="default" w:ascii="Times New Roman" w:hAnsi="Times New Roman" w:eastAsia="宋体" w:cs="Times New Roman"/>
                <w:color w:val="000000" w:themeColor="text1"/>
                <w:sz w:val="24"/>
                <w:szCs w:val="24"/>
                <w:lang w:eastAsia="zh-CN"/>
                <w14:textFill>
                  <w14:solidFill>
                    <w14:schemeClr w14:val="tx1"/>
                  </w14:solidFill>
                </w14:textFill>
              </w:rPr>
              <w:t>酸洗罐</w:t>
            </w:r>
            <w:r>
              <w:rPr>
                <w:rFonts w:hint="default" w:ascii="Times New Roman" w:hAnsi="Times New Roman" w:eastAsia="宋体" w:cs="Times New Roman"/>
                <w:color w:val="000000" w:themeColor="text1"/>
                <w:sz w:val="24"/>
                <w:szCs w:val="24"/>
                <w14:textFill>
                  <w14:solidFill>
                    <w14:schemeClr w14:val="tx1"/>
                  </w14:solidFill>
                </w14:textFill>
              </w:rPr>
              <w:t>内，加入适量的</w:t>
            </w:r>
            <w:r>
              <w:rPr>
                <w:rFonts w:hint="default" w:ascii="Times New Roman" w:hAnsi="Times New Roman" w:eastAsia="宋体" w:cs="Times New Roman"/>
                <w:color w:val="000000" w:themeColor="text1"/>
                <w:sz w:val="24"/>
                <w:szCs w:val="24"/>
                <w:lang w:eastAsia="zh-CN"/>
                <w14:textFill>
                  <w14:solidFill>
                    <w14:schemeClr w14:val="tx1"/>
                  </w14:solidFill>
                </w14:textFill>
              </w:rPr>
              <w:t>草酸和水</w:t>
            </w:r>
            <w:r>
              <w:rPr>
                <w:rFonts w:hint="default" w:ascii="Times New Roman" w:hAnsi="Times New Roman" w:eastAsia="宋体" w:cs="Times New Roman"/>
                <w:color w:val="000000" w:themeColor="text1"/>
                <w:sz w:val="24"/>
                <w:szCs w:val="24"/>
                <w14:textFill>
                  <w14:solidFill>
                    <w14:schemeClr w14:val="tx1"/>
                  </w14:solidFill>
                </w14:textFill>
              </w:rPr>
              <w:t>进行浸泡</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酸洗的工序</w:t>
            </w:r>
            <w:r>
              <w:rPr>
                <w:rFonts w:hint="default" w:ascii="Times New Roman" w:hAnsi="Times New Roman" w:eastAsia="宋体" w:cs="Times New Roman"/>
                <w:color w:val="000000" w:themeColor="text1"/>
                <w:sz w:val="24"/>
                <w:szCs w:val="24"/>
                <w14:textFill>
                  <w14:solidFill>
                    <w14:schemeClr w14:val="tx1"/>
                  </w14:solidFill>
                </w14:textFill>
              </w:rPr>
              <w:t>主要是去除石英砂中</w:t>
            </w:r>
            <w:r>
              <w:rPr>
                <w:rFonts w:hint="default" w:ascii="Times New Roman" w:hAnsi="Times New Roman" w:eastAsia="宋体" w:cs="Times New Roman"/>
                <w:color w:val="000000" w:themeColor="text1"/>
                <w:sz w:val="24"/>
                <w:szCs w:val="24"/>
                <w:lang w:eastAsia="zh-CN"/>
                <w14:textFill>
                  <w14:solidFill>
                    <w14:schemeClr w14:val="tx1"/>
                  </w14:solidFill>
                </w14:textFill>
              </w:rPr>
              <w:t>铁锈（</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Fe</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O</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）、氧化铝（</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，并使石英砂漂白，其工艺反应式为：</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Fe</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O</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3</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+3H</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C</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O</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4</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=2FeC</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O</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4</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+2CO</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+3H</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O</w:t>
            </w:r>
            <w:r>
              <w:rPr>
                <w:rFonts w:hint="default" w:ascii="Times New Roman" w:hAnsi="Times New Roman" w:eastAsia="宋体" w:cs="Times New Roman"/>
                <w:i w:val="0"/>
                <w:caps w:val="0"/>
                <w:color w:val="000000" w:themeColor="text1"/>
                <w:spacing w:val="0"/>
                <w:sz w:val="24"/>
                <w:szCs w:val="24"/>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Al</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+3H</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C</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O</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4</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Al</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C</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O</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4</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+2CO</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+3H</w:t>
            </w:r>
            <w:r>
              <w:rPr>
                <w:rFonts w:hint="default" w:ascii="Times New Roman" w:hAnsi="Times New Roman" w:eastAsia="宋体" w:cs="Times New Roman"/>
                <w:i w:val="0"/>
                <w:caps w:val="0"/>
                <w:color w:val="000000" w:themeColor="text1"/>
                <w:spacing w:val="0"/>
                <w:sz w:val="24"/>
                <w:szCs w:val="24"/>
                <w:shd w:val="clear" w:color="auto" w:fill="FFFFFF"/>
                <w:vertAlign w:val="subscript"/>
                <w14:textFill>
                  <w14:solidFill>
                    <w14:schemeClr w14:val="tx1"/>
                  </w14:solidFill>
                </w14:textFill>
              </w:rPr>
              <w:t>2</w:t>
            </w:r>
            <w:r>
              <w:rPr>
                <w:rFonts w:hint="default" w:ascii="Times New Roman" w:hAnsi="Times New Roman" w:eastAsia="宋体" w:cs="Times New Roman"/>
                <w:i w:val="0"/>
                <w:caps w:val="0"/>
                <w:color w:val="000000" w:themeColor="text1"/>
                <w:spacing w:val="0"/>
                <w:sz w:val="24"/>
                <w:szCs w:val="24"/>
                <w:shd w:val="clear" w:color="auto" w:fill="FFFFFF"/>
                <w14:textFill>
                  <w14:solidFill>
                    <w14:schemeClr w14:val="tx1"/>
                  </w14:solidFill>
                </w14:textFill>
              </w:rPr>
              <w:t>O</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脱酸就是将酸洗后的半成品</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经泵筛分设备进行固液分离。脱酸后的酸洗废水重新进入</w:t>
            </w:r>
            <w:r>
              <w:rPr>
                <w:rFonts w:hint="default" w:ascii="Times New Roman" w:hAnsi="Times New Roman" w:eastAsia="宋体" w:cs="Times New Roman"/>
                <w:bCs/>
                <w:color w:val="000000" w:themeColor="text1"/>
                <w:kern w:val="0"/>
                <w:sz w:val="24"/>
                <w:szCs w:val="24"/>
                <w14:textFill>
                  <w14:solidFill>
                    <w14:schemeClr w14:val="tx1"/>
                  </w14:solidFill>
                </w14:textFill>
              </w:rPr>
              <w:t>循环酸桶</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中，</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该过程会产生酸洗废水，</w:t>
            </w:r>
            <w:r>
              <w:rPr>
                <w:rFonts w:hint="default" w:ascii="Times New Roman" w:hAnsi="Times New Roman" w:eastAsia="宋体" w:cs="Times New Roman"/>
                <w:bCs/>
                <w:color w:val="000000" w:themeColor="text1"/>
                <w:kern w:val="0"/>
                <w:sz w:val="24"/>
                <w:szCs w:val="24"/>
                <w14:textFill>
                  <w14:solidFill>
                    <w14:schemeClr w14:val="tx1"/>
                  </w14:solidFill>
                </w14:textFill>
              </w:rPr>
              <w:t>循环使用3次后排入</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生产</w:t>
            </w:r>
            <w:r>
              <w:rPr>
                <w:rFonts w:hint="default" w:ascii="Times New Roman" w:hAnsi="Times New Roman" w:eastAsia="宋体" w:cs="Times New Roman"/>
                <w:bCs/>
                <w:color w:val="000000" w:themeColor="text1"/>
                <w:kern w:val="0"/>
                <w:sz w:val="24"/>
                <w:szCs w:val="24"/>
                <w14:textFill>
                  <w14:solidFill>
                    <w14:schemeClr w14:val="tx1"/>
                  </w14:solidFill>
                </w14:textFill>
              </w:rPr>
              <w:t>废水处理设施进行处理</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14:textFill>
                  <w14:solidFill>
                    <w14:schemeClr w14:val="tx1"/>
                  </w14:solidFill>
                </w14:textFill>
              </w:rPr>
              <w:t>根据建设单位提供资料，每吨石英砂需要</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4"/>
                <w:szCs w:val="24"/>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6</w:t>
            </w:r>
            <w:r>
              <w:rPr>
                <w:rFonts w:hint="default" w:ascii="Times New Roman" w:hAnsi="Times New Roman" w:eastAsia="宋体" w:cs="Times New Roman"/>
                <w:bCs/>
                <w:color w:val="000000" w:themeColor="text1"/>
                <w:kern w:val="0"/>
                <w:sz w:val="24"/>
                <w:szCs w:val="24"/>
                <w14:textFill>
                  <w14:solidFill>
                    <w14:schemeClr w14:val="tx1"/>
                  </w14:solidFill>
                </w14:textFill>
              </w:rPr>
              <w:t>kg草酸晶体，1kg的草酸晶体</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可</w:t>
            </w:r>
            <w:r>
              <w:rPr>
                <w:rFonts w:hint="default" w:ascii="Times New Roman" w:hAnsi="Times New Roman" w:eastAsia="宋体" w:cs="Times New Roman"/>
                <w:bCs/>
                <w:color w:val="000000" w:themeColor="text1"/>
                <w:kern w:val="0"/>
                <w:sz w:val="24"/>
                <w:szCs w:val="24"/>
                <w14:textFill>
                  <w14:solidFill>
                    <w14:schemeClr w14:val="tx1"/>
                  </w14:solidFill>
                </w14:textFill>
              </w:rPr>
              <w:t>兑</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成草酸溶液</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4"/>
                <w:szCs w:val="24"/>
                <w14:textFill>
                  <w14:solidFill>
                    <w14:schemeClr w14:val="tx1"/>
                  </w14:solidFill>
                </w14:textFill>
              </w:rPr>
              <w:t>0kg用于配置酸洗罐的浸泡酸液，经计算本项目所需要的草酸溶液为</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1000</w:t>
            </w:r>
            <w:r>
              <w:rPr>
                <w:rFonts w:hint="default" w:ascii="Times New Roman" w:hAnsi="Times New Roman" w:eastAsia="宋体" w:cs="Times New Roman"/>
                <w:bCs/>
                <w:color w:val="000000" w:themeColor="text1"/>
                <w:kern w:val="0"/>
                <w:sz w:val="24"/>
                <w:szCs w:val="24"/>
                <w14:textFill>
                  <w14:solidFill>
                    <w14:schemeClr w14:val="tx1"/>
                  </w14:solidFill>
                </w14:textFill>
              </w:rPr>
              <w:t>t/a</w:t>
            </w:r>
            <w:r>
              <w:rPr>
                <w:rFonts w:hint="eastAsia"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14:textFill>
                  <w14:solidFill>
                    <w14:schemeClr w14:val="tx1"/>
                  </w14:solidFill>
                </w14:textFill>
              </w:rPr>
              <w:t>配</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制草酸溶液</w:t>
            </w:r>
            <w:r>
              <w:rPr>
                <w:rFonts w:hint="default" w:ascii="Times New Roman" w:hAnsi="Times New Roman" w:eastAsia="宋体" w:cs="Times New Roman"/>
                <w:bCs/>
                <w:color w:val="000000" w:themeColor="text1"/>
                <w:kern w:val="0"/>
                <w:sz w:val="24"/>
                <w:szCs w:val="24"/>
                <w14:textFill>
                  <w14:solidFill>
                    <w14:schemeClr w14:val="tx1"/>
                  </w14:solidFill>
                </w14:textFill>
              </w:rPr>
              <w:t>所需要的水量为</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90</w:t>
            </w:r>
            <w:r>
              <w:rPr>
                <w:rFonts w:hint="default" w:ascii="Times New Roman" w:hAnsi="Times New Roman" w:eastAsia="宋体" w:cs="Times New Roman"/>
                <w:bCs/>
                <w:color w:val="000000" w:themeColor="text1"/>
                <w:kern w:val="0"/>
                <w:sz w:val="24"/>
                <w:szCs w:val="24"/>
                <w14:textFill>
                  <w14:solidFill>
                    <w14:schemeClr w14:val="tx1"/>
                  </w14:solidFill>
                </w14:textFill>
              </w:rPr>
              <w:t>0吨。</w:t>
            </w:r>
          </w:p>
          <w:p>
            <w:pPr>
              <w:pStyle w:val="19"/>
              <w:spacing w:after="0" w:line="360" w:lineRule="auto"/>
              <w:ind w:left="0" w:leftChars="0" w:firstLine="482" w:firstLineChars="200"/>
              <w:jc w:val="center"/>
              <w:rPr>
                <w:rFonts w:hint="default" w:ascii="Times New Roman" w:hAnsi="Times New Roman" w:eastAsia="宋体" w:cs="Times New Roman"/>
                <w:b/>
                <w:bCs w:val="0"/>
                <w:color w:val="000000" w:themeColor="text1"/>
                <w:kern w:val="0"/>
                <w:sz w:val="24"/>
                <w:szCs w:val="24"/>
                <w14:textFill>
                  <w14:solidFill>
                    <w14:schemeClr w14:val="tx1"/>
                  </w14:solidFill>
                </w14:textFill>
              </w:rPr>
            </w:pPr>
            <w:r>
              <w:rPr>
                <w:rFonts w:hint="default" w:ascii="Times New Roman" w:hAnsi="Times New Roman" w:eastAsia="宋体" w:cs="Times New Roman"/>
                <w:b/>
                <w:bCs w:val="0"/>
                <w:color w:val="000000" w:themeColor="text1"/>
                <w:kern w:val="0"/>
                <w:sz w:val="24"/>
                <w:szCs w:val="24"/>
                <w14:textFill>
                  <w14:solidFill>
                    <w14:schemeClr w14:val="tx1"/>
                  </w14:solidFill>
                </w14:textFill>
              </w:rPr>
              <w:t>表6.2-1 酸洗罐的技术参数</w:t>
            </w:r>
          </w:p>
          <w:tbl>
            <w:tblPr>
              <w:tblStyle w:val="26"/>
              <w:tblW w:w="90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66"/>
              <w:gridCol w:w="2265"/>
              <w:gridCol w:w="22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65" w:type="dxa"/>
                  <w:noWrap w:val="0"/>
                  <w:vAlign w:val="top"/>
                </w:tcPr>
                <w:p>
                  <w:pPr>
                    <w:pStyle w:val="19"/>
                    <w:spacing w:after="0" w:line="360" w:lineRule="auto"/>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工艺名称</w:t>
                  </w:r>
                </w:p>
              </w:tc>
              <w:tc>
                <w:tcPr>
                  <w:tcW w:w="2266" w:type="dxa"/>
                  <w:noWrap w:val="0"/>
                  <w:vAlign w:val="top"/>
                </w:tcPr>
                <w:p>
                  <w:pPr>
                    <w:pStyle w:val="19"/>
                    <w:spacing w:after="0" w:line="360" w:lineRule="auto"/>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温度控制范围</w:t>
                  </w:r>
                </w:p>
              </w:tc>
              <w:tc>
                <w:tcPr>
                  <w:tcW w:w="2265" w:type="dxa"/>
                  <w:noWrap w:val="0"/>
                  <w:vAlign w:val="top"/>
                </w:tcPr>
                <w:p>
                  <w:pPr>
                    <w:pStyle w:val="19"/>
                    <w:spacing w:after="0" w:line="360" w:lineRule="auto"/>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时间（h）</w:t>
                  </w:r>
                </w:p>
              </w:tc>
              <w:tc>
                <w:tcPr>
                  <w:tcW w:w="2266" w:type="dxa"/>
                  <w:noWrap w:val="0"/>
                  <w:vAlign w:val="top"/>
                </w:tcPr>
                <w:p>
                  <w:pPr>
                    <w:pStyle w:val="19"/>
                    <w:spacing w:after="0" w:line="360" w:lineRule="auto"/>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压力（MPa）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265" w:type="dxa"/>
                  <w:noWrap w:val="0"/>
                  <w:vAlign w:val="top"/>
                </w:tcPr>
                <w:p>
                  <w:pPr>
                    <w:pStyle w:val="19"/>
                    <w:spacing w:after="0" w:line="360" w:lineRule="auto"/>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酸洗</w:t>
                  </w:r>
                </w:p>
              </w:tc>
              <w:tc>
                <w:tcPr>
                  <w:tcW w:w="2266" w:type="dxa"/>
                  <w:noWrap w:val="0"/>
                  <w:vAlign w:val="top"/>
                </w:tcPr>
                <w:p>
                  <w:pPr>
                    <w:pStyle w:val="19"/>
                    <w:spacing w:after="0" w:line="360" w:lineRule="auto"/>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60~80℃</w:t>
                  </w:r>
                </w:p>
              </w:tc>
              <w:tc>
                <w:tcPr>
                  <w:tcW w:w="2265" w:type="dxa"/>
                  <w:noWrap w:val="0"/>
                  <w:vAlign w:val="top"/>
                </w:tcPr>
                <w:p>
                  <w:pPr>
                    <w:pStyle w:val="19"/>
                    <w:spacing w:after="0" w:line="360" w:lineRule="auto"/>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8</w:t>
                  </w:r>
                </w:p>
              </w:tc>
              <w:tc>
                <w:tcPr>
                  <w:tcW w:w="2266" w:type="dxa"/>
                  <w:noWrap w:val="0"/>
                  <w:vAlign w:val="top"/>
                </w:tcPr>
                <w:p>
                  <w:pPr>
                    <w:pStyle w:val="19"/>
                    <w:spacing w:after="0" w:line="360" w:lineRule="auto"/>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0.15</w:t>
                  </w:r>
                </w:p>
              </w:tc>
            </w:tr>
          </w:tbl>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caps w:val="0"/>
                <w:smallCaps w:val="0"/>
                <w:color w:val="000000" w:themeColor="text1"/>
                <w:sz w:val="28"/>
                <w:szCs w:val="28"/>
                <w:u w:val="none"/>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14:textFill>
                  <w14:solidFill>
                    <w14:schemeClr w14:val="tx1"/>
                  </w14:solidFill>
                </w14:textFill>
              </w:rPr>
              <w:t>（</w:t>
            </w:r>
            <w:r>
              <w:rPr>
                <w:rFonts w:hint="default" w:ascii="Times New Roman" w:hAnsi="Times New Roman" w:eastAsia="宋体" w:cs="Times New Roman"/>
                <w:b/>
                <w:bCs/>
                <w:caps w:val="0"/>
                <w:smallCaps w:val="0"/>
                <w:color w:val="000000" w:themeColor="text1"/>
                <w:sz w:val="24"/>
                <w:szCs w:val="24"/>
                <w:u w:val="none"/>
                <w:lang w:val="en-US" w:eastAsia="zh-CN"/>
                <w14:textFill>
                  <w14:solidFill>
                    <w14:schemeClr w14:val="tx1"/>
                  </w14:solidFill>
                </w14:textFill>
              </w:rPr>
              <w:t>2</w:t>
            </w:r>
            <w:r>
              <w:rPr>
                <w:rFonts w:hint="default" w:ascii="Times New Roman" w:hAnsi="Times New Roman" w:eastAsia="宋体" w:cs="Times New Roman"/>
                <w:b/>
                <w:bCs/>
                <w:caps w:val="0"/>
                <w:smallCaps w:val="0"/>
                <w:color w:val="000000" w:themeColor="text1"/>
                <w:sz w:val="24"/>
                <w:szCs w:val="24"/>
                <w:u w:val="none"/>
                <w14:textFill>
                  <w14:solidFill>
                    <w14:schemeClr w14:val="tx1"/>
                  </w14:solidFill>
                </w14:textFill>
              </w:rPr>
              <w:t>）</w:t>
            </w: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水洗、脱水：</w:t>
            </w:r>
            <w:r>
              <w:rPr>
                <w:rFonts w:hint="default" w:ascii="Times New Roman" w:hAnsi="Times New Roman" w:eastAsia="宋体" w:cs="Times New Roman"/>
                <w:color w:val="000000" w:themeColor="text1"/>
                <w:sz w:val="24"/>
                <w:szCs w:val="24"/>
                <w:lang w:eastAsia="zh-CN"/>
                <w14:textFill>
                  <w14:solidFill>
                    <w14:schemeClr w14:val="tx1"/>
                  </w14:solidFill>
                </w14:textFill>
              </w:rPr>
              <w:t>水洗</w:t>
            </w:r>
            <w:r>
              <w:rPr>
                <w:rFonts w:hint="default" w:ascii="Times New Roman" w:hAnsi="Times New Roman" w:eastAsia="宋体" w:cs="Times New Roman"/>
                <w:color w:val="000000" w:themeColor="text1"/>
                <w:sz w:val="24"/>
                <w:szCs w:val="24"/>
                <w14:textFill>
                  <w14:solidFill>
                    <w14:schemeClr w14:val="tx1"/>
                  </w14:solidFill>
                </w14:textFill>
              </w:rPr>
              <w:t>工序是将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脱酸后的半成品</w:t>
            </w:r>
            <w:r>
              <w:rPr>
                <w:rFonts w:hint="default" w:ascii="Times New Roman" w:hAnsi="Times New Roman" w:eastAsia="宋体" w:cs="Times New Roman"/>
                <w:color w:val="000000" w:themeColor="text1"/>
                <w:sz w:val="24"/>
                <w:szCs w:val="24"/>
                <w14:textFill>
                  <w14:solidFill>
                    <w14:schemeClr w14:val="tx1"/>
                  </w14:solidFill>
                </w14:textFill>
              </w:rPr>
              <w:t>石英砂装入</w:t>
            </w:r>
            <w:r>
              <w:rPr>
                <w:rFonts w:hint="default" w:ascii="Times New Roman" w:hAnsi="Times New Roman" w:eastAsia="宋体" w:cs="Times New Roman"/>
                <w:color w:val="000000" w:themeColor="text1"/>
                <w:sz w:val="24"/>
                <w:szCs w:val="24"/>
                <w:lang w:eastAsia="zh-CN"/>
                <w14:textFill>
                  <w14:solidFill>
                    <w14:schemeClr w14:val="tx1"/>
                  </w14:solidFill>
                </w14:textFill>
              </w:rPr>
              <w:t>水洗罐</w:t>
            </w:r>
            <w:r>
              <w:rPr>
                <w:rFonts w:hint="default" w:ascii="Times New Roman" w:hAnsi="Times New Roman" w:eastAsia="宋体" w:cs="Times New Roman"/>
                <w:color w:val="000000" w:themeColor="text1"/>
                <w:sz w:val="24"/>
                <w:szCs w:val="24"/>
                <w14:textFill>
                  <w14:solidFill>
                    <w14:schemeClr w14:val="tx1"/>
                  </w14:solidFill>
                </w14:textFill>
              </w:rPr>
              <w:t>内，加入适量的</w:t>
            </w:r>
            <w:r>
              <w:rPr>
                <w:rFonts w:hint="default" w:ascii="Times New Roman" w:hAnsi="Times New Roman" w:eastAsia="宋体" w:cs="Times New Roman"/>
                <w:color w:val="000000" w:themeColor="text1"/>
                <w:sz w:val="24"/>
                <w:szCs w:val="24"/>
                <w:lang w:eastAsia="zh-CN"/>
                <w14:textFill>
                  <w14:solidFill>
                    <w14:schemeClr w14:val="tx1"/>
                  </w14:solidFill>
                </w14:textFill>
              </w:rPr>
              <w:t>烧碱</w:t>
            </w:r>
            <w:r>
              <w:rPr>
                <w:rFonts w:hint="default" w:ascii="Times New Roman" w:hAnsi="Times New Roman" w:eastAsia="宋体" w:cs="Times New Roman"/>
                <w:color w:val="000000" w:themeColor="text1"/>
                <w:sz w:val="24"/>
                <w:szCs w:val="24"/>
                <w14:textFill>
                  <w14:solidFill>
                    <w14:schemeClr w14:val="tx1"/>
                  </w14:solidFill>
                </w14:textFill>
              </w:rPr>
              <w:t>进行</w:t>
            </w:r>
            <w:r>
              <w:rPr>
                <w:rFonts w:hint="default" w:ascii="Times New Roman" w:hAnsi="Times New Roman" w:eastAsia="宋体" w:cs="Times New Roman"/>
                <w:color w:val="000000" w:themeColor="text1"/>
                <w:sz w:val="24"/>
                <w:szCs w:val="24"/>
                <w:lang w:eastAsia="zh-CN"/>
                <w14:textFill>
                  <w14:solidFill>
                    <w14:schemeClr w14:val="tx1"/>
                  </w14:solidFill>
                </w14:textFill>
              </w:rPr>
              <w:t>第一次清洗，洗去石英砂中粘带的草酸；第一次清洗后，再加入清水进行第二次清洗，清洗过程会产生清洗废水；脱水</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就是将水洗后的半成品</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经泵筛分设备进行固液分离，脱水后的废水</w:t>
            </w:r>
            <w:r>
              <w:rPr>
                <w:rFonts w:hint="default" w:ascii="Times New Roman" w:hAnsi="Times New Roman" w:eastAsia="宋体" w:cs="Times New Roman"/>
                <w:bCs/>
                <w:color w:val="000000" w:themeColor="text1"/>
                <w:kern w:val="0"/>
                <w:sz w:val="24"/>
                <w:szCs w:val="24"/>
                <w14:textFill>
                  <w14:solidFill>
                    <w14:schemeClr w14:val="tx1"/>
                  </w14:solidFill>
                </w14:textFill>
              </w:rPr>
              <w:t>排入</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生产</w:t>
            </w:r>
            <w:r>
              <w:rPr>
                <w:rFonts w:hint="default" w:ascii="Times New Roman" w:hAnsi="Times New Roman" w:eastAsia="宋体" w:cs="Times New Roman"/>
                <w:bCs/>
                <w:color w:val="000000" w:themeColor="text1"/>
                <w:kern w:val="0"/>
                <w:sz w:val="24"/>
                <w:szCs w:val="24"/>
                <w14:textFill>
                  <w14:solidFill>
                    <w14:schemeClr w14:val="tx1"/>
                  </w14:solidFill>
                </w14:textFill>
              </w:rPr>
              <w:t>废水处理设施进行处理</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b/>
                <w:bCs/>
                <w:caps w:val="0"/>
                <w:smallCaps w:val="0"/>
                <w:color w:val="000000" w:themeColor="text1"/>
                <w:sz w:val="24"/>
                <w:szCs w:val="24"/>
                <w:u w:val="none"/>
                <w:lang w:val="en-US" w:eastAsia="zh-CN"/>
                <w14:textFill>
                  <w14:solidFill>
                    <w14:schemeClr w14:val="tx1"/>
                  </w14:solidFill>
                </w14:textFill>
              </w:rPr>
              <w:t>3</w:t>
            </w: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）除铁、烘干：</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将脱水后的石英砂</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经</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磁选机</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磁选挑出的强磁性物质（主要为</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夹带着</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铁屑、机械铁</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的石英砂</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磁尾砂储存于磁尾砂堆场</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，其他合格物料进入烘干工序，烘干工序采用天然气做燃料进行供热。</w:t>
            </w:r>
          </w:p>
          <w:p>
            <w:pPr>
              <w:keepNext w:val="0"/>
              <w:keepLines w:val="0"/>
              <w:pageBreakBefore w:val="0"/>
              <w:widowControl w:val="0"/>
              <w:kinsoku/>
              <w:wordWrap/>
              <w:overflowPunct/>
              <w:topLinePunct w:val="0"/>
              <w:autoSpaceDE/>
              <w:autoSpaceDN/>
              <w:bidi w:val="0"/>
              <w:adjustRightInd/>
              <w:snapToGrid/>
              <w:spacing w:line="360" w:lineRule="auto"/>
              <w:ind w:left="0" w:firstLine="482" w:firstLineChars="200"/>
              <w:textAlignment w:val="auto"/>
              <w:outlineLvl w:val="9"/>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b/>
                <w:bCs/>
                <w:caps w:val="0"/>
                <w:smallCaps w:val="0"/>
                <w:color w:val="000000" w:themeColor="text1"/>
                <w:sz w:val="24"/>
                <w:szCs w:val="24"/>
                <w:u w:val="none"/>
                <w:lang w:val="en-US" w:eastAsia="zh-CN"/>
                <w14:textFill>
                  <w14:solidFill>
                    <w14:schemeClr w14:val="tx1"/>
                  </w14:solidFill>
                </w14:textFill>
              </w:rPr>
              <w:t>4</w:t>
            </w:r>
            <w:r>
              <w:rPr>
                <w:rFonts w:hint="default" w:ascii="Times New Roman" w:hAnsi="Times New Roman" w:eastAsia="宋体" w:cs="Times New Roman"/>
                <w:b/>
                <w:bCs/>
                <w:caps w:val="0"/>
                <w:smallCaps w:val="0"/>
                <w:color w:val="000000" w:themeColor="text1"/>
                <w:sz w:val="24"/>
                <w:szCs w:val="24"/>
                <w:u w:val="none"/>
                <w:lang w:eastAsia="zh-CN"/>
                <w14:textFill>
                  <w14:solidFill>
                    <w14:schemeClr w14:val="tx1"/>
                  </w14:solidFill>
                </w14:textFill>
              </w:rPr>
              <w:t>）筛分、色选、包装</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通过分选工序</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进行检查筛分，</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筛分出不同粒径区间的</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石英砂</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经</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色选机</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挑出的</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不同颜色的杂砂（非纯白色），然后包装入库</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w:t>
            </w:r>
          </w:p>
          <w:p>
            <w:pPr>
              <w:spacing w:line="360" w:lineRule="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6.2.2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主要污染工序</w:t>
            </w:r>
          </w:p>
          <w:p>
            <w:pPr>
              <w:spacing w:line="360" w:lineRule="auto"/>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6.2.</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.1</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废气</w:t>
            </w:r>
          </w:p>
          <w:p>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outlineLvl w:val="9"/>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eastAsia="宋体" w:cs="Times New Roman"/>
                <w:color w:val="000000" w:themeColor="text1"/>
                <w:sz w:val="24"/>
                <w:szCs w:val="24"/>
                <w:lang w:eastAsia="zh-CN"/>
                <w14:textFill>
                  <w14:solidFill>
                    <w14:schemeClr w14:val="tx1"/>
                  </w14:solidFill>
                </w14:textFill>
              </w:rPr>
              <w:t>湿砂生产过程中选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用湿法破碎、洗砂工艺，项目废气</w:t>
            </w:r>
            <w:r>
              <w:rPr>
                <w:rFonts w:hint="default" w:ascii="Times New Roman" w:hAnsi="Times New Roman" w:eastAsia="宋体" w:cs="Times New Roman"/>
                <w:color w:val="000000" w:themeColor="text1"/>
                <w:sz w:val="24"/>
                <w:szCs w:val="24"/>
                <w:highlight w:val="none"/>
                <w14:textFill>
                  <w14:solidFill>
                    <w14:schemeClr w14:val="tx1"/>
                  </w14:solidFill>
                </w14:textFill>
              </w:rPr>
              <w:t>主要为</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天然气热水炉和烘干炉产生的燃烧废气、筛分粉尘、草酸酸雾，以及运输车辆尾气和原料堆场装卸粉尘</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6.2.</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废水</w:t>
            </w:r>
          </w:p>
          <w:p>
            <w:pPr>
              <w:spacing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24"/>
                <w:szCs w:val="24"/>
                <w14:textFill>
                  <w14:solidFill>
                    <w14:schemeClr w14:val="tx1"/>
                  </w14:solidFill>
                </w14:textFill>
              </w:rPr>
              <w:t>本项目废水主要</w:t>
            </w:r>
            <w:r>
              <w:rPr>
                <w:rFonts w:hint="default" w:ascii="Times New Roman" w:hAnsi="Times New Roman" w:eastAsia="宋体" w:cs="Times New Roman"/>
                <w:color w:val="000000" w:themeColor="text1"/>
                <w:sz w:val="24"/>
                <w:szCs w:val="24"/>
                <w:lang w:eastAsia="zh-CN"/>
                <w14:textFill>
                  <w14:solidFill>
                    <w14:schemeClr w14:val="tx1"/>
                  </w14:solidFill>
                </w14:textFill>
              </w:rPr>
              <w:t>有洗砂废水、</w:t>
            </w:r>
            <w:r>
              <w:rPr>
                <w:rFonts w:hint="eastAsia" w:ascii="Times New Roman" w:hAnsi="Times New Roman" w:eastAsia="宋体" w:cs="Times New Roman"/>
                <w:color w:val="000000" w:themeColor="text1"/>
                <w:sz w:val="24"/>
                <w:szCs w:val="24"/>
                <w:lang w:eastAsia="zh-CN"/>
                <w14:textFill>
                  <w14:solidFill>
                    <w14:schemeClr w14:val="tx1"/>
                  </w14:solidFill>
                </w14:textFill>
              </w:rPr>
              <w:t>生产废水（</w:t>
            </w:r>
            <w:r>
              <w:rPr>
                <w:rFonts w:hint="default" w:ascii="Times New Roman" w:hAnsi="Times New Roman" w:eastAsia="宋体" w:cs="Times New Roman"/>
                <w:color w:val="000000" w:themeColor="text1"/>
                <w:sz w:val="24"/>
                <w:szCs w:val="24"/>
                <w:lang w:eastAsia="zh-CN"/>
                <w14:textFill>
                  <w14:solidFill>
                    <w14:schemeClr w14:val="tx1"/>
                  </w14:solidFill>
                </w14:textFill>
              </w:rPr>
              <w:t>酸洗废水、清洗废水</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和</w:t>
            </w:r>
            <w:r>
              <w:rPr>
                <w:rFonts w:hint="default" w:ascii="Times New Roman" w:hAnsi="Times New Roman" w:eastAsia="宋体" w:cs="Times New Roman"/>
                <w:color w:val="000000" w:themeColor="text1"/>
                <w:sz w:val="24"/>
                <w:szCs w:val="24"/>
                <w14:textFill>
                  <w14:solidFill>
                    <w14:schemeClr w14:val="tx1"/>
                  </w14:solidFill>
                </w14:textFill>
              </w:rPr>
              <w:t>生活污水</w:t>
            </w:r>
            <w:r>
              <w:rPr>
                <w:rFonts w:hint="default" w:ascii="Times New Roman" w:hAnsi="Times New Roman" w:eastAsia="宋体" w:cs="Times New Roman"/>
                <w:color w:val="000000" w:themeColor="text1"/>
                <w:sz w:val="24"/>
                <w:szCs w:val="24"/>
                <w:lang w:eastAsia="zh-CN"/>
                <w14:textFill>
                  <w14:solidFill>
                    <w14:schemeClr w14:val="tx1"/>
                  </w14:solidFill>
                </w14:textFill>
              </w:rPr>
              <w:t>、除尘废水</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spacing w:line="360" w:lineRule="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6.2.</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噪声</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本项目噪声源主要来自</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圆锥破、打砂机等生产设备</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spacing w:line="360" w:lineRule="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6.2.</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固废</w:t>
            </w:r>
          </w:p>
          <w:p>
            <w:pPr>
              <w:spacing w:line="360" w:lineRule="auto"/>
              <w:ind w:firstLine="480" w:firstLineChars="200"/>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本项目生产过程中的固废主要有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磁尾砂、尾泥、包装固废、杂砂、生活污水处理污泥、除尘灰、废润滑油</w:t>
            </w:r>
            <w:r>
              <w:rPr>
                <w:rFonts w:hint="default" w:ascii="Times New Roman" w:hAnsi="Times New Roman" w:eastAsia="宋体" w:cs="Times New Roman"/>
                <w:color w:val="000000" w:themeColor="text1"/>
                <w:sz w:val="24"/>
                <w:highlight w:val="none"/>
                <w14:textFill>
                  <w14:solidFill>
                    <w14:schemeClr w14:val="tx1"/>
                  </w14:solidFill>
                </w14:textFill>
              </w:rPr>
              <w:t>和</w:t>
            </w:r>
            <w:r>
              <w:rPr>
                <w:rFonts w:hint="default" w:ascii="Times New Roman" w:hAnsi="Times New Roman" w:eastAsia="宋体" w:cs="Times New Roman"/>
                <w:color w:val="000000" w:themeColor="text1"/>
                <w:sz w:val="24"/>
                <w:szCs w:val="24"/>
                <w:highlight w:val="none"/>
                <w14:textFill>
                  <w14:solidFill>
                    <w14:schemeClr w14:val="tx1"/>
                  </w14:solidFill>
                </w14:textFill>
              </w:rPr>
              <w:t>员工生活垃圾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等</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6.</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2.3</w:t>
            </w:r>
            <w:r>
              <w:rPr>
                <w:rFonts w:hint="default" w:ascii="Times New Roman" w:hAnsi="Times New Roman" w:eastAsia="宋体" w:cs="Times New Roman"/>
                <w:b/>
                <w:color w:val="000000" w:themeColor="text1"/>
                <w:sz w:val="24"/>
                <w:szCs w:val="24"/>
                <w:highlight w:val="none"/>
                <w14:textFill>
                  <w14:solidFill>
                    <w14:schemeClr w14:val="tx1"/>
                  </w14:solidFill>
                </w14:textFill>
              </w:rPr>
              <w:t>运营期污染源强分析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6.</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2.3.1</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大气污染源</w:t>
            </w:r>
            <w:r>
              <w:rPr>
                <w:rFonts w:hint="default" w:ascii="Times New Roman" w:hAnsi="Times New Roman" w:eastAsia="宋体" w:cs="Times New Roman"/>
                <w:b/>
                <w:bCs/>
                <w:color w:val="000000" w:themeColor="text1"/>
                <w:sz w:val="24"/>
                <w:highlight w:val="none"/>
                <w14:textFill>
                  <w14:solidFill>
                    <w14:schemeClr w14:val="tx1"/>
                  </w14:solidFill>
                </w14:textFill>
              </w:rPr>
              <w:t>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outlineLvl w:val="9"/>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eastAsia="zh-CN"/>
                <w14:textFill>
                  <w14:solidFill>
                    <w14:schemeClr w14:val="tx1"/>
                  </w14:solidFill>
                </w14:textFill>
              </w:rPr>
              <w:t>粉尘源强分析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w:t>
            </w:r>
            <w:r>
              <w:rPr>
                <w:rFonts w:hint="default" w:ascii="Times New Roman" w:hAnsi="Times New Roman" w:eastAsia="宋体" w:cs="Times New Roman"/>
                <w:b/>
                <w:bCs/>
                <w:color w:val="000000" w:themeColor="text1"/>
                <w:sz w:val="24"/>
                <w:lang w:val="en-US" w:eastAsia="zh-CN"/>
                <w14:textFill>
                  <w14:solidFill>
                    <w14:schemeClr w14:val="tx1"/>
                  </w14:solidFill>
                </w14:textFill>
              </w:rPr>
              <w:t>堆场装卸</w:t>
            </w:r>
            <w:r>
              <w:rPr>
                <w:rFonts w:hint="default" w:ascii="Times New Roman" w:hAnsi="Times New Roman" w:eastAsia="宋体" w:cs="Times New Roman"/>
                <w:b/>
                <w:bCs/>
                <w:color w:val="000000" w:themeColor="text1"/>
                <w:sz w:val="24"/>
                <w:lang w:eastAsia="zh-CN"/>
                <w14:textFill>
                  <w14:solidFill>
                    <w14:schemeClr w14:val="tx1"/>
                  </w14:solidFill>
                </w14:textFill>
              </w:rPr>
              <w:t>粉尘源强分析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eastAsia="宋体" w:cs="Times New Roman"/>
                <w:color w:val="000000" w:themeColor="text1"/>
                <w:sz w:val="24"/>
                <w:lang w:eastAsia="zh-CN"/>
                <w14:textFill>
                  <w14:solidFill>
                    <w14:schemeClr w14:val="tx1"/>
                  </w14:solidFill>
                </w14:textFill>
              </w:rPr>
              <w:t>为湿法破碎洗砂工艺，</w:t>
            </w:r>
            <w:r>
              <w:rPr>
                <w:rFonts w:hint="eastAsia" w:ascii="Times New Roman" w:hAnsi="Times New Roman" w:eastAsia="宋体" w:cs="Times New Roman"/>
                <w:color w:val="000000" w:themeColor="text1"/>
                <w:sz w:val="24"/>
                <w:lang w:eastAsia="zh-CN"/>
                <w14:textFill>
                  <w14:solidFill>
                    <w14:schemeClr w14:val="tx1"/>
                  </w14:solidFill>
                </w14:textFill>
              </w:rPr>
              <w:t>湿砂生产过程中</w:t>
            </w:r>
            <w:r>
              <w:rPr>
                <w:rFonts w:hint="default" w:ascii="Times New Roman" w:hAnsi="Times New Roman" w:eastAsia="宋体" w:cs="Times New Roman"/>
                <w:color w:val="000000" w:themeColor="text1"/>
                <w:sz w:val="24"/>
                <w:lang w:eastAsia="zh-CN"/>
                <w14:textFill>
                  <w14:solidFill>
                    <w14:schemeClr w14:val="tx1"/>
                  </w14:solidFill>
                </w14:textFill>
              </w:rPr>
              <w:t>基本没有工艺粉尘产生。</w:t>
            </w:r>
            <w:r>
              <w:rPr>
                <w:rFonts w:hint="default" w:ascii="Times New Roman" w:hAnsi="Times New Roman" w:eastAsia="宋体" w:cs="Times New Roman"/>
                <w:color w:val="000000" w:themeColor="text1"/>
                <w:sz w:val="24"/>
                <w14:textFill>
                  <w14:solidFill>
                    <w14:schemeClr w14:val="tx1"/>
                  </w14:solidFill>
                </w14:textFill>
              </w:rPr>
              <w:t>运营期</w:t>
            </w:r>
            <w:r>
              <w:rPr>
                <w:rFonts w:hint="default" w:ascii="Times New Roman" w:hAnsi="Times New Roman" w:eastAsia="宋体" w:cs="Times New Roman"/>
                <w:color w:val="000000" w:themeColor="text1"/>
                <w:sz w:val="24"/>
                <w:lang w:eastAsia="zh-CN"/>
                <w14:textFill>
                  <w14:solidFill>
                    <w14:schemeClr w14:val="tx1"/>
                  </w14:solidFill>
                </w14:textFill>
              </w:rPr>
              <w:t>粉尘废气主要来源于原料堆场装卸粉尘，</w:t>
            </w:r>
            <w:r>
              <w:rPr>
                <w:rFonts w:hint="default" w:ascii="Times New Roman" w:hAnsi="Times New Roman" w:eastAsia="宋体" w:cs="Times New Roman"/>
                <w:color w:val="000000" w:themeColor="text1"/>
                <w:sz w:val="24"/>
                <w:lang w:val="en-US" w:eastAsia="zh-CN"/>
                <w14:textFill>
                  <w14:solidFill>
                    <w14:schemeClr w14:val="tx1"/>
                  </w14:solidFill>
                </w14:textFill>
              </w:rPr>
              <w:t>项目外购已经清洗好的、洁净的粒径范围在2.5cm~5cm之间的石英矿，该粒径的物料在装卸过程中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粉尘产生量极少，</w:t>
            </w:r>
            <w:r>
              <w:rPr>
                <w:rFonts w:hint="default" w:ascii="Times New Roman" w:hAnsi="Times New Roman" w:eastAsia="宋体" w:cs="Times New Roman"/>
                <w:color w:val="000000" w:themeColor="text1"/>
                <w:kern w:val="0"/>
                <w:sz w:val="24"/>
                <w14:textFill>
                  <w14:solidFill>
                    <w14:schemeClr w14:val="tx1"/>
                  </w14:solidFill>
                </w14:textFill>
              </w:rPr>
              <w:t>其</w:t>
            </w:r>
            <w:r>
              <w:rPr>
                <w:rFonts w:hint="default" w:ascii="Times New Roman" w:hAnsi="Times New Roman" w:eastAsia="宋体" w:cs="Times New Roman"/>
                <w:color w:val="000000" w:themeColor="text1"/>
                <w:kern w:val="0"/>
                <w:sz w:val="24"/>
                <w:lang w:eastAsia="zh-CN"/>
                <w14:textFill>
                  <w14:solidFill>
                    <w14:schemeClr w14:val="tx1"/>
                  </w14:solidFill>
                </w14:textFill>
              </w:rPr>
              <w:t>粉尘排放</w:t>
            </w:r>
            <w:r>
              <w:rPr>
                <w:rFonts w:hint="default" w:ascii="Times New Roman" w:hAnsi="Times New Roman" w:eastAsia="宋体" w:cs="Times New Roman"/>
                <w:color w:val="000000" w:themeColor="text1"/>
                <w:kern w:val="0"/>
                <w:sz w:val="24"/>
                <w14:textFill>
                  <w14:solidFill>
                    <w14:schemeClr w14:val="tx1"/>
                  </w14:solidFill>
                </w14:textFill>
              </w:rPr>
              <w:t>浓度低于广东省地方标准《大气污染物排放限值》(DB44/27-2001)中的无组织排放限值。</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因此，本次环评不再对其进行量化分析。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②烘干、筛分粉尘</w:t>
            </w:r>
          </w:p>
          <w:p>
            <w:pPr>
              <w:pStyle w:val="143"/>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由于本项目湿砂车间经过洗矿、</w:t>
            </w:r>
            <w:r>
              <w:rPr>
                <w:rFonts w:hint="default" w:ascii="Times New Roman" w:hAnsi="Times New Roman" w:eastAsia="宋体" w:cs="Times New Roman"/>
                <w:caps w:val="0"/>
                <w:smallCaps w:val="0"/>
                <w:color w:val="000000" w:themeColor="text1"/>
                <w:sz w:val="24"/>
                <w:szCs w:val="24"/>
                <w:u w:val="none"/>
                <w:lang w:eastAsia="zh-CN"/>
                <w14:textFill>
                  <w14:solidFill>
                    <w14:schemeClr w14:val="tx1"/>
                  </w14:solidFill>
                </w14:textFill>
              </w:rPr>
              <w:t>球磨、筛分、固液分离、酸洗、水洗过滤后，小颗粒物料已经随废水而去，剩余物料的粒径介于</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0.15mm~0.71mm之间，物料均大于起尘的粒径0.1mm（悬浮颗粒物的起尘粒径≤0.1mm），本项目物料的烘干、筛分的起尘量很少。</w:t>
            </w:r>
            <w:r>
              <w:rPr>
                <w:rFonts w:hint="default" w:ascii="Times New Roman" w:hAnsi="Times New Roman" w:eastAsia="宋体" w:cs="Times New Roman"/>
                <w:color w:val="000000" w:themeColor="text1"/>
                <w14:textFill>
                  <w14:solidFill>
                    <w14:schemeClr w14:val="tx1"/>
                  </w14:solidFill>
                </w14:textFill>
              </w:rPr>
              <w:t>根据类比同类工程，本项目</w:t>
            </w:r>
            <w:r>
              <w:rPr>
                <w:rFonts w:hint="default" w:ascii="Times New Roman" w:hAnsi="Times New Roman" w:eastAsia="宋体" w:cs="Times New Roman"/>
                <w:color w:val="000000" w:themeColor="text1"/>
                <w:lang w:eastAsia="zh-CN"/>
                <w14:textFill>
                  <w14:solidFill>
                    <w14:schemeClr w14:val="tx1"/>
                  </w14:solidFill>
                </w14:textFill>
              </w:rPr>
              <w:t>烘干、</w:t>
            </w:r>
            <w:r>
              <w:rPr>
                <w:rFonts w:hint="default" w:ascii="Times New Roman" w:hAnsi="Times New Roman" w:eastAsia="宋体" w:cs="Times New Roman"/>
                <w:color w:val="000000" w:themeColor="text1"/>
                <w14:textFill>
                  <w14:solidFill>
                    <w14:schemeClr w14:val="tx1"/>
                  </w14:solidFill>
                </w14:textFill>
              </w:rPr>
              <w:t>筛分产尘率按0.</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kg/t计算，本项目石英矿年</w:t>
            </w:r>
            <w:r>
              <w:rPr>
                <w:rFonts w:hint="default" w:ascii="Times New Roman" w:hAnsi="Times New Roman" w:eastAsia="宋体" w:cs="Times New Roman"/>
                <w:color w:val="000000" w:themeColor="text1"/>
                <w:lang w:eastAsia="zh-CN"/>
                <w14:textFill>
                  <w14:solidFill>
                    <w14:schemeClr w14:val="tx1"/>
                  </w14:solidFill>
                </w14:textFill>
              </w:rPr>
              <w:t>生产量</w:t>
            </w:r>
            <w:r>
              <w:rPr>
                <w:rFonts w:hint="default" w:ascii="Times New Roman" w:hAnsi="Times New Roman" w:eastAsia="宋体" w:cs="Times New Roman"/>
                <w:color w:val="000000" w:themeColor="text1"/>
                <w14:textFill>
                  <w14:solidFill>
                    <w14:schemeClr w14:val="tx1"/>
                  </w14:solidFill>
                </w14:textFill>
              </w:rPr>
              <w:t>为6万吨，</w:t>
            </w:r>
            <w:r>
              <w:rPr>
                <w:rFonts w:hint="default" w:ascii="Times New Roman" w:hAnsi="Times New Roman" w:eastAsia="宋体" w:cs="Times New Roman"/>
                <w:color w:val="000000" w:themeColor="text1"/>
                <w:lang w:eastAsia="zh-CN"/>
                <w14:textFill>
                  <w14:solidFill>
                    <w14:schemeClr w14:val="tx1"/>
                  </w14:solidFill>
                </w14:textFill>
              </w:rPr>
              <w:t>烘干</w:t>
            </w:r>
            <w:r>
              <w:rPr>
                <w:rFonts w:hint="default" w:ascii="Times New Roman" w:hAnsi="Times New Roman" w:eastAsia="宋体" w:cs="Times New Roman"/>
                <w:color w:val="000000" w:themeColor="text1"/>
                <w14:textFill>
                  <w14:solidFill>
                    <w14:schemeClr w14:val="tx1"/>
                  </w14:solidFill>
                </w14:textFill>
              </w:rPr>
              <w:t>筛分产生的粉尘约</w:t>
            </w:r>
            <w:r>
              <w:rPr>
                <w:rFonts w:hint="default" w:ascii="Times New Roman" w:hAnsi="Times New Roman" w:eastAsia="宋体" w:cs="Times New Roman"/>
                <w:color w:val="000000" w:themeColor="text1"/>
                <w:lang w:val="en-US" w:eastAsia="zh-CN"/>
                <w14:textFill>
                  <w14:solidFill>
                    <w14:schemeClr w14:val="tx1"/>
                  </w14:solidFill>
                </w14:textFill>
              </w:rPr>
              <w:t>6</w:t>
            </w:r>
            <w:r>
              <w:rPr>
                <w:rFonts w:hint="default" w:ascii="Times New Roman" w:hAnsi="Times New Roman" w:eastAsia="宋体" w:cs="Times New Roman"/>
                <w:color w:val="000000" w:themeColor="text1"/>
                <w14:textFill>
                  <w14:solidFill>
                    <w14:schemeClr w14:val="tx1"/>
                  </w14:solidFill>
                </w14:textFill>
              </w:rPr>
              <w:t>t/a。</w:t>
            </w:r>
          </w:p>
          <w:p>
            <w:pPr>
              <w:pStyle w:val="143"/>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r>
              <w:rPr>
                <w:rFonts w:hint="eastAsia" w:cs="Times New Roman"/>
                <w:color w:val="000000" w:themeColor="text1"/>
                <w:lang w:eastAsia="zh-CN"/>
                <w14:textFill>
                  <w14:solidFill>
                    <w14:schemeClr w14:val="tx1"/>
                  </w14:solidFill>
                </w14:textFill>
              </w:rPr>
              <w:t>烘干炉是密闭设备，将预留的排气口排放的废气直接导入除尘设施即可，筛分工序无法密闭，通过再设备上方上</w:t>
            </w:r>
            <w:r>
              <w:rPr>
                <w:rFonts w:hint="default" w:ascii="Times New Roman" w:hAnsi="Times New Roman" w:eastAsia="宋体" w:cs="Times New Roman"/>
                <w:color w:val="000000" w:themeColor="text1"/>
                <w14:textFill>
                  <w14:solidFill>
                    <w14:schemeClr w14:val="tx1"/>
                  </w14:solidFill>
                </w14:textFill>
              </w:rPr>
              <w:t>加装集气罩（95%收集率）风量为1</w:t>
            </w: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000m</w:t>
            </w:r>
            <w:r>
              <w:rPr>
                <w:rFonts w:hint="default" w:ascii="Times New Roman" w:hAnsi="Times New Roman" w:eastAsia="宋体" w:cs="Times New Roman"/>
                <w:color w:val="000000" w:themeColor="text1"/>
                <w:vertAlign w:val="superscript"/>
                <w14:textFill>
                  <w14:solidFill>
                    <w14:schemeClr w14:val="tx1"/>
                  </w14:solidFill>
                </w14:textFill>
              </w:rPr>
              <w:t>3</w:t>
            </w:r>
            <w:r>
              <w:rPr>
                <w:rFonts w:hint="default" w:ascii="Times New Roman" w:hAnsi="Times New Roman" w:eastAsia="宋体" w:cs="Times New Roman"/>
                <w:color w:val="000000" w:themeColor="text1"/>
                <w14:textFill>
                  <w14:solidFill>
                    <w14:schemeClr w14:val="tx1"/>
                  </w14:solidFill>
                </w14:textFill>
              </w:rPr>
              <w:t>/h，收集后，再经过车间安装</w:t>
            </w:r>
            <w:r>
              <w:rPr>
                <w:rFonts w:hint="eastAsia" w:cs="Times New Roman"/>
                <w:color w:val="000000" w:themeColor="text1"/>
                <w:lang w:eastAsia="zh-CN"/>
                <w14:textFill>
                  <w14:solidFill>
                    <w14:schemeClr w14:val="tx1"/>
                  </w14:solidFill>
                </w14:textFill>
              </w:rPr>
              <w:t>的</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旋风除尘+麻石水膜除尘”</w:t>
            </w:r>
            <w:r>
              <w:rPr>
                <w:rFonts w:hint="default" w:ascii="Times New Roman" w:hAnsi="Times New Roman" w:eastAsia="宋体" w:cs="Times New Roman"/>
                <w:color w:val="000000" w:themeColor="text1"/>
                <w14:textFill>
                  <w14:solidFill>
                    <w14:schemeClr w14:val="tx1"/>
                  </w14:solidFill>
                </w14:textFill>
              </w:rPr>
              <w:t>除尘</w:t>
            </w:r>
            <w:r>
              <w:rPr>
                <w:rFonts w:hint="default" w:ascii="Times New Roman" w:hAnsi="Times New Roman" w:eastAsia="宋体" w:cs="Times New Roman"/>
                <w:color w:val="000000" w:themeColor="text1"/>
                <w:lang w:eastAsia="zh-CN"/>
                <w14:textFill>
                  <w14:solidFill>
                    <w14:schemeClr w14:val="tx1"/>
                  </w14:solidFill>
                </w14:textFill>
              </w:rPr>
              <w:t>设施</w:t>
            </w:r>
            <w:r>
              <w:rPr>
                <w:rFonts w:hint="default" w:ascii="Times New Roman" w:hAnsi="Times New Roman" w:eastAsia="宋体" w:cs="Times New Roman"/>
                <w:color w:val="000000" w:themeColor="text1"/>
                <w14:textFill>
                  <w14:solidFill>
                    <w14:schemeClr w14:val="tx1"/>
                  </w14:solidFill>
                </w14:textFill>
              </w:rPr>
              <w:t>进行除尘，除尘效率不低于99%（本评价取99%），则</w:t>
            </w:r>
            <w:r>
              <w:rPr>
                <w:rFonts w:hint="default" w:ascii="Times New Roman" w:hAnsi="Times New Roman" w:eastAsia="宋体" w:cs="Times New Roman"/>
                <w:color w:val="000000" w:themeColor="text1"/>
                <w:lang w:eastAsia="zh-CN"/>
                <w14:textFill>
                  <w14:solidFill>
                    <w14:schemeClr w14:val="tx1"/>
                  </w14:solidFill>
                </w14:textFill>
              </w:rPr>
              <w:t>烘干筛分</w:t>
            </w:r>
            <w:r>
              <w:rPr>
                <w:rFonts w:hint="default" w:ascii="Times New Roman" w:hAnsi="Times New Roman" w:eastAsia="宋体" w:cs="Times New Roman"/>
                <w:color w:val="000000" w:themeColor="text1"/>
                <w14:textFill>
                  <w14:solidFill>
                    <w14:schemeClr w14:val="tx1"/>
                  </w14:solidFill>
                </w14:textFill>
              </w:rPr>
              <w:t>产生的粉尘经</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旋风除尘+麻石水膜除尘”</w:t>
            </w:r>
            <w:r>
              <w:rPr>
                <w:rFonts w:hint="default" w:ascii="Times New Roman" w:hAnsi="Times New Roman" w:eastAsia="宋体" w:cs="Times New Roman"/>
                <w:color w:val="000000" w:themeColor="text1"/>
                <w14:textFill>
                  <w14:solidFill>
                    <w14:schemeClr w14:val="tx1"/>
                  </w14:solidFill>
                </w14:textFill>
              </w:rPr>
              <w:t>除尘</w:t>
            </w:r>
            <w:r>
              <w:rPr>
                <w:rFonts w:hint="default" w:ascii="Times New Roman" w:hAnsi="Times New Roman" w:eastAsia="宋体" w:cs="Times New Roman"/>
                <w:color w:val="000000" w:themeColor="text1"/>
                <w:lang w:eastAsia="zh-CN"/>
                <w14:textFill>
                  <w14:solidFill>
                    <w14:schemeClr w14:val="tx1"/>
                  </w14:solidFill>
                </w14:textFill>
              </w:rPr>
              <w:t>设施</w:t>
            </w:r>
            <w:r>
              <w:rPr>
                <w:rFonts w:hint="default" w:ascii="Times New Roman" w:hAnsi="Times New Roman" w:eastAsia="宋体" w:cs="Times New Roman"/>
                <w:color w:val="000000" w:themeColor="text1"/>
                <w14:textFill>
                  <w14:solidFill>
                    <w14:schemeClr w14:val="tx1"/>
                  </w14:solidFill>
                </w14:textFill>
              </w:rPr>
              <w:t>处理后通过</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根</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5m高</w:t>
            </w:r>
            <w:r>
              <w:rPr>
                <w:rFonts w:hint="default" w:ascii="Times New Roman" w:hAnsi="Times New Roman" w:eastAsia="宋体" w:cs="Times New Roman"/>
                <w:color w:val="000000" w:themeColor="text1"/>
                <w:lang w:eastAsia="zh-CN"/>
                <w14:textFill>
                  <w14:solidFill>
                    <w14:schemeClr w14:val="tx1"/>
                  </w14:solidFill>
                </w14:textFill>
              </w:rPr>
              <w:t>排气筒</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编号为</w:t>
            </w:r>
            <w:r>
              <w:rPr>
                <w:rFonts w:hint="default" w:ascii="Times New Roman" w:hAnsi="Times New Roman" w:eastAsia="宋体" w:cs="Times New Roman"/>
                <w:color w:val="000000" w:themeColor="text1"/>
                <w:lang w:val="en-US" w:eastAsia="zh-CN"/>
                <w14:textFill>
                  <w14:solidFill>
                    <w14:schemeClr w14:val="tx1"/>
                  </w14:solidFill>
                </w14:textFill>
              </w:rPr>
              <w:t>1</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排气筒</w:t>
            </w:r>
            <w:r>
              <w:rPr>
                <w:rFonts w:hint="default" w:ascii="Times New Roman" w:hAnsi="Times New Roman" w:eastAsia="宋体" w:cs="Times New Roman"/>
                <w:color w:val="000000" w:themeColor="text1"/>
                <w14:textFill>
                  <w14:solidFill>
                    <w14:schemeClr w14:val="tx1"/>
                  </w14:solidFill>
                </w14:textFill>
              </w:rPr>
              <w:t>）排放</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排放的粉尘量为0.</w:t>
            </w:r>
            <w:r>
              <w:rPr>
                <w:rFonts w:hint="default" w:ascii="Times New Roman" w:hAnsi="Times New Roman" w:eastAsia="宋体" w:cs="Times New Roman"/>
                <w:color w:val="000000" w:themeColor="text1"/>
                <w:lang w:val="en-US" w:eastAsia="zh-CN"/>
                <w14:textFill>
                  <w14:solidFill>
                    <w14:schemeClr w14:val="tx1"/>
                  </w14:solidFill>
                </w14:textFill>
              </w:rPr>
              <w:t>057</w:t>
            </w:r>
            <w:r>
              <w:rPr>
                <w:rFonts w:hint="default" w:ascii="Times New Roman" w:hAnsi="Times New Roman" w:eastAsia="宋体" w:cs="Times New Roman"/>
                <w:color w:val="000000" w:themeColor="text1"/>
                <w14:textFill>
                  <w14:solidFill>
                    <w14:schemeClr w14:val="tx1"/>
                  </w14:solidFill>
                </w14:textFill>
              </w:rPr>
              <w:t>t/a。</w:t>
            </w:r>
          </w:p>
          <w:p>
            <w:pPr>
              <w:pStyle w:val="143"/>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无组织粉尘：</w:t>
            </w:r>
            <w:r>
              <w:rPr>
                <w:rFonts w:hint="default" w:ascii="Times New Roman" w:hAnsi="Times New Roman" w:eastAsia="宋体" w:cs="Times New Roman"/>
                <w:color w:val="000000" w:themeColor="text1"/>
                <w:lang w:eastAsia="zh-CN"/>
                <w14:textFill>
                  <w14:solidFill>
                    <w14:schemeClr w14:val="tx1"/>
                  </w14:solidFill>
                </w14:textFill>
              </w:rPr>
              <w:t>酸洗烘干筛分车间</w:t>
            </w:r>
            <w:r>
              <w:rPr>
                <w:rFonts w:hint="default" w:ascii="Times New Roman" w:hAnsi="Times New Roman" w:eastAsia="宋体" w:cs="Times New Roman"/>
                <w:color w:val="000000" w:themeColor="text1"/>
                <w14:textFill>
                  <w14:solidFill>
                    <w14:schemeClr w14:val="tx1"/>
                  </w14:solidFill>
                </w14:textFill>
              </w:rPr>
              <w:t>未能被集气罩收集的粉尘约占5%（约</w:t>
            </w:r>
            <w:r>
              <w:rPr>
                <w:rFonts w:hint="default" w:ascii="Times New Roman" w:hAnsi="Times New Roman" w:eastAsia="宋体" w:cs="Times New Roman"/>
                <w:color w:val="000000" w:themeColor="text1"/>
                <w:lang w:val="en-US" w:eastAsia="zh-CN"/>
                <w14:textFill>
                  <w14:solidFill>
                    <w14:schemeClr w14:val="tx1"/>
                  </w14:solidFill>
                </w14:textFill>
              </w:rPr>
              <w:t>0.3</w:t>
            </w:r>
            <w:r>
              <w:rPr>
                <w:rFonts w:hint="default" w:ascii="Times New Roman" w:hAnsi="Times New Roman" w:eastAsia="宋体" w:cs="Times New Roman"/>
                <w:color w:val="000000" w:themeColor="text1"/>
                <w14:textFill>
                  <w14:solidFill>
                    <w14:schemeClr w14:val="tx1"/>
                  </w14:solidFill>
                </w14:textFill>
              </w:rPr>
              <w:t>t/a），粉尘在车间内形成无组织源进行面源扩散。</w:t>
            </w:r>
          </w:p>
          <w:p>
            <w:pPr>
              <w:pStyle w:val="143"/>
              <w:ind w:firstLine="480"/>
              <w:jc w:val="center"/>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表6.2-</w:t>
            </w:r>
            <w:r>
              <w:rPr>
                <w:rFonts w:hint="eastAsia" w:ascii="Times New Roman" w:hAnsi="Times New Roman" w:eastAsia="宋体" w:cs="Times New Roman"/>
                <w:b/>
                <w:bCs w:val="0"/>
                <w:color w:val="000000" w:themeColor="text1"/>
                <w:lang w:val="en-US" w:eastAsia="zh-CN"/>
                <w14:textFill>
                  <w14:solidFill>
                    <w14:schemeClr w14:val="tx1"/>
                  </w14:solidFill>
                </w14:textFill>
              </w:rPr>
              <w:t>2</w:t>
            </w:r>
            <w:r>
              <w:rPr>
                <w:rFonts w:hint="default" w:ascii="Times New Roman" w:hAnsi="Times New Roman" w:eastAsia="宋体" w:cs="Times New Roman"/>
                <w:b/>
                <w:bCs w:val="0"/>
                <w:color w:val="000000" w:themeColor="text1"/>
                <w14:textFill>
                  <w14:solidFill>
                    <w14:schemeClr w14:val="tx1"/>
                  </w14:solidFill>
                </w14:textFill>
              </w:rPr>
              <w:t xml:space="preserve">  </w:t>
            </w:r>
            <w:r>
              <w:rPr>
                <w:rFonts w:hint="default" w:ascii="Times New Roman" w:hAnsi="Times New Roman" w:eastAsia="宋体" w:cs="Times New Roman"/>
                <w:b/>
                <w:bCs w:val="0"/>
                <w:color w:val="000000" w:themeColor="text1"/>
                <w:lang w:eastAsia="zh-CN"/>
                <w14:textFill>
                  <w14:solidFill>
                    <w14:schemeClr w14:val="tx1"/>
                  </w14:solidFill>
                </w14:textFill>
              </w:rPr>
              <w:t>烘干筛分</w:t>
            </w:r>
            <w:r>
              <w:rPr>
                <w:rFonts w:hint="default" w:ascii="Times New Roman" w:hAnsi="Times New Roman" w:eastAsia="宋体" w:cs="Times New Roman"/>
                <w:b/>
                <w:bCs w:val="0"/>
                <w:color w:val="000000" w:themeColor="text1"/>
                <w14:textFill>
                  <w14:solidFill>
                    <w14:schemeClr w14:val="tx1"/>
                  </w14:solidFill>
                </w14:textFill>
              </w:rPr>
              <w:t>粉尘产</w:t>
            </w:r>
            <w:r>
              <w:rPr>
                <w:rFonts w:hint="eastAsia" w:cs="Times New Roman"/>
                <w:b/>
                <w:bCs w:val="0"/>
                <w:color w:val="000000" w:themeColor="text1"/>
                <w:lang w:eastAsia="zh-CN"/>
                <w14:textFill>
                  <w14:solidFill>
                    <w14:schemeClr w14:val="tx1"/>
                  </w14:solidFill>
                </w14:textFill>
              </w:rPr>
              <w:t>生</w:t>
            </w:r>
            <w:r>
              <w:rPr>
                <w:rFonts w:hint="default" w:ascii="Times New Roman" w:hAnsi="Times New Roman" w:eastAsia="宋体" w:cs="Times New Roman"/>
                <w:b/>
                <w:bCs w:val="0"/>
                <w:color w:val="000000" w:themeColor="text1"/>
                <w14:textFill>
                  <w14:solidFill>
                    <w14:schemeClr w14:val="tx1"/>
                  </w14:solidFill>
                </w14:textFill>
              </w:rPr>
              <w:t>情况一览表</w:t>
            </w:r>
          </w:p>
          <w:tbl>
            <w:tblPr>
              <w:tblStyle w:val="26"/>
              <w:tblW w:w="91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313"/>
              <w:gridCol w:w="1608"/>
              <w:gridCol w:w="1579"/>
              <w:gridCol w:w="1567"/>
              <w:gridCol w:w="1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665" w:type="dxa"/>
                  <w:vMerge w:val="restart"/>
                  <w:noWrap w:val="0"/>
                  <w:vAlign w:val="center"/>
                </w:tcPr>
                <w:p>
                  <w:pPr>
                    <w:pStyle w:val="143"/>
                    <w:spacing w:line="240" w:lineRule="auto"/>
                    <w:ind w:firstLine="0" w:firstLineChars="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污染物</w:t>
                  </w:r>
                </w:p>
              </w:tc>
              <w:tc>
                <w:tcPr>
                  <w:tcW w:w="1313" w:type="dxa"/>
                  <w:vMerge w:val="restart"/>
                  <w:noWrap w:val="0"/>
                  <w:vAlign w:val="center"/>
                </w:tcPr>
                <w:p>
                  <w:pPr>
                    <w:pStyle w:val="143"/>
                    <w:spacing w:line="240" w:lineRule="auto"/>
                    <w:ind w:firstLine="0" w:firstLineChars="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产生量(t/a)</w:t>
                  </w:r>
                </w:p>
              </w:tc>
              <w:tc>
                <w:tcPr>
                  <w:tcW w:w="3187" w:type="dxa"/>
                  <w:gridSpan w:val="2"/>
                  <w:noWrap w:val="0"/>
                  <w:vAlign w:val="center"/>
                </w:tcPr>
                <w:p>
                  <w:pPr>
                    <w:pStyle w:val="143"/>
                    <w:spacing w:line="240" w:lineRule="auto"/>
                    <w:ind w:firstLine="0" w:firstLineChars="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有组织</w:t>
                  </w:r>
                </w:p>
              </w:tc>
              <w:tc>
                <w:tcPr>
                  <w:tcW w:w="2999" w:type="dxa"/>
                  <w:gridSpan w:val="2"/>
                  <w:noWrap w:val="0"/>
                  <w:vAlign w:val="center"/>
                </w:tcPr>
                <w:p>
                  <w:pPr>
                    <w:pStyle w:val="143"/>
                    <w:spacing w:line="240" w:lineRule="auto"/>
                    <w:ind w:firstLine="0" w:firstLineChars="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65" w:type="dxa"/>
                  <w:vMerge w:val="continue"/>
                  <w:noWrap w:val="0"/>
                  <w:vAlign w:val="center"/>
                </w:tcPr>
                <w:p>
                  <w:pPr>
                    <w:pStyle w:val="143"/>
                    <w:spacing w:line="240" w:lineRule="auto"/>
                    <w:ind w:firstLine="0" w:firstLineChars="0"/>
                    <w:jc w:val="center"/>
                    <w:rPr>
                      <w:rFonts w:hint="default" w:ascii="Times New Roman" w:hAnsi="Times New Roman" w:eastAsia="宋体" w:cs="Times New Roman"/>
                      <w:b/>
                      <w:bCs w:val="0"/>
                      <w:color w:val="000000" w:themeColor="text1"/>
                      <w:sz w:val="21"/>
                      <w:szCs w:val="21"/>
                      <w14:textFill>
                        <w14:solidFill>
                          <w14:schemeClr w14:val="tx1"/>
                        </w14:solidFill>
                      </w14:textFill>
                    </w:rPr>
                  </w:pPr>
                </w:p>
              </w:tc>
              <w:tc>
                <w:tcPr>
                  <w:tcW w:w="1313" w:type="dxa"/>
                  <w:vMerge w:val="continue"/>
                  <w:noWrap w:val="0"/>
                  <w:vAlign w:val="center"/>
                </w:tcPr>
                <w:p>
                  <w:pPr>
                    <w:pStyle w:val="143"/>
                    <w:spacing w:line="240" w:lineRule="auto"/>
                    <w:ind w:firstLine="0" w:firstLineChars="0"/>
                    <w:jc w:val="center"/>
                    <w:rPr>
                      <w:rFonts w:hint="default" w:ascii="Times New Roman" w:hAnsi="Times New Roman" w:eastAsia="宋体" w:cs="Times New Roman"/>
                      <w:b/>
                      <w:bCs w:val="0"/>
                      <w:color w:val="000000" w:themeColor="text1"/>
                      <w:sz w:val="21"/>
                      <w:szCs w:val="21"/>
                      <w14:textFill>
                        <w14:solidFill>
                          <w14:schemeClr w14:val="tx1"/>
                        </w14:solidFill>
                      </w14:textFill>
                    </w:rPr>
                  </w:pPr>
                </w:p>
              </w:tc>
              <w:tc>
                <w:tcPr>
                  <w:tcW w:w="1608" w:type="dxa"/>
                  <w:noWrap w:val="0"/>
                  <w:vAlign w:val="center"/>
                </w:tcPr>
                <w:p>
                  <w:pPr>
                    <w:pStyle w:val="143"/>
                    <w:spacing w:line="240" w:lineRule="auto"/>
                    <w:ind w:firstLine="0" w:firstLineChars="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产生量(t/a)</w:t>
                  </w:r>
                </w:p>
              </w:tc>
              <w:tc>
                <w:tcPr>
                  <w:tcW w:w="1579" w:type="dxa"/>
                  <w:noWrap w:val="0"/>
                  <w:vAlign w:val="center"/>
                </w:tcPr>
                <w:p>
                  <w:pPr>
                    <w:pStyle w:val="143"/>
                    <w:spacing w:line="240" w:lineRule="auto"/>
                    <w:ind w:firstLine="0" w:firstLineChars="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eastAsia" w:cs="Times New Roman"/>
                      <w:b/>
                      <w:bCs w:val="0"/>
                      <w:color w:val="000000" w:themeColor="text1"/>
                      <w:sz w:val="21"/>
                      <w:szCs w:val="21"/>
                      <w:lang w:eastAsia="zh-CN"/>
                      <w14:textFill>
                        <w14:solidFill>
                          <w14:schemeClr w14:val="tx1"/>
                        </w14:solidFill>
                      </w14:textFill>
                    </w:rPr>
                    <w:t>产生</w:t>
                  </w:r>
                  <w:r>
                    <w:rPr>
                      <w:rFonts w:hint="default" w:ascii="Times New Roman" w:hAnsi="Times New Roman" w:eastAsia="宋体" w:cs="Times New Roman"/>
                      <w:b/>
                      <w:bCs w:val="0"/>
                      <w:color w:val="000000" w:themeColor="text1"/>
                      <w:sz w:val="21"/>
                      <w:szCs w:val="21"/>
                      <w14:textFill>
                        <w14:solidFill>
                          <w14:schemeClr w14:val="tx1"/>
                        </w14:solidFill>
                      </w14:textFill>
                    </w:rPr>
                    <w:t>量(t/a)</w:t>
                  </w:r>
                </w:p>
              </w:tc>
              <w:tc>
                <w:tcPr>
                  <w:tcW w:w="1567" w:type="dxa"/>
                  <w:noWrap w:val="0"/>
                  <w:vAlign w:val="center"/>
                </w:tcPr>
                <w:p>
                  <w:pPr>
                    <w:pStyle w:val="143"/>
                    <w:spacing w:line="240" w:lineRule="auto"/>
                    <w:ind w:firstLine="0" w:firstLineChars="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eastAsia" w:cs="Times New Roman"/>
                      <w:b/>
                      <w:bCs w:val="0"/>
                      <w:color w:val="000000" w:themeColor="text1"/>
                      <w:sz w:val="21"/>
                      <w:szCs w:val="21"/>
                      <w:lang w:eastAsia="zh-CN"/>
                      <w14:textFill>
                        <w14:solidFill>
                          <w14:schemeClr w14:val="tx1"/>
                        </w14:solidFill>
                      </w14:textFill>
                    </w:rPr>
                    <w:t>产生</w:t>
                  </w:r>
                  <w:r>
                    <w:rPr>
                      <w:rFonts w:hint="default" w:ascii="Times New Roman" w:hAnsi="Times New Roman" w:eastAsia="宋体" w:cs="Times New Roman"/>
                      <w:b/>
                      <w:bCs w:val="0"/>
                      <w:color w:val="000000" w:themeColor="text1"/>
                      <w:sz w:val="21"/>
                      <w:szCs w:val="21"/>
                      <w14:textFill>
                        <w14:solidFill>
                          <w14:schemeClr w14:val="tx1"/>
                        </w14:solidFill>
                      </w14:textFill>
                    </w:rPr>
                    <w:t>量(t/a)</w:t>
                  </w:r>
                </w:p>
              </w:tc>
              <w:tc>
                <w:tcPr>
                  <w:tcW w:w="1432" w:type="dxa"/>
                  <w:noWrap w:val="0"/>
                  <w:vAlign w:val="center"/>
                </w:tcPr>
                <w:p>
                  <w:pPr>
                    <w:pStyle w:val="143"/>
                    <w:spacing w:line="240" w:lineRule="auto"/>
                    <w:ind w:firstLine="0" w:firstLineChars="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eastAsia" w:cs="Times New Roman"/>
                      <w:b/>
                      <w:bCs w:val="0"/>
                      <w:color w:val="000000" w:themeColor="text1"/>
                      <w:sz w:val="21"/>
                      <w:szCs w:val="21"/>
                      <w:lang w:eastAsia="zh-CN"/>
                      <w14:textFill>
                        <w14:solidFill>
                          <w14:schemeClr w14:val="tx1"/>
                        </w14:solidFill>
                      </w14:textFill>
                    </w:rPr>
                    <w:t>产生</w:t>
                  </w:r>
                  <w:r>
                    <w:rPr>
                      <w:rFonts w:hint="default" w:ascii="Times New Roman" w:hAnsi="Times New Roman" w:eastAsia="宋体" w:cs="Times New Roman"/>
                      <w:b/>
                      <w:bCs w:val="0"/>
                      <w:color w:val="000000" w:themeColor="text1"/>
                      <w:sz w:val="21"/>
                      <w:szCs w:val="21"/>
                      <w14:textFill>
                        <w14:solidFill>
                          <w14:schemeClr w14:val="tx1"/>
                        </w14:solidFill>
                      </w14:textFill>
                    </w:rPr>
                    <w:t>速率(kg</w:t>
                  </w: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14:textFill>
                        <w14:solidFill>
                          <w14:schemeClr w14:val="tx1"/>
                        </w14:solidFill>
                      </w14:textFill>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65" w:type="dxa"/>
                  <w:noWrap w:val="0"/>
                  <w:vAlign w:val="center"/>
                </w:tcPr>
                <w:p>
                  <w:pPr>
                    <w:pStyle w:val="143"/>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烘干筛分</w:t>
                  </w:r>
                  <w:r>
                    <w:rPr>
                      <w:rFonts w:hint="default" w:ascii="Times New Roman" w:hAnsi="Times New Roman" w:eastAsia="宋体" w:cs="Times New Roman"/>
                      <w:color w:val="000000" w:themeColor="text1"/>
                      <w:sz w:val="21"/>
                      <w:szCs w:val="21"/>
                      <w14:textFill>
                        <w14:solidFill>
                          <w14:schemeClr w14:val="tx1"/>
                        </w14:solidFill>
                      </w14:textFill>
                    </w:rPr>
                    <w:t>粉尘</w:t>
                  </w:r>
                </w:p>
              </w:tc>
              <w:tc>
                <w:tcPr>
                  <w:tcW w:w="1313" w:type="dxa"/>
                  <w:noWrap w:val="0"/>
                  <w:vAlign w:val="center"/>
                </w:tcPr>
                <w:p>
                  <w:pPr>
                    <w:pStyle w:val="143"/>
                    <w:spacing w:line="240" w:lineRule="auto"/>
                    <w:ind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608" w:type="dxa"/>
                  <w:noWrap w:val="0"/>
                  <w:vAlign w:val="center"/>
                </w:tcPr>
                <w:p>
                  <w:pPr>
                    <w:pStyle w:val="143"/>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5.7</w:t>
                  </w:r>
                </w:p>
              </w:tc>
              <w:tc>
                <w:tcPr>
                  <w:tcW w:w="1579" w:type="dxa"/>
                  <w:noWrap w:val="0"/>
                  <w:vAlign w:val="center"/>
                </w:tcPr>
                <w:p>
                  <w:pPr>
                    <w:pStyle w:val="143"/>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0.057</w:t>
                  </w:r>
                </w:p>
              </w:tc>
              <w:tc>
                <w:tcPr>
                  <w:tcW w:w="1567" w:type="dxa"/>
                  <w:noWrap w:val="0"/>
                  <w:vAlign w:val="center"/>
                </w:tcPr>
                <w:p>
                  <w:pPr>
                    <w:pStyle w:val="143"/>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w:t>
                  </w:r>
                </w:p>
              </w:tc>
              <w:tc>
                <w:tcPr>
                  <w:tcW w:w="1432" w:type="dxa"/>
                  <w:noWrap w:val="0"/>
                  <w:vAlign w:val="center"/>
                </w:tcPr>
                <w:p>
                  <w:pPr>
                    <w:pStyle w:val="143"/>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125</w:t>
                  </w:r>
                </w:p>
              </w:tc>
            </w:tr>
          </w:tbl>
          <w:p>
            <w:pPr>
              <w:keepNext w:val="0"/>
              <w:keepLines w:val="0"/>
              <w:pageBreakBefore w:val="0"/>
              <w:widowControl w:val="0"/>
              <w:tabs>
                <w:tab w:val="left" w:pos="297"/>
              </w:tabs>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14:textFill>
                  <w14:solidFill>
                    <w14:schemeClr w14:val="tx1"/>
                  </w14:solidFill>
                </w14:textFill>
              </w:rPr>
              <w:t>（2）运输车辆尾气源强分析</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项目运输车辆</w:t>
            </w:r>
            <w:r>
              <w:rPr>
                <w:rFonts w:hint="default" w:ascii="Times New Roman" w:hAnsi="Times New Roman" w:eastAsia="宋体" w:cs="Times New Roman"/>
                <w:color w:val="000000" w:themeColor="text1"/>
                <w:spacing w:val="6"/>
                <w:sz w:val="24"/>
                <w14:textFill>
                  <w14:solidFill>
                    <w14:schemeClr w14:val="tx1"/>
                  </w14:solidFill>
                </w14:textFill>
              </w:rPr>
              <w:t>使用</w:t>
            </w:r>
            <w:r>
              <w:rPr>
                <w:rFonts w:hint="default" w:ascii="Times New Roman" w:hAnsi="Times New Roman" w:eastAsia="宋体" w:cs="Times New Roman"/>
                <w:bCs/>
                <w:color w:val="000000" w:themeColor="text1"/>
                <w:sz w:val="24"/>
                <w14:textFill>
                  <w14:solidFill>
                    <w14:schemeClr w14:val="tx1"/>
                  </w14:solidFill>
                </w14:textFill>
              </w:rPr>
              <w:t>轻质柴油，含硫量不大于</w:t>
            </w:r>
            <w:r>
              <w:rPr>
                <w:rFonts w:hint="default" w:ascii="Times New Roman" w:hAnsi="Times New Roman" w:eastAsia="宋体" w:cs="Times New Roman"/>
                <w:color w:val="000000" w:themeColor="text1"/>
                <w:sz w:val="24"/>
                <w14:textFill>
                  <w14:solidFill>
                    <w14:schemeClr w14:val="tx1"/>
                  </w14:solidFill>
                </w14:textFill>
              </w:rPr>
              <w:t>0.035%（本评价以0.035%计），</w:t>
            </w:r>
            <w:r>
              <w:rPr>
                <w:rFonts w:hint="default" w:ascii="Times New Roman" w:hAnsi="Times New Roman" w:eastAsia="宋体" w:cs="Times New Roman"/>
                <w:color w:val="000000" w:themeColor="text1"/>
                <w:sz w:val="24"/>
                <w:lang w:eastAsia="zh-CN"/>
                <w14:textFill>
                  <w14:solidFill>
                    <w14:schemeClr w14:val="tx1"/>
                  </w14:solidFill>
                </w14:textFill>
              </w:rPr>
              <w:t>车辆</w:t>
            </w:r>
            <w:r>
              <w:rPr>
                <w:rFonts w:hint="default" w:ascii="Times New Roman" w:hAnsi="Times New Roman" w:eastAsia="宋体" w:cs="Times New Roman"/>
                <w:color w:val="000000" w:themeColor="text1"/>
                <w:kern w:val="0"/>
                <w:sz w:val="24"/>
                <w14:textFill>
                  <w14:solidFill>
                    <w14:schemeClr w14:val="tx1"/>
                  </w14:solidFill>
                </w14:textFill>
              </w:rPr>
              <w:t>在运行过程中也会产生一定量的尾气。尾气中主要污染物为CO、NO</w:t>
            </w:r>
            <w:r>
              <w:rPr>
                <w:rFonts w:hint="default" w:ascii="Times New Roman" w:hAnsi="Times New Roman" w:eastAsia="宋体" w:cs="Times New Roman"/>
                <w:color w:val="000000" w:themeColor="text1"/>
                <w:kern w:val="0"/>
                <w:sz w:val="24"/>
                <w:vertAlign w:val="subscript"/>
                <w14:textFill>
                  <w14:solidFill>
                    <w14:schemeClr w14:val="tx1"/>
                  </w14:solidFill>
                </w14:textFill>
              </w:rPr>
              <w:t>x</w:t>
            </w:r>
            <w:r>
              <w:rPr>
                <w:rFonts w:hint="default" w:ascii="Times New Roman" w:hAnsi="Times New Roman" w:eastAsia="宋体" w:cs="Times New Roman"/>
                <w:color w:val="000000" w:themeColor="text1"/>
                <w:kern w:val="0"/>
                <w:sz w:val="24"/>
                <w14:textFill>
                  <w14:solidFill>
                    <w14:schemeClr w14:val="tx1"/>
                  </w14:solidFill>
                </w14:textFill>
              </w:rPr>
              <w:t>、碳氢化合物</w:t>
            </w:r>
            <w:r>
              <w:rPr>
                <w:rFonts w:hint="default" w:ascii="Times New Roman" w:hAnsi="Times New Roman" w:eastAsia="宋体" w:cs="Times New Roman"/>
                <w:color w:val="000000" w:themeColor="text1"/>
                <w:kern w:val="0"/>
                <w:sz w:val="24"/>
                <w:lang w:eastAsia="zh-CN"/>
                <w14:textFill>
                  <w14:solidFill>
                    <w14:schemeClr w14:val="tx1"/>
                  </w14:solidFill>
                </w14:textFill>
              </w:rPr>
              <w:t>、二氧化硫</w:t>
            </w:r>
            <w:r>
              <w:rPr>
                <w:rFonts w:hint="default" w:ascii="Times New Roman" w:hAnsi="Times New Roman" w:eastAsia="宋体" w:cs="Times New Roman"/>
                <w:color w:val="000000" w:themeColor="text1"/>
                <w:kern w:val="0"/>
                <w:sz w:val="24"/>
                <w14:textFill>
                  <w14:solidFill>
                    <w14:schemeClr w14:val="tx1"/>
                  </w14:solidFill>
                </w14:textFill>
              </w:rPr>
              <w:t>等，其排放形式均为无组织排放，由于</w:t>
            </w:r>
            <w:r>
              <w:rPr>
                <w:rFonts w:hint="default" w:ascii="Times New Roman" w:hAnsi="Times New Roman" w:eastAsia="宋体" w:cs="Times New Roman"/>
                <w:color w:val="000000" w:themeColor="text1"/>
                <w:kern w:val="0"/>
                <w:sz w:val="24"/>
                <w:lang w:eastAsia="zh-CN"/>
                <w14:textFill>
                  <w14:solidFill>
                    <w14:schemeClr w14:val="tx1"/>
                  </w14:solidFill>
                </w14:textFill>
              </w:rPr>
              <w:t>项目运输车辆</w:t>
            </w:r>
            <w:r>
              <w:rPr>
                <w:rFonts w:hint="default" w:ascii="Times New Roman" w:hAnsi="Times New Roman" w:eastAsia="宋体" w:cs="Times New Roman"/>
                <w:color w:val="000000" w:themeColor="text1"/>
                <w:kern w:val="0"/>
                <w:sz w:val="24"/>
                <w14:textFill>
                  <w14:solidFill>
                    <w14:schemeClr w14:val="tx1"/>
                  </w14:solidFill>
                </w14:textFill>
              </w:rPr>
              <w:t>数量较少，</w:t>
            </w:r>
            <w:r>
              <w:rPr>
                <w:rFonts w:hint="default" w:ascii="Times New Roman" w:hAnsi="Times New Roman" w:eastAsia="宋体" w:cs="Times New Roman"/>
                <w:color w:val="000000" w:themeColor="text1"/>
                <w:kern w:val="0"/>
                <w:sz w:val="24"/>
                <w:lang w:eastAsia="zh-CN"/>
                <w14:textFill>
                  <w14:solidFill>
                    <w14:schemeClr w14:val="tx1"/>
                  </w14:solidFill>
                </w14:textFill>
              </w:rPr>
              <w:t>污染物产排量较小，对当地环境影响很小，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因此本次环评不再对其进行量化分析评价</w:t>
            </w:r>
            <w:r>
              <w:rPr>
                <w:rFonts w:hint="default" w:ascii="Times New Roman" w:hAnsi="Times New Roman" w:eastAsia="宋体" w:cs="Times New Roman"/>
                <w:color w:val="000000" w:themeColor="text1"/>
                <w:kern w:val="0"/>
                <w:sz w:val="24"/>
                <w14:textFill>
                  <w14:solidFill>
                    <w14:schemeClr w14:val="tx1"/>
                  </w14:solidFill>
                </w14:textFill>
              </w:rPr>
              <w:t>。</w:t>
            </w:r>
          </w:p>
          <w:p>
            <w:pPr>
              <w:pStyle w:val="143"/>
              <w:ind w:firstLine="480"/>
              <w:rPr>
                <w:rFonts w:hint="default" w:ascii="Times New Roman" w:hAnsi="Times New Roman" w:eastAsia="宋体" w:cs="Times New Roman"/>
                <w:b/>
                <w:bCs w:val="0"/>
                <w:color w:val="000000" w:themeColor="text1"/>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（3）草酸酸雾</w:t>
            </w:r>
          </w:p>
          <w:p>
            <w:pPr>
              <w:pStyle w:val="143"/>
              <w:ind w:firstLine="4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草酸在100℃时开始升华，125℃时迅速升华，本项目在酸洗反应过程中，由于酸洗反应罐为密闭状态，反应8小时后酸洗反应罐内的草酸全部回收在酸液回收罐内，且酸洗过程中最高温度为80℃，所以草酸酸雾产生量较少，对环境影响较小，因此不做定量分析。</w:t>
            </w:r>
          </w:p>
          <w:p>
            <w:pPr>
              <w:snapToGrid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w:t>
            </w:r>
            <w:r>
              <w:rPr>
                <w:rFonts w:hint="default" w:ascii="Times New Roman" w:hAnsi="Times New Roman" w:eastAsia="宋体" w:cs="Times New Roman"/>
                <w:b/>
                <w:bCs/>
                <w:color w:val="000000" w:themeColor="text1"/>
                <w:sz w:val="24"/>
                <w:lang w:eastAsia="zh-CN"/>
                <w14:textFill>
                  <w14:solidFill>
                    <w14:schemeClr w14:val="tx1"/>
                  </w14:solidFill>
                </w14:textFill>
              </w:rPr>
              <w:t>燃烧废气源强</w:t>
            </w:r>
            <w:r>
              <w:rPr>
                <w:rFonts w:hint="default" w:ascii="Times New Roman" w:hAnsi="Times New Roman" w:eastAsia="宋体" w:cs="Times New Roman"/>
                <w:b/>
                <w:bCs/>
                <w:color w:val="000000" w:themeColor="text1"/>
                <w:sz w:val="24"/>
                <w14:textFill>
                  <w14:solidFill>
                    <w14:schemeClr w14:val="tx1"/>
                  </w14:solidFill>
                </w14:textFill>
              </w:rPr>
              <w:t>分析</w:t>
            </w:r>
          </w:p>
          <w:p>
            <w:pPr>
              <w:snapToGrid w:val="0"/>
              <w:spacing w:line="360" w:lineRule="auto"/>
              <w:ind w:firstLine="482" w:firstLineChars="20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①</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热水炉燃烧废气</w:t>
            </w:r>
          </w:p>
          <w:p>
            <w:pPr>
              <w:snapToGrid w:val="0"/>
              <w:spacing w:line="360" w:lineRule="auto"/>
              <w:ind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eastAsia" w:cs="Times New Roman"/>
                <w:color w:val="000000" w:themeColor="text1"/>
                <w:sz w:val="24"/>
                <w:szCs w:val="24"/>
                <w:lang w:eastAsia="zh-CN"/>
                <w14:textFill>
                  <w14:solidFill>
                    <w14:schemeClr w14:val="tx1"/>
                  </w14:solidFill>
                </w14:textFill>
              </w:rPr>
              <w:t>设置有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5台相同的热水炉（4用1备），单台</w:t>
            </w:r>
            <w:r>
              <w:rPr>
                <w:rFonts w:hint="default" w:ascii="Times New Roman" w:hAnsi="Times New Roman" w:eastAsia="宋体" w:cs="Times New Roman"/>
                <w:color w:val="000000" w:themeColor="text1"/>
                <w:sz w:val="24"/>
                <w:szCs w:val="24"/>
                <w14:textFill>
                  <w14:solidFill>
                    <w14:schemeClr w14:val="tx1"/>
                  </w14:solidFill>
                </w14:textFill>
              </w:rPr>
              <w:t>额定热功率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30万大卡；单台热水炉（</w:t>
            </w:r>
            <w:r>
              <w:rPr>
                <w:rFonts w:hint="default" w:ascii="Times New Roman" w:hAnsi="Times New Roman" w:eastAsia="宋体" w:cs="Times New Roman"/>
                <w:color w:val="000000" w:themeColor="text1"/>
                <w:sz w:val="24"/>
                <w:szCs w:val="24"/>
                <w14:textFill>
                  <w14:solidFill>
                    <w14:schemeClr w14:val="tx1"/>
                  </w14:solidFill>
                </w14:textFill>
              </w:rPr>
              <w:t>额定功率时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天然气消耗量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24</w:t>
            </w:r>
            <w:r>
              <w:rPr>
                <w:rFonts w:hint="default" w:ascii="Times New Roman" w:hAnsi="Times New Roman" w:eastAsia="宋体" w:cs="Times New Roman"/>
                <w:color w:val="000000" w:themeColor="text1"/>
                <w:sz w:val="24"/>
                <w:szCs w:val="24"/>
                <w14:textFill>
                  <w14:solidFill>
                    <w14:schemeClr w14:val="tx1"/>
                  </w14:solidFill>
                </w14:textFill>
              </w:rPr>
              <w:t>Nm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 xml:space="preserve">3 </w:t>
            </w:r>
            <w:r>
              <w:rPr>
                <w:rFonts w:hint="default" w:ascii="Times New Roman" w:hAnsi="Times New Roman" w:eastAsia="宋体" w:cs="Times New Roman"/>
                <w:color w:val="000000" w:themeColor="text1"/>
                <w:sz w:val="24"/>
                <w:szCs w:val="24"/>
                <w14:textFill>
                  <w14:solidFill>
                    <w14:schemeClr w14:val="tx1"/>
                  </w14:solidFill>
                </w14:textFill>
              </w:rPr>
              <w:t>/h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，年工作300天，每天工作8小时，则项目单台热水炉全年消耗天然气量约为5.76万</w:t>
            </w:r>
            <w:r>
              <w:rPr>
                <w:rFonts w:hint="default" w:ascii="Times New Roman" w:hAnsi="Times New Roman" w:eastAsia="宋体" w:cs="Times New Roman"/>
                <w:color w:val="000000" w:themeColor="text1"/>
                <w:sz w:val="24"/>
                <w:szCs w:val="24"/>
                <w14:textFill>
                  <w14:solidFill>
                    <w14:schemeClr w14:val="tx1"/>
                  </w14:solidFill>
                </w14:textFill>
              </w:rPr>
              <w:t>Nm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台常用锅炉（1台备用是在其他维修时替补用，因此不另外计算全年消耗天然气量），全年消耗天然气量约为23.04万</w:t>
            </w:r>
            <w:r>
              <w:rPr>
                <w:rFonts w:hint="default" w:ascii="Times New Roman" w:hAnsi="Times New Roman" w:eastAsia="宋体" w:cs="Times New Roman"/>
                <w:color w:val="000000" w:themeColor="text1"/>
                <w:sz w:val="24"/>
                <w:szCs w:val="24"/>
                <w14:textFill>
                  <w14:solidFill>
                    <w14:schemeClr w14:val="tx1"/>
                  </w14:solidFill>
                </w14:textFill>
              </w:rPr>
              <w:t>Nm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pPr>
              <w:snapToGrid w:val="0"/>
              <w:spacing w:line="360" w:lineRule="auto"/>
              <w:ind w:firstLine="480"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项目设置热水炉是</w:t>
            </w:r>
            <w:r>
              <w:rPr>
                <w:rFonts w:hint="default" w:ascii="Times New Roman" w:hAnsi="Times New Roman" w:eastAsia="宋体" w:cs="Times New Roman"/>
                <w:color w:val="000000" w:themeColor="text1"/>
                <w:sz w:val="24"/>
                <w:szCs w:val="24"/>
                <w14:textFill>
                  <w14:solidFill>
                    <w14:schemeClr w14:val="tx1"/>
                  </w14:solidFill>
                </w14:textFill>
              </w:rPr>
              <w:t>以天然气作为燃料，天然气在燃烧过程中会产生烟尘、</w:t>
            </w:r>
            <w:r>
              <w:rPr>
                <w:rFonts w:hint="default" w:ascii="Times New Roman" w:hAnsi="Times New Roman" w:eastAsia="宋体" w:cs="Times New Roman"/>
                <w:color w:val="000000" w:themeColor="text1"/>
                <w:kern w:val="0"/>
                <w:sz w:val="24"/>
                <w:szCs w:val="24"/>
                <w14:textFill>
                  <w14:solidFill>
                    <w14:schemeClr w14:val="tx1"/>
                  </w14:solidFill>
                </w14:textFill>
              </w:rPr>
              <w:t>SO</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、氮氧化物</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根据</w:t>
            </w:r>
            <w:r>
              <w:rPr>
                <w:rFonts w:hint="default" w:ascii="Times New Roman" w:hAnsi="Times New Roman" w:eastAsia="宋体" w:cs="Times New Roman"/>
                <w:color w:val="000000" w:themeColor="text1"/>
                <w:sz w:val="24"/>
                <w:szCs w:val="24"/>
                <w14:textFill>
                  <w14:solidFill>
                    <w14:schemeClr w14:val="tx1"/>
                  </w14:solidFill>
                </w14:textFill>
              </w:rPr>
              <w:t>《第一次全国污染源普查工业污染源产污系数手册》（第十分册）中经验数据</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14:textFill>
                  <w14:solidFill>
                    <w14:schemeClr w14:val="tx1"/>
                  </w14:solidFill>
                </w14:textFill>
              </w:rPr>
              <w:t>x</w:t>
            </w:r>
            <w:r>
              <w:rPr>
                <w:rFonts w:hint="default" w:ascii="Times New Roman" w:hAnsi="Times New Roman" w:eastAsia="宋体" w:cs="Times New Roman"/>
                <w:color w:val="000000" w:themeColor="text1"/>
                <w:sz w:val="24"/>
                <w:szCs w:val="24"/>
                <w14:textFill>
                  <w14:solidFill>
                    <w14:schemeClr w14:val="tx1"/>
                  </w14:solidFill>
                </w14:textFill>
              </w:rPr>
              <w:t>的产污系数为18.71kg/万m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，SO</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的产污系数为0.02S千克/万立方米-原料。由于</w:t>
            </w:r>
            <w:r>
              <w:rPr>
                <w:rFonts w:hint="default" w:ascii="Times New Roman" w:hAnsi="Times New Roman" w:eastAsia="宋体" w:cs="Times New Roman"/>
                <w:color w:val="000000" w:themeColor="text1"/>
                <w:sz w:val="24"/>
                <w:szCs w:val="24"/>
                <w14:textFill>
                  <w14:solidFill>
                    <w14:schemeClr w14:val="tx1"/>
                  </w14:solidFill>
                </w14:textFill>
              </w:rPr>
              <w:t>《第一次全国污染源普查工业污染源产污系数手册》（第十分册）未对燃气废气的</w:t>
            </w:r>
            <w:r>
              <w:rPr>
                <w:rFonts w:hint="default" w:ascii="Times New Roman" w:hAnsi="Times New Roman" w:eastAsia="宋体" w:cs="Times New Roman"/>
                <w:color w:val="000000" w:themeColor="text1"/>
                <w:kern w:val="0"/>
                <w:sz w:val="24"/>
                <w:szCs w:val="24"/>
                <w14:textFill>
                  <w14:solidFill>
                    <w14:schemeClr w14:val="tx1"/>
                  </w14:solidFill>
                </w14:textFill>
              </w:rPr>
              <w:t>烟尘进行统计，因此，本项目燃气废气的烟尘产排污系数参照《社会区域类环境影响评价工程师执业资格登记培训教材》执行。据《社会区域类环境影响评价工程师执业资格登记培训教材》第132页表4-2中的天然气燃烧废气的烟尘产排污系数为1.4kg/万m</w:t>
            </w:r>
            <w:r>
              <w:rPr>
                <w:rFonts w:hint="default" w:ascii="Times New Roman" w:hAnsi="Times New Roman" w:eastAsia="宋体" w:cs="Times New Roman"/>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在燃烧过程中排污系数见下表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热水炉</w:t>
            </w:r>
            <w:r>
              <w:rPr>
                <w:rFonts w:hint="default" w:ascii="Times New Roman" w:hAnsi="Times New Roman" w:eastAsia="宋体" w:cs="Times New Roman"/>
                <w:color w:val="000000" w:themeColor="text1"/>
                <w:sz w:val="24"/>
                <w:szCs w:val="24"/>
                <w14:textFill>
                  <w14:solidFill>
                    <w14:schemeClr w14:val="tx1"/>
                  </w14:solidFill>
                </w14:textFill>
              </w:rPr>
              <w:t>天然气燃烧废气污染源强产生见表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w:t>
            </w:r>
          </w:p>
          <w:p>
            <w:pPr>
              <w:snapToGrid w:val="0"/>
              <w:spacing w:line="360" w:lineRule="auto"/>
              <w:ind w:firstLine="482" w:firstLineChars="20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6.2-</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 xml:space="preserve">  燃气废气产排污系数表</w:t>
            </w:r>
          </w:p>
          <w:tbl>
            <w:tblPr>
              <w:tblStyle w:val="26"/>
              <w:tblW w:w="9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901"/>
              <w:gridCol w:w="873"/>
              <w:gridCol w:w="1019"/>
              <w:gridCol w:w="1810"/>
              <w:gridCol w:w="1165"/>
              <w:gridCol w:w="1287"/>
              <w:gridCol w:w="13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99" w:type="dxa"/>
                  <w:noWrap w:val="0"/>
                  <w:vAlign w:val="center"/>
                </w:tcPr>
                <w:p>
                  <w:pPr>
                    <w:widowControl/>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原料名称</w:t>
                  </w:r>
                </w:p>
              </w:tc>
              <w:tc>
                <w:tcPr>
                  <w:tcW w:w="901" w:type="dxa"/>
                  <w:noWrap w:val="0"/>
                  <w:vAlign w:val="center"/>
                </w:tcPr>
                <w:p>
                  <w:pPr>
                    <w:widowControl/>
                    <w:snapToGrid w:val="0"/>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工艺名称</w:t>
                  </w:r>
                </w:p>
              </w:tc>
              <w:tc>
                <w:tcPr>
                  <w:tcW w:w="873" w:type="dxa"/>
                  <w:noWrap w:val="0"/>
                  <w:vAlign w:val="center"/>
                </w:tcPr>
                <w:p>
                  <w:pPr>
                    <w:widowControl/>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规模等级</w:t>
                  </w:r>
                </w:p>
              </w:tc>
              <w:tc>
                <w:tcPr>
                  <w:tcW w:w="1019" w:type="dxa"/>
                  <w:noWrap w:val="0"/>
                  <w:vAlign w:val="center"/>
                </w:tcPr>
                <w:p>
                  <w:pPr>
                    <w:widowControl/>
                    <w:snapToGrid w:val="0"/>
                    <w:ind w:firstLine="105" w:firstLineChars="50"/>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污染物指标</w:t>
                  </w:r>
                </w:p>
              </w:tc>
              <w:tc>
                <w:tcPr>
                  <w:tcW w:w="1810" w:type="dxa"/>
                  <w:noWrap w:val="0"/>
                  <w:vAlign w:val="center"/>
                </w:tcPr>
                <w:p>
                  <w:pPr>
                    <w:widowControl/>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单位</w:t>
                  </w:r>
                </w:p>
              </w:tc>
              <w:tc>
                <w:tcPr>
                  <w:tcW w:w="1165" w:type="dxa"/>
                  <w:noWrap w:val="0"/>
                  <w:vAlign w:val="center"/>
                </w:tcPr>
                <w:p>
                  <w:pPr>
                    <w:widowControl/>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产污系数</w:t>
                  </w:r>
                </w:p>
              </w:tc>
              <w:tc>
                <w:tcPr>
                  <w:tcW w:w="1287" w:type="dxa"/>
                  <w:noWrap w:val="0"/>
                  <w:vAlign w:val="center"/>
                </w:tcPr>
                <w:p>
                  <w:pPr>
                    <w:widowControl/>
                    <w:snapToGrid w:val="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末端治理技术名称</w:t>
                  </w:r>
                </w:p>
              </w:tc>
              <w:tc>
                <w:tcPr>
                  <w:tcW w:w="1310" w:type="dxa"/>
                  <w:noWrap w:val="0"/>
                  <w:vAlign w:val="center"/>
                </w:tcPr>
                <w:p>
                  <w:pPr>
                    <w:widowControl/>
                    <w:snapToGrid w:val="0"/>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排污系数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4" w:hRule="atLeast"/>
                <w:jc w:val="center"/>
              </w:trPr>
              <w:tc>
                <w:tcPr>
                  <w:tcW w:w="799" w:type="dxa"/>
                  <w:vMerge w:val="restart"/>
                  <w:noWrap w:val="0"/>
                  <w:vAlign w:val="center"/>
                </w:tcPr>
                <w:p>
                  <w:pPr>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天然气</w:t>
                  </w:r>
                </w:p>
              </w:tc>
              <w:tc>
                <w:tcPr>
                  <w:tcW w:w="901" w:type="dxa"/>
                  <w:vMerge w:val="restart"/>
                  <w:noWrap w:val="0"/>
                  <w:vAlign w:val="center"/>
                </w:tcPr>
                <w:p>
                  <w:pPr>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室燃炉</w:t>
                  </w:r>
                </w:p>
              </w:tc>
              <w:tc>
                <w:tcPr>
                  <w:tcW w:w="873" w:type="dxa"/>
                  <w:vMerge w:val="restart"/>
                  <w:noWrap w:val="0"/>
                  <w:vAlign w:val="center"/>
                </w:tcPr>
                <w:p>
                  <w:pPr>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所有规模</w:t>
                  </w:r>
                </w:p>
              </w:tc>
              <w:tc>
                <w:tcPr>
                  <w:tcW w:w="1019" w:type="dxa"/>
                  <w:noWrap w:val="0"/>
                  <w:vAlign w:val="center"/>
                </w:tcPr>
                <w:p>
                  <w:pPr>
                    <w:widowControl/>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颗粒物</w:t>
                  </w:r>
                </w:p>
              </w:tc>
              <w:tc>
                <w:tcPr>
                  <w:tcW w:w="1810" w:type="dxa"/>
                  <w:noWrap w:val="0"/>
                  <w:vAlign w:val="center"/>
                </w:tcPr>
                <w:p>
                  <w:pPr>
                    <w:widowControl/>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kg/万</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-原料</w:t>
                  </w:r>
                </w:p>
              </w:tc>
              <w:tc>
                <w:tcPr>
                  <w:tcW w:w="1165" w:type="dxa"/>
                  <w:noWrap w:val="0"/>
                  <w:vAlign w:val="center"/>
                </w:tcPr>
                <w:p>
                  <w:pPr>
                    <w:widowControl/>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2.4</w:t>
                  </w:r>
                </w:p>
              </w:tc>
              <w:tc>
                <w:tcPr>
                  <w:tcW w:w="1287" w:type="dxa"/>
                  <w:vMerge w:val="restart"/>
                  <w:noWrap w:val="0"/>
                  <w:vAlign w:val="center"/>
                </w:tcPr>
                <w:p>
                  <w:pPr>
                    <w:widowControl/>
                    <w:snapToGrid w:val="0"/>
                    <w:ind w:firstLine="0" w:firstLineChars="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p>
              </w:tc>
              <w:tc>
                <w:tcPr>
                  <w:tcW w:w="1310" w:type="dxa"/>
                  <w:noWrap w:val="0"/>
                  <w:vAlign w:val="center"/>
                </w:tcPr>
                <w:p>
                  <w:pPr>
                    <w:widowControl/>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99" w:type="dxa"/>
                  <w:vMerge w:val="continue"/>
                  <w:noWrap w:val="0"/>
                  <w:vAlign w:val="center"/>
                </w:tcPr>
                <w:p>
                  <w:pPr>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901" w:type="dxa"/>
                  <w:vMerge w:val="continue"/>
                  <w:noWrap w:val="0"/>
                  <w:vAlign w:val="center"/>
                </w:tcPr>
                <w:p>
                  <w:pPr>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873" w:type="dxa"/>
                  <w:vMerge w:val="continue"/>
                  <w:noWrap w:val="0"/>
                  <w:vAlign w:val="center"/>
                </w:tcPr>
                <w:p>
                  <w:pPr>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019" w:type="dxa"/>
                  <w:noWrap w:val="0"/>
                  <w:vAlign w:val="center"/>
                </w:tcPr>
                <w:p>
                  <w:pPr>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810" w:type="dxa"/>
                  <w:noWrap w:val="0"/>
                  <w:vAlign w:val="center"/>
                </w:tcPr>
                <w:p>
                  <w:pPr>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kg/万</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-原料</w:t>
                  </w:r>
                </w:p>
              </w:tc>
              <w:tc>
                <w:tcPr>
                  <w:tcW w:w="1165" w:type="dxa"/>
                  <w:noWrap w:val="0"/>
                  <w:vAlign w:val="center"/>
                </w:tcPr>
                <w:p>
                  <w:pPr>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0.02S</w:t>
                  </w:r>
                  <w:r>
                    <w:rPr>
                      <w:rFonts w:hint="default" w:ascii="Times New Roman" w:hAnsi="Times New Roman" w:eastAsia="宋体" w:cs="Times New Roman"/>
                      <w:color w:val="000000" w:themeColor="text1"/>
                      <w:sz w:val="21"/>
                      <w:szCs w:val="21"/>
                      <w:vertAlign w:val="superscript"/>
                      <w14:textFill>
                        <w14:solidFill>
                          <w14:schemeClr w14:val="tx1"/>
                        </w14:solidFill>
                      </w14:textFill>
                    </w:rPr>
                    <w:fldChar w:fldCharType="begin"/>
                  </w:r>
                  <w:r>
                    <w:rPr>
                      <w:rFonts w:hint="default" w:ascii="Times New Roman" w:hAnsi="Times New Roman" w:eastAsia="宋体" w:cs="Times New Roman"/>
                      <w:color w:val="000000" w:themeColor="text1"/>
                      <w:sz w:val="21"/>
                      <w:szCs w:val="21"/>
                      <w:vertAlign w:val="superscript"/>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1"/>
                      <w:szCs w:val="21"/>
                      <w:vertAlign w:val="superscript"/>
                      <w14:textFill>
                        <w14:solidFill>
                          <w14:schemeClr w14:val="tx1"/>
                        </w14:solidFill>
                      </w14:textFill>
                    </w:rPr>
                    <w:fldChar w:fldCharType="separate"/>
                  </w:r>
                  <w:r>
                    <w:rPr>
                      <w:rFonts w:hint="default" w:ascii="Times New Roman" w:hAnsi="Times New Roman" w:eastAsia="宋体" w:cs="Times New Roman"/>
                      <w:color w:val="000000" w:themeColor="text1"/>
                      <w:sz w:val="21"/>
                      <w:szCs w:val="21"/>
                      <w:vertAlign w:val="superscript"/>
                      <w14:textFill>
                        <w14:solidFill>
                          <w14:schemeClr w14:val="tx1"/>
                        </w14:solidFill>
                      </w14:textFill>
                    </w:rPr>
                    <w:t>①</w:t>
                  </w:r>
                  <w:r>
                    <w:rPr>
                      <w:rFonts w:hint="default" w:ascii="Times New Roman" w:hAnsi="Times New Roman" w:eastAsia="宋体" w:cs="Times New Roman"/>
                      <w:color w:val="000000" w:themeColor="text1"/>
                      <w:sz w:val="21"/>
                      <w:szCs w:val="21"/>
                      <w:vertAlign w:val="superscript"/>
                      <w14:textFill>
                        <w14:solidFill>
                          <w14:schemeClr w14:val="tx1"/>
                        </w14:solidFill>
                      </w14:textFill>
                    </w:rPr>
                    <w:fldChar w:fldCharType="end"/>
                  </w:r>
                </w:p>
              </w:tc>
              <w:tc>
                <w:tcPr>
                  <w:tcW w:w="1287" w:type="dxa"/>
                  <w:vMerge w:val="continue"/>
                  <w:noWrap w:val="0"/>
                  <w:vAlign w:val="center"/>
                </w:tcPr>
                <w:p>
                  <w:pPr>
                    <w:snapToGrid w:val="0"/>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p>
              </w:tc>
              <w:tc>
                <w:tcPr>
                  <w:tcW w:w="1310" w:type="dxa"/>
                  <w:noWrap w:val="0"/>
                  <w:vAlign w:val="center"/>
                </w:tcPr>
                <w:p>
                  <w:pPr>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0.02S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799" w:type="dxa"/>
                  <w:vMerge w:val="continue"/>
                  <w:noWrap w:val="0"/>
                  <w:vAlign w:val="center"/>
                </w:tcPr>
                <w:p>
                  <w:pPr>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901" w:type="dxa"/>
                  <w:vMerge w:val="continue"/>
                  <w:noWrap w:val="0"/>
                  <w:vAlign w:val="center"/>
                </w:tcPr>
                <w:p>
                  <w:pPr>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873" w:type="dxa"/>
                  <w:vMerge w:val="continue"/>
                  <w:noWrap w:val="0"/>
                  <w:vAlign w:val="center"/>
                </w:tcPr>
                <w:p>
                  <w:pPr>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019" w:type="dxa"/>
                  <w:noWrap w:val="0"/>
                  <w:vAlign w:val="center"/>
                </w:tcPr>
                <w:p>
                  <w:pPr>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X</w:t>
                  </w:r>
                </w:p>
              </w:tc>
              <w:tc>
                <w:tcPr>
                  <w:tcW w:w="1810" w:type="dxa"/>
                  <w:noWrap w:val="0"/>
                  <w:vAlign w:val="center"/>
                </w:tcPr>
                <w:p>
                  <w:pPr>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kg/万</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-原料</w:t>
                  </w:r>
                </w:p>
              </w:tc>
              <w:tc>
                <w:tcPr>
                  <w:tcW w:w="1165" w:type="dxa"/>
                  <w:noWrap w:val="0"/>
                  <w:vAlign w:val="center"/>
                </w:tcPr>
                <w:p>
                  <w:pPr>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18.71</w:t>
                  </w:r>
                </w:p>
              </w:tc>
              <w:tc>
                <w:tcPr>
                  <w:tcW w:w="1287" w:type="dxa"/>
                  <w:vMerge w:val="continue"/>
                  <w:noWrap w:val="0"/>
                  <w:vAlign w:val="center"/>
                </w:tcPr>
                <w:p>
                  <w:pPr>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p>
              </w:tc>
              <w:tc>
                <w:tcPr>
                  <w:tcW w:w="1310" w:type="dxa"/>
                  <w:noWrap w:val="0"/>
                  <w:vAlign w:val="center"/>
                </w:tcPr>
                <w:p>
                  <w:pPr>
                    <w:snapToGrid w:val="0"/>
                    <w:ind w:firstLine="0" w:firstLineChars="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18.71</w:t>
                  </w:r>
                </w:p>
              </w:tc>
            </w:tr>
          </w:tbl>
          <w:p>
            <w:pPr>
              <w:snapToGrid w:val="0"/>
              <w:spacing w:line="360" w:lineRule="auto"/>
              <w:ind w:firstLine="480"/>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备注：</w:t>
            </w:r>
            <w:r>
              <w:rPr>
                <w:rFonts w:hint="default" w:ascii="Times New Roman" w:hAnsi="Times New Roman" w:eastAsia="宋体" w:cs="Times New Roman"/>
                <w:color w:val="000000" w:themeColor="text1"/>
                <w:kern w:val="0"/>
                <w:szCs w:val="21"/>
                <w14:textFill>
                  <w14:solidFill>
                    <w14:schemeClr w14:val="tx1"/>
                  </w14:solidFill>
                </w14:textFill>
              </w:rPr>
              <w:t>产排污系数表中二氧化硫的产排污系数是以含硫量（S）的形式表示的，其中含硫量（S）是指燃气收到基硫分含量，单位为毫克/立方米。项目使用的天然气由专业天然气公司供应，所使用的天然气质量标准会符合国家《天然气》（GB17820-2012）中Ⅱ类天然气气质标准，因此天然气含硫量（S）为按200毫克/立方米计。</w:t>
            </w:r>
          </w:p>
          <w:p>
            <w:pPr>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6.2-</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default" w:ascii="Times New Roman" w:hAnsi="Times New Roman" w:eastAsia="宋体" w:cs="Times New Roman"/>
                <w:b/>
                <w:color w:val="000000" w:themeColor="text1"/>
                <w:sz w:val="24"/>
                <w:szCs w:val="24"/>
                <w:lang w:eastAsia="zh-CN"/>
                <w14:textFill>
                  <w14:solidFill>
                    <w14:schemeClr w14:val="tx1"/>
                  </w14:solidFill>
                </w14:textFill>
              </w:rPr>
              <w:t>热水炉</w:t>
            </w:r>
            <w:r>
              <w:rPr>
                <w:rFonts w:hint="default" w:ascii="Times New Roman" w:hAnsi="Times New Roman" w:eastAsia="宋体" w:cs="Times New Roman"/>
                <w:b/>
                <w:color w:val="000000" w:themeColor="text1"/>
                <w:sz w:val="24"/>
                <w:szCs w:val="24"/>
                <w14:textFill>
                  <w14:solidFill>
                    <w14:schemeClr w14:val="tx1"/>
                  </w14:solidFill>
                </w14:textFill>
              </w:rPr>
              <w:t>天然气燃烧废气污染物产生及治理排放统计一览表</w:t>
            </w:r>
          </w:p>
          <w:tbl>
            <w:tblPr>
              <w:tblStyle w:val="26"/>
              <w:tblW w:w="9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561"/>
              <w:gridCol w:w="1950"/>
              <w:gridCol w:w="2759"/>
              <w:gridCol w:w="16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7"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污染源</w:t>
                  </w:r>
                </w:p>
              </w:tc>
              <w:tc>
                <w:tcPr>
                  <w:tcW w:w="1561"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w:t>
                  </w:r>
                </w:p>
              </w:tc>
              <w:tc>
                <w:tcPr>
                  <w:tcW w:w="1950" w:type="dxa"/>
                  <w:noWrap w:val="0"/>
                  <w:vAlign w:val="top"/>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天然气年用量</w:t>
                  </w:r>
                </w:p>
              </w:tc>
              <w:tc>
                <w:tcPr>
                  <w:tcW w:w="2759"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产污系数（千克/万m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w:t>
                  </w:r>
                </w:p>
              </w:tc>
              <w:tc>
                <w:tcPr>
                  <w:tcW w:w="1697"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3" w:hRule="atLeast"/>
                <w:jc w:val="center"/>
              </w:trPr>
              <w:tc>
                <w:tcPr>
                  <w:tcW w:w="1197" w:type="dxa"/>
                  <w:vMerge w:val="restar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热水炉燃烧废气</w:t>
                  </w:r>
                </w:p>
              </w:tc>
              <w:tc>
                <w:tcPr>
                  <w:tcW w:w="1561"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烟尘</w:t>
                  </w:r>
                </w:p>
              </w:tc>
              <w:tc>
                <w:tcPr>
                  <w:tcW w:w="1950" w:type="dxa"/>
                  <w:vMerge w:val="restart"/>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23.04</w:t>
                  </w:r>
                  <w:r>
                    <w:rPr>
                      <w:rFonts w:hint="default" w:ascii="Times New Roman" w:hAnsi="Times New Roman" w:eastAsia="宋体" w:cs="Times New Roman"/>
                      <w:color w:val="000000" w:themeColor="text1"/>
                      <w:sz w:val="21"/>
                      <w:szCs w:val="21"/>
                      <w14:textFill>
                        <w14:solidFill>
                          <w14:schemeClr w14:val="tx1"/>
                        </w14:solidFill>
                      </w14:textFill>
                    </w:rPr>
                    <w:t>万m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275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1.4</w:t>
                  </w:r>
                </w:p>
              </w:tc>
              <w:tc>
                <w:tcPr>
                  <w:tcW w:w="16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0.032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7" w:type="dxa"/>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61"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950" w:type="dxa"/>
                  <w:vMerge w:val="continue"/>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9"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16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0.092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97" w:type="dxa"/>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61"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x</w:t>
                  </w:r>
                </w:p>
              </w:tc>
              <w:tc>
                <w:tcPr>
                  <w:tcW w:w="1950" w:type="dxa"/>
                  <w:vMerge w:val="continue"/>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59"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18.71</w:t>
                  </w:r>
                </w:p>
              </w:tc>
              <w:tc>
                <w:tcPr>
                  <w:tcW w:w="169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0.431 </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lang w:eastAsia="zh-CN"/>
                <w14:textFill>
                  <w14:solidFill>
                    <w14:schemeClr w14:val="tx1"/>
                  </w14:solidFill>
                </w14:textFill>
              </w:rPr>
              <w:t>台热水炉天然气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燃烧废气收集后</w:t>
            </w:r>
            <w:r>
              <w:rPr>
                <w:rFonts w:hint="default" w:ascii="Times New Roman" w:hAnsi="Times New Roman" w:eastAsia="宋体" w:cs="Times New Roman"/>
                <w:color w:val="000000" w:themeColor="text1"/>
                <w:sz w:val="24"/>
                <w:szCs w:val="24"/>
                <w14:textFill>
                  <w14:solidFill>
                    <w14:schemeClr w14:val="tx1"/>
                  </w14:solidFill>
                </w14:textFill>
              </w:rPr>
              <w:t>通过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5m高</w:t>
            </w:r>
            <w:r>
              <w:rPr>
                <w:rFonts w:hint="default" w:ascii="Times New Roman" w:hAnsi="Times New Roman" w:eastAsia="宋体" w:cs="Times New Roman"/>
                <w:color w:val="000000" w:themeColor="text1"/>
                <w:sz w:val="24"/>
                <w:szCs w:val="24"/>
                <w:lang w:eastAsia="zh-CN"/>
                <w14:textFill>
                  <w14:solidFill>
                    <w14:schemeClr w14:val="tx1"/>
                  </w14:solidFill>
                </w14:textFill>
              </w:rPr>
              <w:t>排气筒</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编号为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排气筒</w:t>
            </w:r>
            <w:r>
              <w:rPr>
                <w:rFonts w:hint="default" w:ascii="Times New Roman" w:hAnsi="Times New Roman" w:eastAsia="宋体" w:cs="Times New Roman"/>
                <w:color w:val="000000" w:themeColor="text1"/>
                <w:sz w:val="24"/>
                <w:szCs w:val="24"/>
                <w14:textFill>
                  <w14:solidFill>
                    <w14:schemeClr w14:val="tx1"/>
                  </w14:solidFill>
                </w14:textFill>
              </w:rPr>
              <w:t>）排放。</w:t>
            </w:r>
          </w:p>
          <w:p>
            <w:pPr>
              <w:snapToGrid w:val="0"/>
              <w:spacing w:line="360" w:lineRule="auto"/>
              <w:ind w:firstLine="482" w:firstLineChars="200"/>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②</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烘干炉燃烧废气</w:t>
            </w:r>
          </w:p>
          <w:p>
            <w:pPr>
              <w:snapToGrid w:val="0"/>
              <w:spacing w:line="360" w:lineRule="auto"/>
              <w:ind w:firstLine="480" w:firstLineChars="200"/>
              <w:rPr>
                <w:rFonts w:hint="default" w:ascii="Times New Roman" w:hAnsi="Times New Roman" w:eastAsia="宋体" w:cs="Times New Roman"/>
                <w:b w:val="0"/>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eastAsia="zh-CN"/>
                <w14:textFill>
                  <w14:solidFill>
                    <w14:schemeClr w14:val="tx1"/>
                  </w14:solidFill>
                </w14:textFill>
              </w:rPr>
              <w:t>设有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3台相同的烘干炉，单台</w:t>
            </w:r>
            <w:r>
              <w:rPr>
                <w:rFonts w:hint="default" w:ascii="Times New Roman" w:hAnsi="Times New Roman" w:eastAsia="宋体" w:cs="Times New Roman"/>
                <w:color w:val="000000" w:themeColor="text1"/>
                <w:sz w:val="24"/>
                <w:szCs w:val="24"/>
                <w14:textFill>
                  <w14:solidFill>
                    <w14:schemeClr w14:val="tx1"/>
                  </w14:solidFill>
                </w14:textFill>
              </w:rPr>
              <w:t>额定热功率</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28万大卡；单台烘干炉（</w:t>
            </w:r>
            <w:r>
              <w:rPr>
                <w:rFonts w:hint="default" w:ascii="Times New Roman" w:hAnsi="Times New Roman" w:eastAsia="宋体" w:cs="Times New Roman"/>
                <w:color w:val="000000" w:themeColor="text1"/>
                <w:sz w:val="24"/>
                <w:szCs w:val="24"/>
                <w14:textFill>
                  <w14:solidFill>
                    <w14:schemeClr w14:val="tx1"/>
                  </w14:solidFill>
                </w14:textFill>
              </w:rPr>
              <w:t>额定功率时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天然气消耗量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22.5</w:t>
            </w:r>
            <w:r>
              <w:rPr>
                <w:rFonts w:hint="default" w:ascii="Times New Roman" w:hAnsi="Times New Roman" w:eastAsia="宋体" w:cs="Times New Roman"/>
                <w:color w:val="000000" w:themeColor="text1"/>
                <w:sz w:val="24"/>
                <w:szCs w:val="24"/>
                <w14:textFill>
                  <w14:solidFill>
                    <w14:schemeClr w14:val="tx1"/>
                  </w14:solidFill>
                </w14:textFill>
              </w:rPr>
              <w:t>Nm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 xml:space="preserve">3 </w:t>
            </w:r>
            <w:r>
              <w:rPr>
                <w:rFonts w:hint="default" w:ascii="Times New Roman" w:hAnsi="Times New Roman" w:eastAsia="宋体" w:cs="Times New Roman"/>
                <w:color w:val="000000" w:themeColor="text1"/>
                <w:sz w:val="24"/>
                <w:szCs w:val="24"/>
                <w14:textFill>
                  <w14:solidFill>
                    <w14:schemeClr w14:val="tx1"/>
                  </w14:solidFill>
                </w14:textFill>
              </w:rPr>
              <w:t>/h</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，年工作300天，每天工作8小时，则本项目单台烘干炉全年消耗天然气量约为5.4万</w:t>
            </w:r>
            <w:r>
              <w:rPr>
                <w:rFonts w:hint="default" w:ascii="Times New Roman" w:hAnsi="Times New Roman" w:eastAsia="宋体" w:cs="Times New Roman"/>
                <w:color w:val="000000" w:themeColor="text1"/>
                <w:sz w:val="24"/>
                <w:szCs w:val="24"/>
                <w14:textFill>
                  <w14:solidFill>
                    <w14:schemeClr w14:val="tx1"/>
                  </w14:solidFill>
                </w14:textFill>
              </w:rPr>
              <w:t>Nm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，3台烘干炉全年消耗天然气量约为16.2万</w:t>
            </w:r>
            <w:r>
              <w:rPr>
                <w:rFonts w:hint="default" w:ascii="Times New Roman" w:hAnsi="Times New Roman" w:eastAsia="宋体" w:cs="Times New Roman"/>
                <w:color w:val="000000" w:themeColor="text1"/>
                <w:sz w:val="24"/>
                <w:szCs w:val="24"/>
                <w14:textFill>
                  <w14:solidFill>
                    <w14:schemeClr w14:val="tx1"/>
                  </w14:solidFill>
                </w14:textFill>
              </w:rPr>
              <w:t>Nm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天然气在燃烧过程中会产生烟尘、</w:t>
            </w:r>
            <w:r>
              <w:rPr>
                <w:rFonts w:hint="default" w:ascii="Times New Roman" w:hAnsi="Times New Roman" w:eastAsia="宋体" w:cs="Times New Roman"/>
                <w:color w:val="000000" w:themeColor="text1"/>
                <w:kern w:val="0"/>
                <w:sz w:val="24"/>
                <w:szCs w:val="24"/>
                <w14:textFill>
                  <w14:solidFill>
                    <w14:schemeClr w14:val="tx1"/>
                  </w14:solidFill>
                </w14:textFill>
              </w:rPr>
              <w:t>SO</w:t>
            </w:r>
            <w:r>
              <w:rPr>
                <w:rFonts w:hint="default" w:ascii="Times New Roman" w:hAnsi="Times New Roman" w:eastAsia="宋体" w:cs="Times New Roman"/>
                <w:color w:val="000000" w:themeColor="text1"/>
                <w:kern w:val="0"/>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、氮氧化物</w:t>
            </w:r>
            <w:r>
              <w:rPr>
                <w:rFonts w:hint="default" w:ascii="Times New Roman" w:hAnsi="Times New Roman" w:eastAsia="宋体" w:cs="Times New Roman"/>
                <w:color w:val="000000" w:themeColor="text1"/>
                <w:sz w:val="24"/>
                <w:szCs w:val="24"/>
                <w:lang w:eastAsia="zh-CN"/>
                <w14:textFill>
                  <w14:solidFill>
                    <w14:schemeClr w14:val="tx1"/>
                  </w14:solidFill>
                </w14:textFill>
              </w:rPr>
              <w:t>产排污系数参照</w:t>
            </w:r>
            <w:r>
              <w:rPr>
                <w:rFonts w:hint="default" w:ascii="Times New Roman" w:hAnsi="Times New Roman" w:eastAsia="宋体" w:cs="Times New Roman"/>
                <w:color w:val="000000" w:themeColor="text1"/>
                <w:sz w:val="24"/>
                <w:szCs w:val="24"/>
                <w14:textFill>
                  <w14:solidFill>
                    <w14:schemeClr w14:val="tx1"/>
                  </w14:solidFill>
                </w14:textFill>
              </w:rPr>
              <w:t>《第一次全国污染源普查工业污染源产污系数手册》（第十分册）</w:t>
            </w:r>
            <w:r>
              <w:rPr>
                <w:rFonts w:hint="default" w:ascii="Times New Roman" w:hAnsi="Times New Roman" w:eastAsia="宋体" w:cs="Times New Roman"/>
                <w:color w:val="000000" w:themeColor="text1"/>
                <w:sz w:val="24"/>
                <w:szCs w:val="24"/>
                <w:lang w:eastAsia="zh-CN"/>
                <w14:textFill>
                  <w14:solidFill>
                    <w14:schemeClr w14:val="tx1"/>
                  </w14:solidFill>
                </w14:textFill>
              </w:rPr>
              <w:t>和</w:t>
            </w:r>
            <w:r>
              <w:rPr>
                <w:rFonts w:hint="default" w:ascii="Times New Roman" w:hAnsi="Times New Roman" w:eastAsia="宋体" w:cs="Times New Roman"/>
                <w:color w:val="000000" w:themeColor="text1"/>
                <w:kern w:val="0"/>
                <w:sz w:val="24"/>
                <w:szCs w:val="24"/>
                <w14:textFill>
                  <w14:solidFill>
                    <w14:schemeClr w14:val="tx1"/>
                  </w14:solidFill>
                </w14:textFill>
              </w:rPr>
              <w:t>《社会区域类环境影响评价工程师执业资格登记培训教材》</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的</w:t>
            </w:r>
            <w:r>
              <w:rPr>
                <w:rFonts w:hint="default" w:ascii="Times New Roman" w:hAnsi="Times New Roman" w:eastAsia="宋体" w:cs="Times New Roman"/>
                <w:color w:val="000000" w:themeColor="text1"/>
                <w:sz w:val="24"/>
                <w:szCs w:val="24"/>
                <w14:textFill>
                  <w14:solidFill>
                    <w14:schemeClr w14:val="tx1"/>
                  </w14:solidFill>
                </w14:textFill>
              </w:rPr>
              <w:t>中经验数据，在燃烧过程中排污系数见下表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，项目污染源强产生见表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6.2-</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本</w:t>
            </w:r>
            <w:r>
              <w:rPr>
                <w:rFonts w:hint="default" w:ascii="Times New Roman" w:hAnsi="Times New Roman" w:eastAsia="宋体" w:cs="Times New Roman"/>
                <w:b w:val="0"/>
                <w:bCs/>
                <w:color w:val="000000" w:themeColor="text1"/>
                <w:sz w:val="24"/>
                <w:szCs w:val="24"/>
                <w14:textFill>
                  <w14:solidFill>
                    <w14:schemeClr w14:val="tx1"/>
                  </w14:solidFill>
                </w14:textFill>
              </w:rPr>
              <w:t>项目</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台烘干炉天然气</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燃烧废气收集后</w:t>
            </w:r>
            <w:r>
              <w:rPr>
                <w:rFonts w:hint="default" w:ascii="Times New Roman" w:hAnsi="Times New Roman" w:eastAsia="宋体" w:cs="Times New Roman"/>
                <w:b w:val="0"/>
                <w:bCs/>
                <w:color w:val="000000" w:themeColor="text1"/>
                <w:sz w:val="24"/>
                <w:szCs w:val="24"/>
                <w14:textFill>
                  <w14:solidFill>
                    <w14:schemeClr w14:val="tx1"/>
                  </w14:solidFill>
                </w14:textFill>
              </w:rPr>
              <w:t>通过</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14:textFill>
                  <w14:solidFill>
                    <w14:schemeClr w14:val="tx1"/>
                  </w14:solidFill>
                </w14:textFill>
              </w:rPr>
              <w:t>根</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14:textFill>
                  <w14:solidFill>
                    <w14:schemeClr w14:val="tx1"/>
                  </w14:solidFill>
                </w14:textFill>
              </w:rPr>
              <w:t>5m高</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排气筒</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编号为</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14:textFill>
                  <w14:solidFill>
                    <w14:schemeClr w14:val="tx1"/>
                  </w14:solidFill>
                </w14:textFill>
              </w:rPr>
              <w:t>#</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排气筒</w:t>
            </w:r>
            <w:r>
              <w:rPr>
                <w:rFonts w:hint="default" w:ascii="Times New Roman" w:hAnsi="Times New Roman" w:eastAsia="宋体" w:cs="Times New Roman"/>
                <w:b w:val="0"/>
                <w:bCs/>
                <w:color w:val="000000" w:themeColor="text1"/>
                <w:sz w:val="24"/>
                <w:szCs w:val="24"/>
                <w14:textFill>
                  <w14:solidFill>
                    <w14:schemeClr w14:val="tx1"/>
                  </w14:solidFill>
                </w14:textFill>
              </w:rPr>
              <w:t>）排放。</w:t>
            </w:r>
          </w:p>
          <w:p>
            <w:pPr>
              <w:jc w:val="center"/>
              <w:rPr>
                <w:rFonts w:hint="default" w:ascii="Times New Roman" w:hAnsi="Times New Roman" w:eastAsia="宋体" w:cs="Times New Roman"/>
                <w:b/>
                <w:color w:val="000000" w:themeColor="text1"/>
                <w:sz w:val="24"/>
                <w:szCs w:val="24"/>
                <w14:textFill>
                  <w14:solidFill>
                    <w14:schemeClr w14:val="tx1"/>
                  </w14:solidFill>
                </w14:textFill>
              </w:rPr>
            </w:pPr>
          </w:p>
          <w:p>
            <w:pPr>
              <w:jc w:val="center"/>
              <w:rPr>
                <w:rFonts w:hint="default" w:ascii="Times New Roman" w:hAnsi="Times New Roman" w:eastAsia="宋体" w:cs="Times New Roman"/>
                <w:b/>
                <w:color w:val="000000" w:themeColor="text1"/>
                <w:sz w:val="24"/>
                <w:szCs w:val="24"/>
                <w14:textFill>
                  <w14:solidFill>
                    <w14:schemeClr w14:val="tx1"/>
                  </w14:solidFill>
                </w14:textFill>
              </w:rPr>
            </w:pPr>
          </w:p>
          <w:p>
            <w:pPr>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6.2-</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default" w:ascii="Times New Roman" w:hAnsi="Times New Roman" w:eastAsia="宋体" w:cs="Times New Roman"/>
                <w:b/>
                <w:color w:val="000000" w:themeColor="text1"/>
                <w:sz w:val="24"/>
                <w:szCs w:val="24"/>
                <w:lang w:eastAsia="zh-CN"/>
                <w14:textFill>
                  <w14:solidFill>
                    <w14:schemeClr w14:val="tx1"/>
                  </w14:solidFill>
                </w14:textFill>
              </w:rPr>
              <w:t>烘干炉</w:t>
            </w:r>
            <w:r>
              <w:rPr>
                <w:rFonts w:hint="default" w:ascii="Times New Roman" w:hAnsi="Times New Roman" w:eastAsia="宋体" w:cs="Times New Roman"/>
                <w:b/>
                <w:color w:val="000000" w:themeColor="text1"/>
                <w:sz w:val="24"/>
                <w:szCs w:val="24"/>
                <w14:textFill>
                  <w14:solidFill>
                    <w14:schemeClr w14:val="tx1"/>
                  </w14:solidFill>
                </w14:textFill>
              </w:rPr>
              <w:t>天然气燃烧废气污染物产生及治理排放统计一览表</w:t>
            </w:r>
          </w:p>
          <w:tbl>
            <w:tblPr>
              <w:tblStyle w:val="26"/>
              <w:tblW w:w="9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3236"/>
              <w:gridCol w:w="2475"/>
              <w:gridCol w:w="2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8"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污染源</w:t>
                  </w:r>
                </w:p>
              </w:tc>
              <w:tc>
                <w:tcPr>
                  <w:tcW w:w="3236"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w:t>
                  </w:r>
                </w:p>
              </w:tc>
              <w:tc>
                <w:tcPr>
                  <w:tcW w:w="2475"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产污系数（千克/万m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w:t>
                  </w:r>
                </w:p>
              </w:tc>
              <w:tc>
                <w:tcPr>
                  <w:tcW w:w="2025"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8" w:type="dxa"/>
                  <w:vMerge w:val="restar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烘干炉燃烧废气</w:t>
                  </w:r>
                </w:p>
              </w:tc>
              <w:tc>
                <w:tcPr>
                  <w:tcW w:w="3236"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烟尘</w:t>
                  </w:r>
                </w:p>
              </w:tc>
              <w:tc>
                <w:tcPr>
                  <w:tcW w:w="2475"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1.4</w:t>
                  </w:r>
                </w:p>
              </w:tc>
              <w:tc>
                <w:tcPr>
                  <w:tcW w:w="20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8" w:type="dxa"/>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36"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2475"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20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0.065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28" w:type="dxa"/>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236"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x</w:t>
                  </w:r>
                </w:p>
              </w:tc>
              <w:tc>
                <w:tcPr>
                  <w:tcW w:w="2475"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18.71</w:t>
                  </w:r>
                </w:p>
              </w:tc>
              <w:tc>
                <w:tcPr>
                  <w:tcW w:w="2025"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0.303 </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烘干筛分粉尘、热水炉燃烧废气、烘干炉燃烧废气收集后均通过1#排气筒排放。</w:t>
            </w:r>
          </w:p>
          <w:p>
            <w:pPr>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6.2-</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
                <w:color w:val="000000" w:themeColor="text1"/>
                <w:sz w:val="24"/>
                <w:szCs w:val="24"/>
                <w14:textFill>
                  <w14:solidFill>
                    <w14:schemeClr w14:val="tx1"/>
                  </w14:solidFill>
                </w14:textFill>
              </w:rPr>
              <w:t xml:space="preserve"> </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  1#排气筒</w:t>
            </w:r>
            <w:r>
              <w:rPr>
                <w:rFonts w:hint="default" w:ascii="Times New Roman" w:hAnsi="Times New Roman" w:eastAsia="宋体" w:cs="Times New Roman"/>
                <w:b/>
                <w:color w:val="000000" w:themeColor="text1"/>
                <w:sz w:val="24"/>
                <w:szCs w:val="24"/>
                <w14:textFill>
                  <w14:solidFill>
                    <w14:schemeClr w14:val="tx1"/>
                  </w14:solidFill>
                </w14:textFill>
              </w:rPr>
              <w:t>污染物产生及治理排放统计一览表</w:t>
            </w:r>
          </w:p>
          <w:tbl>
            <w:tblPr>
              <w:tblStyle w:val="26"/>
              <w:tblW w:w="9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521"/>
              <w:gridCol w:w="849"/>
              <w:gridCol w:w="951"/>
              <w:gridCol w:w="1123"/>
              <w:gridCol w:w="917"/>
              <w:gridCol w:w="916"/>
              <w:gridCol w:w="1127"/>
              <w:gridCol w:w="10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0"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污染源</w:t>
                  </w:r>
                </w:p>
              </w:tc>
              <w:tc>
                <w:tcPr>
                  <w:tcW w:w="1521"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污染物</w:t>
                  </w:r>
                </w:p>
              </w:tc>
              <w:tc>
                <w:tcPr>
                  <w:tcW w:w="849"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废气量（</w:t>
                  </w:r>
                  <w:r>
                    <w:rPr>
                      <w:rFonts w:hint="default" w:ascii="Times New Roman" w:hAnsi="Times New Roman" w:eastAsia="宋体" w:cs="Times New Roman"/>
                      <w:color w:val="000000" w:themeColor="text1"/>
                      <w:kern w:val="0"/>
                      <w:sz w:val="21"/>
                      <w:szCs w:val="21"/>
                      <w:lang w:bidi="ar"/>
                      <w14:textFill>
                        <w14:solidFill>
                          <w14:schemeClr w14:val="tx1"/>
                        </w14:solidFill>
                      </w14:textFill>
                    </w:rPr>
                    <w:t>万</w:t>
                  </w:r>
                  <w:r>
                    <w:rPr>
                      <w:rFonts w:hint="default" w:ascii="Times New Roman" w:hAnsi="Times New Roman" w:eastAsia="宋体" w:cs="Times New Roman"/>
                      <w:b/>
                      <w:color w:val="000000" w:themeColor="text1"/>
                      <w:sz w:val="21"/>
                      <w:szCs w:val="21"/>
                      <w14:textFill>
                        <w14:solidFill>
                          <w14:schemeClr w14:val="tx1"/>
                        </w14:solidFill>
                      </w14:textFill>
                    </w:rPr>
                    <w:t>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/a）</w:t>
                  </w:r>
                </w:p>
              </w:tc>
              <w:tc>
                <w:tcPr>
                  <w:tcW w:w="951"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产生量（t/a）</w:t>
                  </w:r>
                </w:p>
              </w:tc>
              <w:tc>
                <w:tcPr>
                  <w:tcW w:w="1123"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产生浓度(mg/m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w:t>
                  </w:r>
                </w:p>
              </w:tc>
              <w:tc>
                <w:tcPr>
                  <w:tcW w:w="917" w:type="dxa"/>
                  <w:noWrap w:val="0"/>
                  <w:vAlign w:val="center"/>
                </w:tcPr>
                <w:p>
                  <w:pPr>
                    <w:snapToGrid w:val="0"/>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处理设施</w:t>
                  </w:r>
                </w:p>
              </w:tc>
              <w:tc>
                <w:tcPr>
                  <w:tcW w:w="916"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排放量（t/a）</w:t>
                  </w:r>
                </w:p>
              </w:tc>
              <w:tc>
                <w:tcPr>
                  <w:tcW w:w="1127"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排放浓度(mg/m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w:t>
                  </w:r>
                </w:p>
              </w:tc>
              <w:tc>
                <w:tcPr>
                  <w:tcW w:w="1090" w:type="dxa"/>
                  <w:noWrap w:val="0"/>
                  <w:vAlign w:val="center"/>
                </w:tcPr>
                <w:p>
                  <w:pPr>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标准浓度限值(mg/m</w:t>
                  </w:r>
                  <w:r>
                    <w:rPr>
                      <w:rFonts w:hint="default" w:ascii="Times New Roman" w:hAnsi="Times New Roman" w:eastAsia="宋体" w:cs="Times New Roman"/>
                      <w:b/>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0" w:type="dxa"/>
                  <w:vMerge w:val="restart"/>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1#排气筒</w:t>
                  </w:r>
                </w:p>
              </w:tc>
              <w:tc>
                <w:tcPr>
                  <w:tcW w:w="1521" w:type="dxa"/>
                  <w:noWrap w:val="0"/>
                  <w:vAlign w:val="center"/>
                </w:tcPr>
                <w:p>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p>
              </w:tc>
              <w:tc>
                <w:tcPr>
                  <w:tcW w:w="849"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3600</w:t>
                  </w:r>
                </w:p>
              </w:tc>
              <w:tc>
                <w:tcPr>
                  <w:tcW w:w="95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5.755</w:t>
                  </w:r>
                </w:p>
              </w:tc>
              <w:tc>
                <w:tcPr>
                  <w:tcW w:w="11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159.86 </w:t>
                  </w:r>
                </w:p>
              </w:tc>
              <w:tc>
                <w:tcPr>
                  <w:tcW w:w="917"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旋风除尘+麻石水膜除尘</w:t>
                  </w:r>
                </w:p>
              </w:tc>
              <w:tc>
                <w:tcPr>
                  <w:tcW w:w="9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0.058</w:t>
                  </w:r>
                </w:p>
              </w:tc>
              <w:tc>
                <w:tcPr>
                  <w:tcW w:w="11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1.60 </w:t>
                  </w:r>
                </w:p>
              </w:tc>
              <w:tc>
                <w:tcPr>
                  <w:tcW w:w="10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0" w:type="dxa"/>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21"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849" w:type="dxa"/>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5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0.157</w:t>
                  </w:r>
                </w:p>
              </w:tc>
              <w:tc>
                <w:tcPr>
                  <w:tcW w:w="11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4.36 </w:t>
                  </w:r>
                </w:p>
              </w:tc>
              <w:tc>
                <w:tcPr>
                  <w:tcW w:w="917" w:type="dxa"/>
                  <w:vMerge w:val="continue"/>
                  <w:noWrap w:val="0"/>
                  <w:vAlign w:val="center"/>
                </w:tcPr>
                <w:p>
                  <w:pPr>
                    <w:jc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p>
              </w:tc>
              <w:tc>
                <w:tcPr>
                  <w:tcW w:w="9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0.157</w:t>
                  </w:r>
                </w:p>
              </w:tc>
              <w:tc>
                <w:tcPr>
                  <w:tcW w:w="11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4.36 </w:t>
                  </w:r>
                </w:p>
              </w:tc>
              <w:tc>
                <w:tcPr>
                  <w:tcW w:w="10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0" w:type="dxa"/>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21"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x</w:t>
                  </w:r>
                </w:p>
              </w:tc>
              <w:tc>
                <w:tcPr>
                  <w:tcW w:w="849" w:type="dxa"/>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5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0.734</w:t>
                  </w:r>
                </w:p>
              </w:tc>
              <w:tc>
                <w:tcPr>
                  <w:tcW w:w="11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20.39 </w:t>
                  </w:r>
                </w:p>
              </w:tc>
              <w:tc>
                <w:tcPr>
                  <w:tcW w:w="917" w:type="dxa"/>
                  <w:vMerge w:val="continue"/>
                  <w:noWrap w:val="0"/>
                  <w:vAlign w:val="center"/>
                </w:tcPr>
                <w:p>
                  <w:pPr>
                    <w:jc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p>
              </w:tc>
              <w:tc>
                <w:tcPr>
                  <w:tcW w:w="9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0.734</w:t>
                  </w:r>
                </w:p>
              </w:tc>
              <w:tc>
                <w:tcPr>
                  <w:tcW w:w="11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20.39 </w:t>
                  </w:r>
                </w:p>
              </w:tc>
              <w:tc>
                <w:tcPr>
                  <w:tcW w:w="10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70" w:type="dxa"/>
                  <w:vMerge w:val="continue"/>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521" w:type="dxa"/>
                  <w:noWrap w:val="0"/>
                  <w:vAlign w:val="center"/>
                </w:tcPr>
                <w:p>
                  <w:pPr>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烟气黑度（级）</w:t>
                  </w:r>
                </w:p>
              </w:tc>
              <w:tc>
                <w:tcPr>
                  <w:tcW w:w="849" w:type="dxa"/>
                  <w:vMerge w:val="continue"/>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5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w:t>
                  </w:r>
                </w:p>
              </w:tc>
              <w:tc>
                <w:tcPr>
                  <w:tcW w:w="11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w:t>
                  </w:r>
                </w:p>
              </w:tc>
              <w:tc>
                <w:tcPr>
                  <w:tcW w:w="917" w:type="dxa"/>
                  <w:vMerge w:val="continue"/>
                  <w:noWrap w:val="0"/>
                  <w:vAlign w:val="center"/>
                </w:tcPr>
                <w:p>
                  <w:pPr>
                    <w:jc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p>
              </w:tc>
              <w:tc>
                <w:tcPr>
                  <w:tcW w:w="9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w:t>
                  </w:r>
                </w:p>
              </w:tc>
              <w:tc>
                <w:tcPr>
                  <w:tcW w:w="112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w:t>
                  </w:r>
                </w:p>
              </w:tc>
              <w:tc>
                <w:tcPr>
                  <w:tcW w:w="109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w:t>
                  </w:r>
                </w:p>
              </w:tc>
            </w:tr>
          </w:tbl>
          <w:p>
            <w:pPr>
              <w:pStyle w:val="10"/>
              <w:adjustRightInd w:val="0"/>
              <w:snapToGrid w:val="0"/>
              <w:spacing w:line="360" w:lineRule="auto"/>
              <w:ind w:firstLine="420" w:firstLineChars="200"/>
              <w:jc w:val="left"/>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备注：项目烘干筛分粉尘、热水炉燃烧废气、烘干炉燃烧废气均通过1#排气筒排放，1#排气筒配备15000m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/h的排风设施。</w:t>
            </w:r>
          </w:p>
          <w:p>
            <w:pPr>
              <w:pStyle w:val="10"/>
              <w:adjustRightInd w:val="0"/>
              <w:snapToGrid w:val="0"/>
              <w:spacing w:line="360" w:lineRule="auto"/>
              <w:ind w:firstLine="480" w:firstLineChars="200"/>
              <w:jc w:val="left"/>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通过上表分析可知，</w:t>
            </w:r>
            <w:r>
              <w:rPr>
                <w:rFonts w:hint="default" w:ascii="Times New Roman" w:hAnsi="Times New Roman" w:eastAsia="宋体" w:cs="Times New Roman"/>
                <w:color w:val="000000" w:themeColor="text1"/>
                <w:szCs w:val="21"/>
                <w:lang w:val="en-US" w:eastAsia="zh-CN"/>
                <w14:textFill>
                  <w14:solidFill>
                    <w14:schemeClr w14:val="tx1"/>
                  </w14:solidFill>
                </w14:textFill>
              </w:rPr>
              <w:t>本项目1#排气筒废气</w:t>
            </w:r>
            <w:r>
              <w:rPr>
                <w:rFonts w:hint="default" w:ascii="Times New Roman" w:hAnsi="Times New Roman" w:eastAsia="宋体" w:cs="Times New Roman"/>
                <w:color w:val="000000" w:themeColor="text1"/>
                <w:szCs w:val="24"/>
                <w14:textFill>
                  <w14:solidFill>
                    <w14:schemeClr w14:val="tx1"/>
                  </w14:solidFill>
                </w14:textFill>
              </w:rPr>
              <w:t>中</w:t>
            </w:r>
            <w:r>
              <w:rPr>
                <w:rFonts w:hint="default" w:ascii="Times New Roman" w:hAnsi="Times New Roman" w:eastAsia="宋体" w:cs="Times New Roman"/>
                <w:color w:val="000000" w:themeColor="text1"/>
                <w:szCs w:val="24"/>
                <w:lang w:eastAsia="zh-CN"/>
                <w14:textFill>
                  <w14:solidFill>
                    <w14:schemeClr w14:val="tx1"/>
                  </w14:solidFill>
                </w14:textFill>
              </w:rPr>
              <w:t>颗粒物</w:t>
            </w:r>
            <w:r>
              <w:rPr>
                <w:rFonts w:hint="default" w:ascii="Times New Roman" w:hAnsi="Times New Roman" w:eastAsia="宋体" w:cs="Times New Roman"/>
                <w:color w:val="000000" w:themeColor="text1"/>
                <w:szCs w:val="24"/>
                <w14:textFill>
                  <w14:solidFill>
                    <w14:schemeClr w14:val="tx1"/>
                  </w14:solidFill>
                </w14:textFill>
              </w:rPr>
              <w:t>、SO</w:t>
            </w:r>
            <w:r>
              <w:rPr>
                <w:rFonts w:hint="default" w:ascii="Times New Roman" w:hAnsi="Times New Roman" w:eastAsia="宋体" w:cs="Times New Roman"/>
                <w:color w:val="000000" w:themeColor="text1"/>
                <w:szCs w:val="24"/>
                <w:vertAlign w:val="subscript"/>
                <w14:textFill>
                  <w14:solidFill>
                    <w14:schemeClr w14:val="tx1"/>
                  </w14:solidFill>
                </w14:textFill>
              </w:rPr>
              <w:t>2、</w:t>
            </w:r>
            <w:r>
              <w:rPr>
                <w:rFonts w:hint="default" w:ascii="Times New Roman" w:hAnsi="Times New Roman" w:eastAsia="宋体" w:cs="Times New Roman"/>
                <w:color w:val="000000" w:themeColor="text1"/>
                <w:szCs w:val="24"/>
                <w14:textFill>
                  <w14:solidFill>
                    <w14:schemeClr w14:val="tx1"/>
                  </w14:solidFill>
                </w14:textFill>
              </w:rPr>
              <w:t>NO</w:t>
            </w:r>
            <w:r>
              <w:rPr>
                <w:rFonts w:hint="default" w:ascii="Times New Roman" w:hAnsi="Times New Roman" w:eastAsia="宋体" w:cs="Times New Roman"/>
                <w:color w:val="000000" w:themeColor="text1"/>
                <w:szCs w:val="24"/>
                <w:vertAlign w:val="subscript"/>
                <w14:textFill>
                  <w14:solidFill>
                    <w14:schemeClr w14:val="tx1"/>
                  </w14:solidFill>
                </w14:textFill>
              </w:rPr>
              <w:t>x</w:t>
            </w:r>
            <w:r>
              <w:rPr>
                <w:rFonts w:hint="default" w:ascii="Times New Roman" w:hAnsi="Times New Roman" w:eastAsia="宋体" w:cs="Times New Roman"/>
                <w:color w:val="000000" w:themeColor="text1"/>
                <w:szCs w:val="24"/>
                <w14:textFill>
                  <w14:solidFill>
                    <w14:schemeClr w14:val="tx1"/>
                  </w14:solidFill>
                </w14:textFill>
              </w:rPr>
              <w:t>排放量分别为0.0</w:t>
            </w:r>
            <w:r>
              <w:rPr>
                <w:rFonts w:hint="default" w:ascii="Times New Roman" w:hAnsi="Times New Roman" w:eastAsia="宋体" w:cs="Times New Roman"/>
                <w:color w:val="000000" w:themeColor="text1"/>
                <w:szCs w:val="24"/>
                <w:lang w:val="en-US" w:eastAsia="zh-CN"/>
                <w14:textFill>
                  <w14:solidFill>
                    <w14:schemeClr w14:val="tx1"/>
                  </w14:solidFill>
                </w14:textFill>
              </w:rPr>
              <w:t>58</w:t>
            </w:r>
            <w:r>
              <w:rPr>
                <w:rFonts w:hint="default" w:ascii="Times New Roman" w:hAnsi="Times New Roman" w:eastAsia="宋体" w:cs="Times New Roman"/>
                <w:bCs/>
                <w:color w:val="000000" w:themeColor="text1"/>
                <w:szCs w:val="24"/>
                <w14:textFill>
                  <w14:solidFill>
                    <w14:schemeClr w14:val="tx1"/>
                  </w14:solidFill>
                </w14:textFill>
              </w:rPr>
              <w:t>t/a</w:t>
            </w:r>
            <w:r>
              <w:rPr>
                <w:rFonts w:hint="default" w:ascii="Times New Roman" w:hAnsi="Times New Roman" w:eastAsia="宋体" w:cs="Times New Roman"/>
                <w:color w:val="000000" w:themeColor="text1"/>
                <w:szCs w:val="24"/>
                <w14:textFill>
                  <w14:solidFill>
                    <w14:schemeClr w14:val="tx1"/>
                  </w14:solidFill>
                </w14:textFill>
              </w:rPr>
              <w:t>、0.</w:t>
            </w:r>
            <w:r>
              <w:rPr>
                <w:rFonts w:hint="default" w:ascii="Times New Roman" w:hAnsi="Times New Roman" w:eastAsia="宋体" w:cs="Times New Roman"/>
                <w:color w:val="000000" w:themeColor="text1"/>
                <w:szCs w:val="24"/>
                <w:lang w:val="en-US" w:eastAsia="zh-CN"/>
                <w14:textFill>
                  <w14:solidFill>
                    <w14:schemeClr w14:val="tx1"/>
                  </w14:solidFill>
                </w14:textFill>
              </w:rPr>
              <w:t>157</w:t>
            </w:r>
            <w:r>
              <w:rPr>
                <w:rFonts w:hint="default" w:ascii="Times New Roman" w:hAnsi="Times New Roman" w:eastAsia="宋体" w:cs="Times New Roman"/>
                <w:bCs/>
                <w:color w:val="000000" w:themeColor="text1"/>
                <w:szCs w:val="24"/>
                <w14:textFill>
                  <w14:solidFill>
                    <w14:schemeClr w14:val="tx1"/>
                  </w14:solidFill>
                </w14:textFill>
              </w:rPr>
              <w:t>t/a、</w:t>
            </w:r>
            <w:r>
              <w:rPr>
                <w:rFonts w:hint="default" w:ascii="Times New Roman" w:hAnsi="Times New Roman" w:eastAsia="宋体" w:cs="Times New Roman"/>
                <w:bCs/>
                <w:color w:val="000000" w:themeColor="text1"/>
                <w:szCs w:val="24"/>
                <w:lang w:val="en-US" w:eastAsia="zh-CN"/>
                <w14:textFill>
                  <w14:solidFill>
                    <w14:schemeClr w14:val="tx1"/>
                  </w14:solidFill>
                </w14:textFill>
              </w:rPr>
              <w:t>0.734</w:t>
            </w:r>
            <w:r>
              <w:rPr>
                <w:rFonts w:hint="default" w:ascii="Times New Roman" w:hAnsi="Times New Roman" w:eastAsia="宋体" w:cs="Times New Roman"/>
                <w:bCs/>
                <w:color w:val="000000" w:themeColor="text1"/>
                <w:szCs w:val="24"/>
                <w14:textFill>
                  <w14:solidFill>
                    <w14:schemeClr w14:val="tx1"/>
                  </w14:solidFill>
                </w14:textFill>
              </w:rPr>
              <w:t>t/a</w:t>
            </w:r>
            <w:r>
              <w:rPr>
                <w:rFonts w:hint="default" w:ascii="Times New Roman" w:hAnsi="Times New Roman" w:eastAsia="宋体" w:cs="Times New Roman"/>
                <w:color w:val="000000" w:themeColor="text1"/>
                <w:szCs w:val="24"/>
                <w14:textFill>
                  <w14:solidFill>
                    <w14:schemeClr w14:val="tx1"/>
                  </w14:solidFill>
                </w14:textFill>
              </w:rPr>
              <w:t>。</w:t>
            </w:r>
            <w:r>
              <w:rPr>
                <w:rFonts w:hint="default" w:ascii="Times New Roman" w:hAnsi="Times New Roman" w:eastAsia="宋体" w:cs="Times New Roman"/>
                <w:color w:val="000000" w:themeColor="text1"/>
                <w:szCs w:val="24"/>
                <w:lang w:val="en-US" w:eastAsia="zh-CN"/>
                <w14:textFill>
                  <w14:solidFill>
                    <w14:schemeClr w14:val="tx1"/>
                  </w14:solidFill>
                </w14:textFill>
              </w:rPr>
              <w:t>1#排气筒废气</w:t>
            </w:r>
            <w:r>
              <w:rPr>
                <w:rFonts w:hint="default" w:ascii="Times New Roman" w:hAnsi="Times New Roman" w:eastAsia="宋体" w:cs="Times New Roman"/>
                <w:color w:val="000000" w:themeColor="text1"/>
                <w:szCs w:val="24"/>
                <w14:textFill>
                  <w14:solidFill>
                    <w14:schemeClr w14:val="tx1"/>
                  </w14:solidFill>
                </w14:textFill>
              </w:rPr>
              <w:t>中的</w:t>
            </w:r>
            <w:r>
              <w:rPr>
                <w:rFonts w:hint="default" w:ascii="Times New Roman" w:hAnsi="Times New Roman" w:eastAsia="宋体" w:cs="Times New Roman"/>
                <w:color w:val="000000" w:themeColor="text1"/>
                <w:szCs w:val="24"/>
                <w:lang w:eastAsia="zh-CN"/>
                <w14:textFill>
                  <w14:solidFill>
                    <w14:schemeClr w14:val="tx1"/>
                  </w14:solidFill>
                </w14:textFill>
              </w:rPr>
              <w:t>颗粒物</w:t>
            </w:r>
            <w:r>
              <w:rPr>
                <w:rFonts w:hint="default" w:ascii="Times New Roman" w:hAnsi="Times New Roman" w:eastAsia="宋体" w:cs="Times New Roman"/>
                <w:color w:val="000000" w:themeColor="text1"/>
                <w:szCs w:val="24"/>
                <w14:textFill>
                  <w14:solidFill>
                    <w14:schemeClr w14:val="tx1"/>
                  </w14:solidFill>
                </w14:textFill>
              </w:rPr>
              <w:t>、SO</w:t>
            </w:r>
            <w:r>
              <w:rPr>
                <w:rFonts w:hint="default" w:ascii="Times New Roman" w:hAnsi="Times New Roman" w:eastAsia="宋体" w:cs="Times New Roman"/>
                <w:color w:val="000000" w:themeColor="text1"/>
                <w:szCs w:val="24"/>
                <w:vertAlign w:val="subscript"/>
                <w14:textFill>
                  <w14:solidFill>
                    <w14:schemeClr w14:val="tx1"/>
                  </w14:solidFill>
                </w14:textFill>
              </w:rPr>
              <w:t>2、</w:t>
            </w:r>
            <w:r>
              <w:rPr>
                <w:rFonts w:hint="default" w:ascii="Times New Roman" w:hAnsi="Times New Roman" w:eastAsia="宋体" w:cs="Times New Roman"/>
                <w:color w:val="000000" w:themeColor="text1"/>
                <w:szCs w:val="24"/>
                <w14:textFill>
                  <w14:solidFill>
                    <w14:schemeClr w14:val="tx1"/>
                  </w14:solidFill>
                </w14:textFill>
              </w:rPr>
              <w:t>NO</w:t>
            </w:r>
            <w:r>
              <w:rPr>
                <w:rFonts w:hint="default" w:ascii="Times New Roman" w:hAnsi="Times New Roman" w:eastAsia="宋体" w:cs="Times New Roman"/>
                <w:color w:val="000000" w:themeColor="text1"/>
                <w:szCs w:val="24"/>
                <w:vertAlign w:val="subscript"/>
                <w14:textFill>
                  <w14:solidFill>
                    <w14:schemeClr w14:val="tx1"/>
                  </w14:solidFill>
                </w14:textFill>
              </w:rPr>
              <w:t>x</w:t>
            </w:r>
            <w:r>
              <w:rPr>
                <w:rFonts w:hint="default" w:ascii="Times New Roman" w:hAnsi="Times New Roman" w:eastAsia="宋体" w:cs="Times New Roman"/>
                <w:color w:val="000000" w:themeColor="text1"/>
                <w:szCs w:val="24"/>
                <w14:textFill>
                  <w14:solidFill>
                    <w14:schemeClr w14:val="tx1"/>
                  </w14:solidFill>
                </w14:textFill>
              </w:rPr>
              <w:t>排放</w:t>
            </w:r>
            <w:r>
              <w:rPr>
                <w:rFonts w:hint="default" w:ascii="Times New Roman" w:hAnsi="Times New Roman" w:eastAsia="宋体" w:cs="Times New Roman"/>
                <w:color w:val="000000" w:themeColor="text1"/>
                <w:szCs w:val="24"/>
                <w:lang w:eastAsia="zh-CN"/>
                <w14:textFill>
                  <w14:solidFill>
                    <w14:schemeClr w14:val="tx1"/>
                  </w14:solidFill>
                </w14:textFill>
              </w:rPr>
              <w:t>浓度分别</w:t>
            </w:r>
            <w:r>
              <w:rPr>
                <w:rFonts w:hint="default" w:ascii="Times New Roman" w:hAnsi="Times New Roman" w:eastAsia="宋体" w:cs="Times New Roman"/>
                <w:color w:val="000000" w:themeColor="text1"/>
                <w:szCs w:val="24"/>
                <w14:textFill>
                  <w14:solidFill>
                    <w14:schemeClr w14:val="tx1"/>
                  </w14:solidFill>
                </w14:textFill>
              </w:rPr>
              <w:t>达到了</w:t>
            </w:r>
            <w:r>
              <w:rPr>
                <w:rFonts w:hint="default" w:ascii="Times New Roman" w:hAnsi="Times New Roman" w:eastAsia="宋体" w:cs="Times New Roman"/>
                <w:color w:val="000000" w:themeColor="text1"/>
                <w:szCs w:val="24"/>
                <w:lang w:val="en-US" w:eastAsia="zh-CN"/>
                <w14:textFill>
                  <w14:solidFill>
                    <w14:schemeClr w14:val="tx1"/>
                  </w14:solidFill>
                </w14:textFill>
              </w:rPr>
              <w:t>广东省地方环境标准《锅炉大气污染物排放标准》（DB 44/765-2019）中表2 新建锅炉大气污染物排放浓度限值燃气锅炉标准</w:t>
            </w:r>
            <w:r>
              <w:rPr>
                <w:rFonts w:hint="default" w:ascii="Times New Roman" w:hAnsi="Times New Roman" w:eastAsia="宋体" w:cs="Times New Roman"/>
                <w:color w:val="000000" w:themeColor="text1"/>
                <w:szCs w:val="24"/>
                <w14:textFill>
                  <w14:solidFill>
                    <w14:schemeClr w14:val="tx1"/>
                  </w14:solidFill>
                </w14:textFill>
              </w:rPr>
              <w:t>要求</w:t>
            </w:r>
            <w:r>
              <w:rPr>
                <w:rFonts w:hint="default" w:ascii="Times New Roman" w:hAnsi="Times New Roman" w:eastAsia="宋体" w:cs="Times New Roman"/>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Cs w:val="24"/>
                <w14:textFill>
                  <w14:solidFill>
                    <w14:schemeClr w14:val="tx1"/>
                  </w14:solidFill>
                </w14:textFill>
              </w:rPr>
              <w:t>因此，本项目</w:t>
            </w:r>
            <w:r>
              <w:rPr>
                <w:rFonts w:hint="default" w:ascii="Times New Roman" w:hAnsi="Times New Roman" w:eastAsia="宋体" w:cs="Times New Roman"/>
                <w:color w:val="000000" w:themeColor="text1"/>
                <w:szCs w:val="24"/>
                <w:lang w:val="en-US" w:eastAsia="zh-CN"/>
                <w14:textFill>
                  <w14:solidFill>
                    <w14:schemeClr w14:val="tx1"/>
                  </w14:solidFill>
                </w14:textFill>
              </w:rPr>
              <w:t>1#排气筒有组织</w:t>
            </w:r>
            <w:r>
              <w:rPr>
                <w:rFonts w:hint="default" w:ascii="Times New Roman" w:hAnsi="Times New Roman" w:eastAsia="宋体" w:cs="Times New Roman"/>
                <w:color w:val="000000" w:themeColor="text1"/>
                <w:szCs w:val="24"/>
                <w14:textFill>
                  <w14:solidFill>
                    <w14:schemeClr w14:val="tx1"/>
                  </w14:solidFill>
                </w14:textFill>
              </w:rPr>
              <w:t>废气属于达标排放。</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outlineLvl w:val="9"/>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6.</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2.3.2</w:t>
            </w:r>
            <w:r>
              <w:rPr>
                <w:rFonts w:hint="default" w:ascii="Times New Roman" w:hAnsi="Times New Roman" w:eastAsia="宋体" w:cs="Times New Roman"/>
                <w:b/>
                <w:color w:val="000000" w:themeColor="text1"/>
                <w:sz w:val="24"/>
                <w:highlight w:val="none"/>
                <w14:textFill>
                  <w14:solidFill>
                    <w14:schemeClr w14:val="tx1"/>
                  </w14:solidFill>
                </w14:textFill>
              </w:rPr>
              <w:t>水污染源</w:t>
            </w:r>
            <w:r>
              <w:rPr>
                <w:rFonts w:hint="default" w:ascii="Times New Roman" w:hAnsi="Times New Roman" w:eastAsia="宋体" w:cs="Times New Roman"/>
                <w:b/>
                <w:bCs/>
                <w:color w:val="000000" w:themeColor="text1"/>
                <w:sz w:val="24"/>
                <w:highlight w:val="none"/>
                <w14:textFill>
                  <w14:solidFill>
                    <w14:schemeClr w14:val="tx1"/>
                  </w14:solidFill>
                </w14:textFill>
              </w:rPr>
              <w:t>分析</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000000" w:themeColor="text1"/>
                <w:sz w:val="24"/>
                <w:lang w:eastAsia="zh-CN"/>
                <w14:textFill>
                  <w14:solidFill>
                    <w14:schemeClr w14:val="tx1"/>
                  </w14:solidFill>
                </w14:textFill>
              </w:rPr>
            </w:pPr>
            <w:bookmarkStart w:id="15" w:name="OLE_LINK3"/>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lang w:eastAsia="zh-CN"/>
                <w14:textFill>
                  <w14:solidFill>
                    <w14:schemeClr w14:val="tx1"/>
                  </w14:solidFill>
                </w14:textFill>
              </w:rPr>
              <w:t>）洗砂废水</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本项目生产用水主要是使用清水进行破碎、洗矿、球磨及筛分，其中洗矿和固液分离工序过程会产生洗砂废水，其主要污染因子为</w:t>
            </w:r>
            <w:r>
              <w:rPr>
                <w:rFonts w:hint="default" w:ascii="Times New Roman" w:hAnsi="Times New Roman" w:eastAsia="宋体" w:cs="Times New Roman"/>
                <w:color w:val="000000" w:themeColor="text1"/>
                <w:sz w:val="24"/>
                <w:lang w:val="en-US" w:eastAsia="zh-CN"/>
                <w14:textFill>
                  <w14:solidFill>
                    <w14:schemeClr w14:val="tx1"/>
                  </w14:solidFill>
                </w14:textFill>
              </w:rPr>
              <w:t>COD</w:t>
            </w:r>
            <w:r>
              <w:rPr>
                <w:rFonts w:hint="default" w:ascii="Times New Roman" w:hAnsi="Times New Roman" w:eastAsia="宋体" w:cs="Times New Roman"/>
                <w:color w:val="000000" w:themeColor="text1"/>
                <w:sz w:val="24"/>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sz w:val="24"/>
                <w:lang w:val="en-US" w:eastAsia="zh-CN"/>
                <w14:textFill>
                  <w14:solidFill>
                    <w14:schemeClr w14:val="tx1"/>
                  </w14:solidFill>
                </w14:textFill>
              </w:rPr>
              <w:t>和SS。</w:t>
            </w:r>
            <w:r>
              <w:rPr>
                <w:rFonts w:hint="default" w:ascii="Times New Roman" w:hAnsi="Times New Roman" w:eastAsia="宋体" w:cs="Times New Roman"/>
                <w:color w:val="000000" w:themeColor="text1"/>
                <w:sz w:val="24"/>
                <w:lang w:eastAsia="zh-CN"/>
                <w14:textFill>
                  <w14:solidFill>
                    <w14:schemeClr w14:val="tx1"/>
                  </w14:solidFill>
                </w14:textFill>
              </w:rPr>
              <w:t>根据项目工艺流程简述及水平衡可知，物料经洗矿和固液分离产生的废水量分别约</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155.75</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d</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342.33</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d</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，则</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项目洗砂废水量约498.08</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/d（洗砂废水回用量约496.08</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/d，2</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/d水以尾泥含水率的形式由尾泥带走）；项目每天工作8小时，</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即本项目洗砂废水产生量约为</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62.26</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/h，项目设置处理能力为90</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/h的洗砂废水循环水处理设施，满足本项目洗砂废水回用处理能力要求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项目生产过程中产生的</w:t>
            </w:r>
            <w:r>
              <w:rPr>
                <w:rFonts w:hint="default" w:ascii="Times New Roman" w:hAnsi="Times New Roman" w:eastAsia="宋体" w:cs="Times New Roman"/>
                <w:color w:val="000000" w:themeColor="text1"/>
                <w:sz w:val="24"/>
                <w:lang w:eastAsia="zh-CN"/>
                <w14:textFill>
                  <w14:solidFill>
                    <w14:schemeClr w14:val="tx1"/>
                  </w14:solidFill>
                </w14:textFill>
              </w:rPr>
              <w:t>尾泥饼、磁尾砂、湿砂因含有一定的水量会带走水量，造成水量损失，因此需要补充新鲜水。根据统计尾泥饼会带走水量约</w:t>
            </w:r>
            <w:r>
              <w:rPr>
                <w:rFonts w:hint="default" w:ascii="Times New Roman" w:hAnsi="Times New Roman" w:eastAsia="宋体" w:cs="Times New Roman"/>
                <w:color w:val="000000" w:themeColor="text1"/>
                <w:sz w:val="24"/>
                <w:lang w:val="en-US" w:eastAsia="zh-CN"/>
                <w14:textFill>
                  <w14:solidFill>
                    <w14:schemeClr w14:val="tx1"/>
                  </w14:solidFill>
                </w14:textFill>
              </w:rPr>
              <w:t>600t/a</w:t>
            </w:r>
            <w:r>
              <w:rPr>
                <w:rFonts w:hint="default" w:ascii="Times New Roman" w:hAnsi="Times New Roman" w:eastAsia="宋体" w:cs="Times New Roman"/>
                <w:color w:val="000000" w:themeColor="text1"/>
                <w:sz w:val="24"/>
                <w:lang w:eastAsia="zh-CN"/>
                <w14:textFill>
                  <w14:solidFill>
                    <w14:schemeClr w14:val="tx1"/>
                  </w14:solidFill>
                </w14:textFill>
              </w:rPr>
              <w:t>、磁尾砂约</w:t>
            </w:r>
            <w:r>
              <w:rPr>
                <w:rFonts w:hint="default" w:ascii="Times New Roman" w:hAnsi="Times New Roman" w:eastAsia="宋体" w:cs="Times New Roman"/>
                <w:color w:val="000000" w:themeColor="text1"/>
                <w:sz w:val="24"/>
                <w:lang w:val="en-US" w:eastAsia="zh-CN"/>
                <w14:textFill>
                  <w14:solidFill>
                    <w14:schemeClr w14:val="tx1"/>
                  </w14:solidFill>
                </w14:textFill>
              </w:rPr>
              <w:t>300t/a</w:t>
            </w:r>
            <w:r>
              <w:rPr>
                <w:rFonts w:hint="default" w:ascii="Times New Roman" w:hAnsi="Times New Roman" w:eastAsia="宋体" w:cs="Times New Roman"/>
                <w:color w:val="000000" w:themeColor="text1"/>
                <w:sz w:val="24"/>
                <w:lang w:eastAsia="zh-CN"/>
                <w14:textFill>
                  <w14:solidFill>
                    <w14:schemeClr w14:val="tx1"/>
                  </w14:solidFill>
                </w14:textFill>
              </w:rPr>
              <w:t>、湿砂约</w:t>
            </w:r>
            <w:r>
              <w:rPr>
                <w:rFonts w:hint="default" w:ascii="Times New Roman" w:hAnsi="Times New Roman" w:eastAsia="宋体" w:cs="Times New Roman"/>
                <w:color w:val="000000" w:themeColor="text1"/>
                <w:sz w:val="24"/>
                <w:lang w:val="en-US" w:eastAsia="zh-CN"/>
                <w14:textFill>
                  <w14:solidFill>
                    <w14:schemeClr w14:val="tx1"/>
                  </w14:solidFill>
                </w14:textFill>
              </w:rPr>
              <w:t>20000t/a</w:t>
            </w:r>
            <w:r>
              <w:rPr>
                <w:rFonts w:hint="default" w:ascii="Times New Roman" w:hAnsi="Times New Roman" w:eastAsia="宋体" w:cs="Times New Roman"/>
                <w:color w:val="000000" w:themeColor="text1"/>
                <w:sz w:val="24"/>
                <w:lang w:eastAsia="zh-CN"/>
                <w14:textFill>
                  <w14:solidFill>
                    <w14:schemeClr w14:val="tx1"/>
                  </w14:solidFill>
                </w14:textFill>
              </w:rPr>
              <w:t>，合计损失水量约为</w:t>
            </w:r>
            <w:r>
              <w:rPr>
                <w:rFonts w:hint="default" w:ascii="Times New Roman" w:hAnsi="Times New Roman" w:eastAsia="宋体" w:cs="Times New Roman"/>
                <w:color w:val="000000" w:themeColor="text1"/>
                <w:sz w:val="24"/>
                <w:lang w:val="en-US" w:eastAsia="zh-CN"/>
                <w14:textFill>
                  <w14:solidFill>
                    <w14:schemeClr w14:val="tx1"/>
                  </w14:solidFill>
                </w14:textFill>
              </w:rPr>
              <w:t>20900t/a，因此需要</w:t>
            </w:r>
            <w:r>
              <w:rPr>
                <w:rFonts w:hint="default" w:ascii="Times New Roman" w:hAnsi="Times New Roman" w:eastAsia="宋体" w:cs="Times New Roman"/>
                <w:color w:val="000000" w:themeColor="text1"/>
                <w:sz w:val="24"/>
                <w:lang w:eastAsia="zh-CN"/>
                <w14:textFill>
                  <w14:solidFill>
                    <w14:schemeClr w14:val="tx1"/>
                  </w14:solidFill>
                </w14:textFill>
              </w:rPr>
              <w:t>补充新鲜水</w:t>
            </w:r>
            <w:r>
              <w:rPr>
                <w:rFonts w:hint="default" w:ascii="Times New Roman" w:hAnsi="Times New Roman" w:eastAsia="宋体" w:cs="Times New Roman"/>
                <w:color w:val="000000" w:themeColor="text1"/>
                <w:sz w:val="24"/>
                <w:lang w:val="en-US" w:eastAsia="zh-CN"/>
                <w14:textFill>
                  <w14:solidFill>
                    <w14:schemeClr w14:val="tx1"/>
                  </w14:solidFill>
                </w14:textFill>
              </w:rPr>
              <w:t>20900t/a。</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建设项目拟将洗砂废水收集后经絮凝沉淀、压滤进行固液分离处理，分离处理产生的水引至清水池待回用，得到的尾泥饼、磁尾砂用作副产品外售做水泥。根据业主提供的资料，项目洗砂用水对水质要求低，絮凝沉淀、压滤分离出来的水均回用到生产过程中用于洗砂。</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lang w:eastAsia="zh-CN"/>
                <w14:textFill>
                  <w14:solidFill>
                    <w14:schemeClr w14:val="tx1"/>
                  </w14:solidFill>
                </w14:textFill>
              </w:rPr>
              <w:t>）生产废水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color w:val="000000" w:themeColor="text1"/>
                <w:kern w:val="0"/>
                <w:sz w:val="24"/>
                <w:szCs w:val="24"/>
                <w:lang w:eastAsia="zh-CN"/>
                <w14:textFill>
                  <w14:solidFill>
                    <w14:schemeClr w14:val="tx1"/>
                  </w14:solidFill>
                </w14:textFill>
              </w:rPr>
            </w:pPr>
            <w:r>
              <w:rPr>
                <w:rFonts w:hint="eastAsia" w:ascii="Times New Roman" w:hAnsi="Times New Roman" w:eastAsia="宋体" w:cs="Times New Roman"/>
                <w:b w:val="0"/>
                <w:bCs/>
                <w:color w:val="000000" w:themeColor="text1"/>
                <w:kern w:val="0"/>
                <w:sz w:val="24"/>
                <w:szCs w:val="24"/>
                <w:lang w:eastAsia="zh-CN"/>
                <w14:textFill>
                  <w14:solidFill>
                    <w14:schemeClr w14:val="tx1"/>
                  </w14:solidFill>
                </w14:textFill>
              </w:rPr>
              <w:t>本项目在酸洗过程中产生的生产废水包括</w:t>
            </w:r>
            <w:r>
              <w:rPr>
                <w:rFonts w:hint="default" w:ascii="Times New Roman" w:hAnsi="Times New Roman" w:eastAsia="宋体" w:cs="Times New Roman"/>
                <w:b w:val="0"/>
                <w:bCs/>
                <w:color w:val="000000" w:themeColor="text1"/>
                <w:kern w:val="0"/>
                <w:sz w:val="24"/>
                <w:szCs w:val="24"/>
                <w14:textFill>
                  <w14:solidFill>
                    <w14:schemeClr w14:val="tx1"/>
                  </w14:solidFill>
                </w14:textFill>
              </w:rPr>
              <w:t>酸洗废水</w:t>
            </w:r>
            <w:r>
              <w:rPr>
                <w:rFonts w:hint="eastAsia" w:ascii="Times New Roman" w:hAnsi="Times New Roman" w:cs="Times New Roman"/>
                <w:b w:val="0"/>
                <w:bCs/>
                <w:color w:val="000000" w:themeColor="text1"/>
                <w:kern w:val="0"/>
                <w:sz w:val="24"/>
                <w:szCs w:val="24"/>
                <w:lang w:eastAsia="zh-CN"/>
                <w14:textFill>
                  <w14:solidFill>
                    <w14:schemeClr w14:val="tx1"/>
                  </w14:solidFill>
                </w14:textFill>
              </w:rPr>
              <w:t>和清洗废水。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4"/>
                <w:szCs w:val="24"/>
                <w14:textFill>
                  <w14:solidFill>
                    <w14:schemeClr w14:val="tx1"/>
                  </w14:solidFill>
                </w14:textFill>
              </w:rPr>
              <w:t>①草酸酸洗废水：</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酸洗废水重新进入</w:t>
            </w:r>
            <w:r>
              <w:rPr>
                <w:rFonts w:hint="default" w:ascii="Times New Roman" w:hAnsi="Times New Roman" w:eastAsia="宋体" w:cs="Times New Roman"/>
                <w:bCs/>
                <w:color w:val="000000" w:themeColor="text1"/>
                <w:kern w:val="0"/>
                <w:sz w:val="24"/>
                <w:szCs w:val="24"/>
                <w14:textFill>
                  <w14:solidFill>
                    <w14:schemeClr w14:val="tx1"/>
                  </w14:solidFill>
                </w14:textFill>
              </w:rPr>
              <w:t>循环酸桶</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中，</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该过程会产生酸洗废水。</w:t>
            </w:r>
            <w:r>
              <w:rPr>
                <w:rFonts w:hint="default" w:ascii="Times New Roman" w:hAnsi="Times New Roman" w:eastAsia="宋体" w:cs="Times New Roman"/>
                <w:bCs/>
                <w:color w:val="000000" w:themeColor="text1"/>
                <w:kern w:val="0"/>
                <w:sz w:val="24"/>
                <w:szCs w:val="24"/>
                <w14:textFill>
                  <w14:solidFill>
                    <w14:schemeClr w14:val="tx1"/>
                  </w14:solidFill>
                </w14:textFill>
              </w:rPr>
              <w:t>根据建设单位提供资料，每吨石英砂需要</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4"/>
                <w:szCs w:val="24"/>
                <w14:textFill>
                  <w14:solidFill>
                    <w14:schemeClr w14:val="tx1"/>
                  </w14:solidFill>
                </w14:textFill>
              </w:rPr>
              <w:t>.</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6</w:t>
            </w:r>
            <w:r>
              <w:rPr>
                <w:rFonts w:hint="default" w:ascii="Times New Roman" w:hAnsi="Times New Roman" w:eastAsia="宋体" w:cs="Times New Roman"/>
                <w:bCs/>
                <w:color w:val="000000" w:themeColor="text1"/>
                <w:kern w:val="0"/>
                <w:sz w:val="24"/>
                <w:szCs w:val="24"/>
                <w14:textFill>
                  <w14:solidFill>
                    <w14:schemeClr w14:val="tx1"/>
                  </w14:solidFill>
                </w14:textFill>
              </w:rPr>
              <w:t>kg草酸晶体，1kg的草酸晶体</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可</w:t>
            </w:r>
            <w:r>
              <w:rPr>
                <w:rFonts w:hint="default" w:ascii="Times New Roman" w:hAnsi="Times New Roman" w:eastAsia="宋体" w:cs="Times New Roman"/>
                <w:bCs/>
                <w:color w:val="000000" w:themeColor="text1"/>
                <w:kern w:val="0"/>
                <w:sz w:val="24"/>
                <w:szCs w:val="24"/>
                <w14:textFill>
                  <w14:solidFill>
                    <w14:schemeClr w14:val="tx1"/>
                  </w14:solidFill>
                </w14:textFill>
              </w:rPr>
              <w:t>兑</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成草酸溶液</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4"/>
                <w:szCs w:val="24"/>
                <w14:textFill>
                  <w14:solidFill>
                    <w14:schemeClr w14:val="tx1"/>
                  </w14:solidFill>
                </w14:textFill>
              </w:rPr>
              <w:t>0kg用于配置酸洗罐的浸泡酸液，经计算本项目配</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制</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1000</w:t>
            </w:r>
            <w:r>
              <w:rPr>
                <w:rFonts w:hint="default" w:ascii="Times New Roman" w:hAnsi="Times New Roman" w:eastAsia="宋体" w:cs="Times New Roman"/>
                <w:bCs/>
                <w:color w:val="000000" w:themeColor="text1"/>
                <w:kern w:val="0"/>
                <w:sz w:val="24"/>
                <w:szCs w:val="24"/>
                <w14:textFill>
                  <w14:solidFill>
                    <w14:schemeClr w14:val="tx1"/>
                  </w14:solidFill>
                </w14:textFill>
              </w:rPr>
              <w:t>t/a</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草酸溶液</w:t>
            </w:r>
            <w:r>
              <w:rPr>
                <w:rFonts w:hint="default" w:ascii="Times New Roman" w:hAnsi="Times New Roman" w:eastAsia="宋体" w:cs="Times New Roman"/>
                <w:bCs/>
                <w:color w:val="000000" w:themeColor="text1"/>
                <w:kern w:val="0"/>
                <w:sz w:val="24"/>
                <w:szCs w:val="24"/>
                <w14:textFill>
                  <w14:solidFill>
                    <w14:schemeClr w14:val="tx1"/>
                  </w14:solidFill>
                </w14:textFill>
              </w:rPr>
              <w:t>所需要的水量为</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90</w:t>
            </w:r>
            <w:r>
              <w:rPr>
                <w:rFonts w:hint="default" w:ascii="Times New Roman" w:hAnsi="Times New Roman" w:eastAsia="宋体" w:cs="Times New Roman"/>
                <w:bCs/>
                <w:color w:val="000000" w:themeColor="text1"/>
                <w:kern w:val="0"/>
                <w:sz w:val="24"/>
                <w:szCs w:val="24"/>
                <w14:textFill>
                  <w14:solidFill>
                    <w14:schemeClr w14:val="tx1"/>
                  </w14:solidFill>
                </w14:textFill>
              </w:rPr>
              <w:t>0吨，</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项目</w:t>
            </w:r>
            <w:r>
              <w:rPr>
                <w:rFonts w:hint="default" w:ascii="Times New Roman" w:hAnsi="Times New Roman" w:eastAsia="宋体" w:cs="Times New Roman"/>
                <w:bCs/>
                <w:color w:val="000000" w:themeColor="text1"/>
                <w:kern w:val="0"/>
                <w:sz w:val="24"/>
                <w:szCs w:val="24"/>
                <w14:textFill>
                  <w14:solidFill>
                    <w14:schemeClr w14:val="tx1"/>
                  </w14:solidFill>
                </w14:textFill>
              </w:rPr>
              <w:t>产生的酸洗废水量约</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900</w:t>
            </w:r>
            <w:r>
              <w:rPr>
                <w:rFonts w:hint="default" w:ascii="Times New Roman" w:hAnsi="Times New Roman" w:eastAsia="宋体" w:cs="Times New Roman"/>
                <w:bCs/>
                <w:color w:val="000000" w:themeColor="text1"/>
                <w:kern w:val="0"/>
                <w:sz w:val="24"/>
                <w:szCs w:val="24"/>
                <w14:textFill>
                  <w14:solidFill>
                    <w14:schemeClr w14:val="tx1"/>
                  </w14:solidFill>
                </w14:textFill>
              </w:rPr>
              <w:t>t/a</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，酸洗废水，</w:t>
            </w:r>
            <w:r>
              <w:rPr>
                <w:rFonts w:hint="default" w:ascii="Times New Roman" w:hAnsi="Times New Roman" w:eastAsia="宋体" w:cs="Times New Roman"/>
                <w:bCs/>
                <w:color w:val="000000" w:themeColor="text1"/>
                <w:kern w:val="0"/>
                <w:sz w:val="24"/>
                <w:szCs w:val="24"/>
                <w14:textFill>
                  <w14:solidFill>
                    <w14:schemeClr w14:val="tx1"/>
                  </w14:solidFill>
                </w14:textFill>
              </w:rPr>
              <w:t>循环使用3次后排入</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生产</w:t>
            </w:r>
            <w:r>
              <w:rPr>
                <w:rFonts w:hint="default" w:ascii="Times New Roman" w:hAnsi="Times New Roman" w:eastAsia="宋体" w:cs="Times New Roman"/>
                <w:bCs/>
                <w:color w:val="000000" w:themeColor="text1"/>
                <w:kern w:val="0"/>
                <w:sz w:val="24"/>
                <w:szCs w:val="24"/>
                <w14:textFill>
                  <w14:solidFill>
                    <w14:schemeClr w14:val="tx1"/>
                  </w14:solidFill>
                </w14:textFill>
              </w:rPr>
              <w:t>废水处理设施进行处理</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val="0"/>
                <w:color w:val="000000" w:themeColor="text1"/>
                <w:kern w:val="0"/>
                <w:sz w:val="24"/>
                <w:szCs w:val="24"/>
                <w14:textFill>
                  <w14:solidFill>
                    <w14:schemeClr w14:val="tx1"/>
                  </w14:solidFill>
                </w14:textFill>
              </w:rPr>
              <w:t>②清洗废水：</w:t>
            </w:r>
            <w:r>
              <w:rPr>
                <w:rFonts w:hint="default" w:ascii="Times New Roman" w:hAnsi="Times New Roman" w:eastAsia="宋体" w:cs="Times New Roman"/>
                <w:bCs/>
                <w:color w:val="000000" w:themeColor="text1"/>
                <w:kern w:val="0"/>
                <w:sz w:val="24"/>
                <w:szCs w:val="24"/>
                <w14:textFill>
                  <w14:solidFill>
                    <w14:schemeClr w14:val="tx1"/>
                  </w14:solidFill>
                </w14:textFill>
              </w:rPr>
              <w:t>本项目在酸洗反应完后，对石英砂进行水洗脱酸。根据建设单位提供的资料，每吨石英砂需要</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0.5</w:t>
            </w:r>
            <w:r>
              <w:rPr>
                <w:rFonts w:hint="default" w:ascii="Times New Roman" w:hAnsi="Times New Roman" w:eastAsia="宋体" w:cs="Times New Roman"/>
                <w:bCs/>
                <w:color w:val="000000" w:themeColor="text1"/>
                <w:kern w:val="0"/>
                <w:sz w:val="24"/>
                <w:szCs w:val="24"/>
                <w14:textFill>
                  <w14:solidFill>
                    <w14:schemeClr w14:val="tx1"/>
                  </w14:solidFill>
                </w14:textFill>
              </w:rPr>
              <w:t>吨水清洗</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（第一次约为</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0.2吨，第二次约为0.3吨</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14:textFill>
                  <w14:solidFill>
                    <w14:schemeClr w14:val="tx1"/>
                  </w14:solidFill>
                </w14:textFill>
              </w:rPr>
              <w:t>，则清洗用水量为</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3</w:t>
            </w:r>
            <w:r>
              <w:rPr>
                <w:rFonts w:hint="default" w:ascii="Times New Roman" w:hAnsi="Times New Roman" w:eastAsia="宋体" w:cs="Times New Roman"/>
                <w:bCs/>
                <w:color w:val="000000" w:themeColor="text1"/>
                <w:kern w:val="0"/>
                <w:sz w:val="24"/>
                <w:szCs w:val="24"/>
                <w14:textFill>
                  <w14:solidFill>
                    <w14:schemeClr w14:val="tx1"/>
                  </w14:solidFill>
                </w14:textFill>
              </w:rPr>
              <w:t>0000t/a，排污系数按</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90</w:t>
            </w:r>
            <w:r>
              <w:rPr>
                <w:rFonts w:hint="default" w:ascii="Times New Roman" w:hAnsi="Times New Roman" w:eastAsia="宋体" w:cs="Times New Roman"/>
                <w:bCs/>
                <w:color w:val="000000" w:themeColor="text1"/>
                <w:kern w:val="0"/>
                <w:sz w:val="24"/>
                <w:szCs w:val="24"/>
                <w14:textFill>
                  <w14:solidFill>
                    <w14:schemeClr w14:val="tx1"/>
                  </w14:solidFill>
                </w14:textFill>
              </w:rPr>
              <w:t>%计算，则产生清洗废水量约</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27000</w:t>
            </w:r>
            <w:r>
              <w:rPr>
                <w:rFonts w:hint="default" w:ascii="Times New Roman" w:hAnsi="Times New Roman" w:eastAsia="宋体" w:cs="Times New Roman"/>
                <w:bCs/>
                <w:color w:val="000000" w:themeColor="text1"/>
                <w:kern w:val="0"/>
                <w:sz w:val="24"/>
                <w:szCs w:val="24"/>
                <w14:textFill>
                  <w14:solidFill>
                    <w14:schemeClr w14:val="tx1"/>
                  </w14:solidFill>
                </w14:textFill>
              </w:rPr>
              <w:t>t/a。</w:t>
            </w:r>
          </w:p>
          <w:p>
            <w:pPr>
              <w:spacing w:line="360" w:lineRule="auto"/>
              <w:ind w:firstLine="480" w:firstLineChars="200"/>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eastAsia" w:ascii="Times New Roman" w:hAnsi="Times New Roman" w:eastAsia="宋体" w:cs="Times New Roman"/>
                <w:bCs/>
                <w:color w:val="000000" w:themeColor="text1"/>
                <w:kern w:val="0"/>
                <w:sz w:val="24"/>
                <w:szCs w:val="24"/>
                <w:lang w:eastAsia="zh-CN"/>
                <w14:textFill>
                  <w14:solidFill>
                    <w14:schemeClr w14:val="tx1"/>
                  </w14:solidFill>
                </w14:textFill>
              </w:rPr>
              <w:t>综上，</w:t>
            </w:r>
            <w:r>
              <w:rPr>
                <w:rFonts w:hint="default" w:ascii="Times New Roman" w:hAnsi="Times New Roman" w:eastAsia="宋体" w:cs="Times New Roman"/>
                <w:bCs/>
                <w:color w:val="000000" w:themeColor="text1"/>
                <w:kern w:val="0"/>
                <w:sz w:val="24"/>
                <w:szCs w:val="24"/>
                <w14:textFill>
                  <w14:solidFill>
                    <w14:schemeClr w14:val="tx1"/>
                  </w14:solidFill>
                </w14:textFill>
              </w:rPr>
              <w:t>项目生产废水产生量为</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27900</w:t>
            </w:r>
            <w:r>
              <w:rPr>
                <w:rFonts w:hint="default" w:ascii="Times New Roman" w:hAnsi="Times New Roman" w:eastAsia="宋体" w:cs="Times New Roman"/>
                <w:bCs/>
                <w:color w:val="000000" w:themeColor="text1"/>
                <w:kern w:val="0"/>
                <w:sz w:val="24"/>
                <w:szCs w:val="24"/>
                <w14:textFill>
                  <w14:solidFill>
                    <w14:schemeClr w14:val="tx1"/>
                  </w14:solidFill>
                </w14:textFill>
              </w:rPr>
              <w:t>t/a，其水质情况为pH值3~4：SS 300mg/L，CODcr</w:t>
            </w:r>
            <w:r>
              <w:rPr>
                <w:rFonts w:hint="eastAsia" w:ascii="Times New Roman" w:hAnsi="Times New Roman" w:eastAsia="宋体" w:cs="Times New Roman"/>
                <w:bCs/>
                <w:color w:val="000000" w:themeColor="text1"/>
                <w:kern w:val="0"/>
                <w:sz w:val="24"/>
                <w:szCs w:val="24"/>
                <w:lang w:val="en-US" w:eastAsia="zh-CN"/>
                <w14:textFill>
                  <w14:solidFill>
                    <w14:schemeClr w14:val="tx1"/>
                  </w14:solidFill>
                </w14:textFill>
              </w:rPr>
              <w:t>12</w:t>
            </w:r>
            <w:r>
              <w:rPr>
                <w:rFonts w:hint="default" w:ascii="Times New Roman" w:hAnsi="Times New Roman" w:eastAsia="宋体" w:cs="Times New Roman"/>
                <w:bCs/>
                <w:color w:val="000000" w:themeColor="text1"/>
                <w:kern w:val="0"/>
                <w:sz w:val="24"/>
                <w:szCs w:val="24"/>
                <w14:textFill>
                  <w14:solidFill>
                    <w14:schemeClr w14:val="tx1"/>
                  </w14:solidFill>
                </w14:textFill>
              </w:rPr>
              <w:t>0mg/L，生产废水经中和沉淀处理达到《广东省水污染物排放限值》(DB44/26-2001)第二时段一级标准后，</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4"/>
                <w:szCs w:val="24"/>
                <w14:textFill>
                  <w14:solidFill>
                    <w14:schemeClr w14:val="tx1"/>
                  </w14:solidFill>
                </w14:textFill>
              </w:rPr>
              <w:t>0%</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的生产废水（</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2790t/a</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14:textFill>
                  <w14:solidFill>
                    <w14:schemeClr w14:val="tx1"/>
                  </w14:solidFill>
                </w14:textFill>
              </w:rPr>
              <w:t>处理达标后的废水经厂区排污管网排入潖江，</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9</w:t>
            </w:r>
            <w:r>
              <w:rPr>
                <w:rFonts w:hint="default" w:ascii="Times New Roman" w:hAnsi="Times New Roman" w:eastAsia="宋体" w:cs="Times New Roman"/>
                <w:bCs/>
                <w:color w:val="000000" w:themeColor="text1"/>
                <w:kern w:val="0"/>
                <w:sz w:val="24"/>
                <w:szCs w:val="24"/>
                <w14:textFill>
                  <w14:solidFill>
                    <w14:schemeClr w14:val="tx1"/>
                  </w14:solidFill>
                </w14:textFill>
              </w:rPr>
              <w:t>0%</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的生产废水（</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25110t/a</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14:textFill>
                  <w14:solidFill>
                    <w14:schemeClr w14:val="tx1"/>
                  </w14:solidFill>
                </w14:textFill>
              </w:rPr>
              <w:t>处理后的废水</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再次</w:t>
            </w:r>
            <w:r>
              <w:rPr>
                <w:rFonts w:hint="default" w:ascii="Times New Roman" w:hAnsi="Times New Roman" w:eastAsia="宋体" w:cs="Times New Roman"/>
                <w:bCs/>
                <w:color w:val="000000" w:themeColor="text1"/>
                <w:kern w:val="0"/>
                <w:sz w:val="24"/>
                <w:szCs w:val="24"/>
                <w14:textFill>
                  <w14:solidFill>
                    <w14:schemeClr w14:val="tx1"/>
                  </w14:solidFill>
                </w14:textFill>
              </w:rPr>
              <w:t>回用于生产。</w:t>
            </w:r>
          </w:p>
          <w:p>
            <w:pPr>
              <w:jc w:val="center"/>
              <w:rPr>
                <w:rFonts w:hint="default" w:ascii="Times New Roman" w:hAnsi="Times New Roman" w:eastAsia="宋体" w:cs="Times New Roman"/>
                <w:b/>
                <w:bCs w:val="0"/>
                <w:color w:val="000000" w:themeColor="text1"/>
                <w:kern w:val="0"/>
                <w:sz w:val="24"/>
                <w:szCs w:val="24"/>
                <w14:textFill>
                  <w14:solidFill>
                    <w14:schemeClr w14:val="tx1"/>
                  </w14:solidFill>
                </w14:textFill>
              </w:rPr>
            </w:pPr>
            <w:r>
              <w:rPr>
                <w:rFonts w:hint="default" w:ascii="Times New Roman" w:hAnsi="Times New Roman" w:eastAsia="宋体" w:cs="Times New Roman"/>
                <w:b/>
                <w:bCs w:val="0"/>
                <w:color w:val="000000" w:themeColor="text1"/>
                <w:kern w:val="0"/>
                <w:sz w:val="24"/>
                <w:szCs w:val="24"/>
                <w14:textFill>
                  <w14:solidFill>
                    <w14:schemeClr w14:val="tx1"/>
                  </w14:solidFill>
                </w14:textFill>
              </w:rPr>
              <w:t>表6.2-</w:t>
            </w:r>
            <w:r>
              <w:rPr>
                <w:rFonts w:hint="eastAsia" w:ascii="Times New Roman" w:hAnsi="Times New Roman" w:eastAsia="宋体" w:cs="Times New Roman"/>
                <w:b/>
                <w:bCs w:val="0"/>
                <w:color w:val="000000" w:themeColor="text1"/>
                <w:kern w:val="0"/>
                <w:sz w:val="24"/>
                <w:szCs w:val="24"/>
                <w:lang w:val="en-US" w:eastAsia="zh-CN"/>
                <w14:textFill>
                  <w14:solidFill>
                    <w14:schemeClr w14:val="tx1"/>
                  </w14:solidFill>
                </w14:textFill>
              </w:rPr>
              <w:t>7</w:t>
            </w:r>
            <w:r>
              <w:rPr>
                <w:rFonts w:hint="default" w:ascii="Times New Roman" w:hAnsi="Times New Roman" w:eastAsia="宋体" w:cs="Times New Roman"/>
                <w:b/>
                <w:bCs w:val="0"/>
                <w:color w:val="000000" w:themeColor="text1"/>
                <w:kern w:val="0"/>
                <w:sz w:val="24"/>
                <w:szCs w:val="24"/>
                <w14:textFill>
                  <w14:solidFill>
                    <w14:schemeClr w14:val="tx1"/>
                  </w14:solidFill>
                </w14:textFill>
              </w:rPr>
              <w:t xml:space="preserve">  项目生产废水产排情况</w:t>
            </w:r>
          </w:p>
          <w:tbl>
            <w:tblPr>
              <w:tblStyle w:val="26"/>
              <w:tblW w:w="906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1235"/>
              <w:gridCol w:w="1200"/>
              <w:gridCol w:w="1465"/>
              <w:gridCol w:w="1350"/>
              <w:gridCol w:w="1304"/>
              <w:gridCol w:w="13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374" w:type="dxa"/>
                  <w:gridSpan w:val="2"/>
                  <w:noWrap w:val="0"/>
                  <w:vAlign w:val="center"/>
                </w:tcPr>
                <w:p>
                  <w:pPr>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废水</w:t>
                  </w:r>
                  <w:r>
                    <w:rPr>
                      <w:rFonts w:hint="default" w:ascii="Times New Roman" w:hAnsi="Times New Roman" w:eastAsia="宋体" w:cs="Times New Roman"/>
                      <w:b/>
                      <w:bCs w:val="0"/>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b/>
                      <w:bCs w:val="0"/>
                      <w:color w:val="000000" w:themeColor="text1"/>
                      <w:kern w:val="0"/>
                      <w:sz w:val="21"/>
                      <w:szCs w:val="21"/>
                      <w:lang w:val="en-US" w:eastAsia="zh-CN"/>
                      <w14:textFill>
                        <w14:solidFill>
                          <w14:schemeClr w14:val="tx1"/>
                        </w14:solidFill>
                      </w14:textFill>
                    </w:rPr>
                    <w:t>t</w:t>
                  </w:r>
                  <w:r>
                    <w:rPr>
                      <w:rFonts w:hint="default" w:ascii="Times New Roman" w:hAnsi="Times New Roman" w:eastAsia="宋体" w:cs="Times New Roman"/>
                      <w:b/>
                      <w:bCs w:val="0"/>
                      <w:color w:val="000000" w:themeColor="text1"/>
                      <w:kern w:val="0"/>
                      <w:sz w:val="21"/>
                      <w:szCs w:val="21"/>
                      <w14:textFill>
                        <w14:solidFill>
                          <w14:schemeClr w14:val="tx1"/>
                        </w14:solidFill>
                      </w14:textFill>
                    </w:rPr>
                    <w:t>/a</w:t>
                  </w:r>
                  <w:r>
                    <w:rPr>
                      <w:rFonts w:hint="default" w:ascii="Times New Roman" w:hAnsi="Times New Roman" w:eastAsia="宋体" w:cs="Times New Roman"/>
                      <w:b/>
                      <w:bCs w:val="0"/>
                      <w:color w:val="000000" w:themeColor="text1"/>
                      <w:kern w:val="0"/>
                      <w:sz w:val="21"/>
                      <w:szCs w:val="21"/>
                      <w:lang w:eastAsia="zh-CN"/>
                      <w14:textFill>
                        <w14:solidFill>
                          <w14:schemeClr w14:val="tx1"/>
                        </w14:solidFill>
                      </w14:textFill>
                    </w:rPr>
                    <w:t>）</w:t>
                  </w:r>
                </w:p>
              </w:tc>
              <w:tc>
                <w:tcPr>
                  <w:tcW w:w="1200" w:type="dxa"/>
                  <w:vMerge w:val="restart"/>
                  <w:noWrap w:val="0"/>
                  <w:vAlign w:val="center"/>
                </w:tcPr>
                <w:p>
                  <w:pPr>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名称</w:t>
                  </w:r>
                </w:p>
              </w:tc>
              <w:tc>
                <w:tcPr>
                  <w:tcW w:w="1465" w:type="dxa"/>
                  <w:vMerge w:val="restart"/>
                  <w:noWrap w:val="0"/>
                  <w:vAlign w:val="center"/>
                </w:tcPr>
                <w:p>
                  <w:pPr>
                    <w:adjustRightInd w:val="0"/>
                    <w:snapToGrid w:val="0"/>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产生浓度</w:t>
                  </w:r>
                </w:p>
              </w:tc>
              <w:tc>
                <w:tcPr>
                  <w:tcW w:w="1350" w:type="dxa"/>
                  <w:vMerge w:val="restart"/>
                  <w:noWrap w:val="0"/>
                  <w:vAlign w:val="center"/>
                </w:tcPr>
                <w:p>
                  <w:pPr>
                    <w:adjustRightInd w:val="0"/>
                    <w:snapToGrid w:val="0"/>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产生量(t/a)</w:t>
                  </w:r>
                </w:p>
              </w:tc>
              <w:tc>
                <w:tcPr>
                  <w:tcW w:w="1304" w:type="dxa"/>
                  <w:vMerge w:val="restart"/>
                  <w:noWrap w:val="0"/>
                  <w:vAlign w:val="center"/>
                </w:tcPr>
                <w:p>
                  <w:pPr>
                    <w:adjustRightInd w:val="0"/>
                    <w:snapToGrid w:val="0"/>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排放浓度</w:t>
                  </w:r>
                </w:p>
              </w:tc>
              <w:tc>
                <w:tcPr>
                  <w:tcW w:w="1369" w:type="dxa"/>
                  <w:vMerge w:val="restart"/>
                  <w:noWrap w:val="0"/>
                  <w:vAlign w:val="center"/>
                </w:tcPr>
                <w:p>
                  <w:pPr>
                    <w:adjustRightInd w:val="0"/>
                    <w:snapToGrid w:val="0"/>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14:textFill>
                        <w14:solidFill>
                          <w14:schemeClr w14:val="tx1"/>
                        </w14:solidFill>
                      </w14:textFill>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1139" w:type="dxa"/>
                  <w:noWrap w:val="0"/>
                  <w:vAlign w:val="center"/>
                </w:tcPr>
                <w:p>
                  <w:pPr>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r>
                    <w:rPr>
                      <w:rFonts w:hint="default" w:ascii="Times New Roman" w:hAnsi="Times New Roman" w:eastAsia="宋体" w:cs="Times New Roman"/>
                      <w:b/>
                      <w:bCs w:val="0"/>
                      <w:color w:val="000000" w:themeColor="text1"/>
                      <w:kern w:val="0"/>
                      <w:sz w:val="21"/>
                      <w:szCs w:val="21"/>
                      <w:lang w:eastAsia="zh-CN"/>
                      <w14:textFill>
                        <w14:solidFill>
                          <w14:schemeClr w14:val="tx1"/>
                        </w14:solidFill>
                      </w14:textFill>
                    </w:rPr>
                    <w:t>产生量</w:t>
                  </w:r>
                </w:p>
              </w:tc>
              <w:tc>
                <w:tcPr>
                  <w:tcW w:w="1235" w:type="dxa"/>
                  <w:noWrap w:val="0"/>
                  <w:vAlign w:val="center"/>
                </w:tcPr>
                <w:p>
                  <w:pPr>
                    <w:jc w:val="center"/>
                    <w:rPr>
                      <w:rFonts w:hint="default" w:ascii="Times New Roman" w:hAnsi="Times New Roman" w:eastAsia="宋体" w:cs="Times New Roman"/>
                      <w:b/>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lang w:eastAsia="zh-CN"/>
                      <w14:textFill>
                        <w14:solidFill>
                          <w14:schemeClr w14:val="tx1"/>
                        </w14:solidFill>
                      </w14:textFill>
                    </w:rPr>
                    <w:t>排放量</w:t>
                  </w:r>
                </w:p>
              </w:tc>
              <w:tc>
                <w:tcPr>
                  <w:tcW w:w="1200" w:type="dxa"/>
                  <w:vMerge w:val="continue"/>
                  <w:noWrap w:val="0"/>
                  <w:vAlign w:val="center"/>
                </w:tcPr>
                <w:p>
                  <w:pPr>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p>
              </w:tc>
              <w:tc>
                <w:tcPr>
                  <w:tcW w:w="1465" w:type="dxa"/>
                  <w:vMerge w:val="continue"/>
                  <w:noWrap w:val="0"/>
                  <w:vAlign w:val="center"/>
                </w:tcPr>
                <w:p>
                  <w:pPr>
                    <w:adjustRightInd w:val="0"/>
                    <w:snapToGrid w:val="0"/>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p>
              </w:tc>
              <w:tc>
                <w:tcPr>
                  <w:tcW w:w="1350" w:type="dxa"/>
                  <w:vMerge w:val="continue"/>
                  <w:noWrap w:val="0"/>
                  <w:vAlign w:val="center"/>
                </w:tcPr>
                <w:p>
                  <w:pPr>
                    <w:adjustRightInd w:val="0"/>
                    <w:snapToGrid w:val="0"/>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p>
              </w:tc>
              <w:tc>
                <w:tcPr>
                  <w:tcW w:w="1304" w:type="dxa"/>
                  <w:vMerge w:val="continue"/>
                  <w:noWrap w:val="0"/>
                  <w:vAlign w:val="center"/>
                </w:tcPr>
                <w:p>
                  <w:pPr>
                    <w:adjustRightInd w:val="0"/>
                    <w:snapToGrid w:val="0"/>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p>
              </w:tc>
              <w:tc>
                <w:tcPr>
                  <w:tcW w:w="1369" w:type="dxa"/>
                  <w:vMerge w:val="continue"/>
                  <w:noWrap w:val="0"/>
                  <w:vAlign w:val="center"/>
                </w:tcPr>
                <w:p>
                  <w:pPr>
                    <w:adjustRightInd w:val="0"/>
                    <w:snapToGrid w:val="0"/>
                    <w:jc w:val="center"/>
                    <w:rPr>
                      <w:rFonts w:hint="default" w:ascii="Times New Roman" w:hAnsi="Times New Roman" w:eastAsia="宋体" w:cs="Times New Roman"/>
                      <w:b/>
                      <w:bCs w:val="0"/>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139" w:type="dxa"/>
                  <w:vMerge w:val="restart"/>
                  <w:noWrap w:val="0"/>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27900</w:t>
                  </w:r>
                </w:p>
              </w:tc>
              <w:tc>
                <w:tcPr>
                  <w:tcW w:w="1235" w:type="dxa"/>
                  <w:vMerge w:val="restart"/>
                  <w:noWrap w:val="0"/>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2790</w:t>
                  </w:r>
                </w:p>
              </w:tc>
              <w:tc>
                <w:tcPr>
                  <w:tcW w:w="1200" w:type="dxa"/>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pH</w:t>
                  </w:r>
                </w:p>
              </w:tc>
              <w:tc>
                <w:tcPr>
                  <w:tcW w:w="1465" w:type="dxa"/>
                  <w:noWrap w:val="0"/>
                  <w:vAlign w:val="center"/>
                </w:tcPr>
                <w:p>
                  <w:pPr>
                    <w:pStyle w:val="92"/>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3~4</w:t>
                  </w:r>
                </w:p>
              </w:tc>
              <w:tc>
                <w:tcPr>
                  <w:tcW w:w="1350"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w:t>
                  </w:r>
                </w:p>
              </w:tc>
              <w:tc>
                <w:tcPr>
                  <w:tcW w:w="1304"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6~9</w:t>
                  </w:r>
                </w:p>
              </w:tc>
              <w:tc>
                <w:tcPr>
                  <w:tcW w:w="1369" w:type="dxa"/>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139" w:type="dxa"/>
                  <w:vMerge w:val="continue"/>
                  <w:noWrap w:val="0"/>
                  <w:vAlign w:val="center"/>
                </w:tcPr>
                <w:p>
                  <w:pPr>
                    <w:jc w:val="center"/>
                    <w:rPr>
                      <w:rFonts w:hint="default" w:ascii="Times New Roman" w:hAnsi="Times New Roman" w:eastAsia="宋体" w:cs="Times New Roman"/>
                      <w:bCs/>
                      <w:color w:val="000000" w:themeColor="text1"/>
                      <w:kern w:val="0"/>
                      <w:sz w:val="21"/>
                      <w:szCs w:val="21"/>
                      <w:highlight w:val="yellow"/>
                      <w14:textFill>
                        <w14:solidFill>
                          <w14:schemeClr w14:val="tx1"/>
                        </w14:solidFill>
                      </w14:textFill>
                    </w:rPr>
                  </w:pPr>
                </w:p>
              </w:tc>
              <w:tc>
                <w:tcPr>
                  <w:tcW w:w="1235" w:type="dxa"/>
                  <w:vMerge w:val="continue"/>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1200" w:type="dxa"/>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SS</w:t>
                  </w:r>
                </w:p>
              </w:tc>
              <w:tc>
                <w:tcPr>
                  <w:tcW w:w="1465" w:type="dxa"/>
                  <w:noWrap w:val="0"/>
                  <w:vAlign w:val="center"/>
                </w:tcPr>
                <w:p>
                  <w:pPr>
                    <w:pStyle w:val="92"/>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300mg/L</w:t>
                  </w:r>
                </w:p>
              </w:tc>
              <w:tc>
                <w:tcPr>
                  <w:tcW w:w="1350"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8.37</w:t>
                  </w:r>
                </w:p>
              </w:tc>
              <w:tc>
                <w:tcPr>
                  <w:tcW w:w="1304"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60mg/L</w:t>
                  </w:r>
                </w:p>
              </w:tc>
              <w:tc>
                <w:tcPr>
                  <w:tcW w:w="1369"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139" w:type="dxa"/>
                  <w:vMerge w:val="continue"/>
                  <w:noWrap w:val="0"/>
                  <w:vAlign w:val="center"/>
                </w:tcPr>
                <w:p>
                  <w:pPr>
                    <w:jc w:val="center"/>
                    <w:rPr>
                      <w:rFonts w:hint="default" w:ascii="Times New Roman" w:hAnsi="Times New Roman" w:eastAsia="宋体" w:cs="Times New Roman"/>
                      <w:bCs/>
                      <w:color w:val="000000" w:themeColor="text1"/>
                      <w:kern w:val="0"/>
                      <w:sz w:val="21"/>
                      <w:szCs w:val="21"/>
                      <w:highlight w:val="yellow"/>
                      <w14:textFill>
                        <w14:solidFill>
                          <w14:schemeClr w14:val="tx1"/>
                        </w14:solidFill>
                      </w14:textFill>
                    </w:rPr>
                  </w:pPr>
                </w:p>
              </w:tc>
              <w:tc>
                <w:tcPr>
                  <w:tcW w:w="1235" w:type="dxa"/>
                  <w:vMerge w:val="continue"/>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1200" w:type="dxa"/>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CODcr</w:t>
                  </w:r>
                </w:p>
              </w:tc>
              <w:tc>
                <w:tcPr>
                  <w:tcW w:w="1465" w:type="dxa"/>
                  <w:noWrap w:val="0"/>
                  <w:vAlign w:val="center"/>
                </w:tcPr>
                <w:p>
                  <w:pPr>
                    <w:pStyle w:val="92"/>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120mg/L</w:t>
                  </w:r>
                </w:p>
              </w:tc>
              <w:tc>
                <w:tcPr>
                  <w:tcW w:w="1350"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3.348</w:t>
                  </w:r>
                </w:p>
              </w:tc>
              <w:tc>
                <w:tcPr>
                  <w:tcW w:w="1304"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90mg/L</w:t>
                  </w:r>
                </w:p>
              </w:tc>
              <w:tc>
                <w:tcPr>
                  <w:tcW w:w="1369"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0.251</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caps w:val="0"/>
                <w:color w:val="000000" w:themeColor="text1"/>
                <w:sz w:val="24"/>
                <w:szCs w:val="24"/>
                <w:highlight w:val="none"/>
                <w:lang w:eastAsia="zh-CN"/>
                <w14:textFill>
                  <w14:solidFill>
                    <w14:schemeClr w14:val="tx1"/>
                  </w14:solidFill>
                </w14:textFill>
              </w:rPr>
              <w:t>除尘</w:t>
            </w:r>
            <w:r>
              <w:rPr>
                <w:rFonts w:hint="eastAsia" w:cs="Times New Roman"/>
                <w:b/>
                <w:bCs/>
                <w:caps w:val="0"/>
                <w:color w:val="000000" w:themeColor="text1"/>
                <w:sz w:val="24"/>
                <w:szCs w:val="24"/>
                <w:highlight w:val="none"/>
                <w:lang w:eastAsia="zh-CN"/>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采用“</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旋风除尘+麻石水膜除尘</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”除尘设施处理烘干、筛分粉尘，项目除尘设施喷淋水循环使用，不外排。每天按时补充损耗的新鲜水</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/d</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即可。</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highlight w:val="none"/>
                <w:lang w:eastAsia="zh-CN"/>
                <w14:textFill>
                  <w14:solidFill>
                    <w14:schemeClr w14:val="tx1"/>
                  </w14:solidFill>
                </w14:textFill>
              </w:rPr>
            </w:pPr>
            <w:r>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aps w:val="0"/>
                <w:color w:val="000000" w:themeColor="text1"/>
                <w:sz w:val="24"/>
                <w:szCs w:val="24"/>
                <w:highlight w:val="none"/>
                <w:lang w:eastAsia="zh-CN"/>
                <w14:textFill>
                  <w14:solidFill>
                    <w14:schemeClr w14:val="tx1"/>
                  </w14:solidFill>
                </w14:textFill>
              </w:rPr>
              <w:t>生活污水源强分析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caps w:val="0"/>
                <w:color w:val="000000" w:themeColor="text1"/>
                <w:sz w:val="24"/>
                <w:highlight w:val="none"/>
                <w14:textFill>
                  <w14:solidFill>
                    <w14:schemeClr w14:val="tx1"/>
                  </w14:solidFill>
                </w14:textFill>
              </w:rPr>
            </w:pPr>
            <w:r>
              <w:rPr>
                <w:rFonts w:hint="default" w:ascii="Times New Roman" w:hAnsi="Times New Roman" w:eastAsia="宋体" w:cs="Times New Roman"/>
                <w:caps w:val="0"/>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劳动定员</w:t>
            </w:r>
            <w:r>
              <w:rPr>
                <w:rFonts w:hint="default" w:ascii="Times New Roman" w:hAnsi="Times New Roman" w:eastAsia="宋体" w:cs="Times New Roman"/>
                <w:bCs/>
                <w:caps w:val="0"/>
                <w:color w:val="000000" w:themeColor="text1"/>
                <w:sz w:val="24"/>
                <w:szCs w:val="28"/>
                <w:highlight w:val="none"/>
                <w:lang w:val="en-US" w:eastAsia="zh-CN"/>
                <w14:textFill>
                  <w14:solidFill>
                    <w14:schemeClr w14:val="tx1"/>
                  </w14:solidFill>
                </w14:textFill>
              </w:rPr>
              <w:t>约20</w:t>
            </w:r>
            <w:r>
              <w:rPr>
                <w:rFonts w:hint="default" w:ascii="Times New Roman" w:hAnsi="Times New Roman" w:eastAsia="宋体" w:cs="Times New Roman"/>
                <w:bCs/>
                <w:caps w:val="0"/>
                <w:color w:val="000000" w:themeColor="text1"/>
                <w:sz w:val="24"/>
                <w:szCs w:val="28"/>
                <w:highlight w:val="none"/>
                <w14:textFill>
                  <w14:solidFill>
                    <w14:schemeClr w14:val="tx1"/>
                  </w14:solidFill>
                </w14:textFill>
              </w:rPr>
              <w:t>人</w:t>
            </w:r>
            <w:r>
              <w:rPr>
                <w:rFonts w:hint="default" w:ascii="Times New Roman" w:hAnsi="Times New Roman" w:eastAsia="宋体" w:cs="Times New Roman"/>
                <w:caps w:val="0"/>
                <w:color w:val="000000" w:themeColor="text1"/>
                <w:sz w:val="24"/>
                <w:highlight w:val="none"/>
                <w14:textFill>
                  <w14:solidFill>
                    <w14:schemeClr w14:val="tx1"/>
                  </w14:solidFill>
                </w14:textFill>
              </w:rPr>
              <w:t>，</w:t>
            </w:r>
            <w:r>
              <w:rPr>
                <w:rFonts w:hint="default" w:ascii="Times New Roman" w:hAnsi="Times New Roman" w:eastAsia="宋体" w:cs="Times New Roman"/>
                <w:caps w:val="0"/>
                <w:color w:val="000000" w:themeColor="text1"/>
                <w:sz w:val="24"/>
                <w:highlight w:val="none"/>
                <w:lang w:eastAsia="zh-CN"/>
                <w14:textFill>
                  <w14:solidFill>
                    <w14:schemeClr w14:val="tx1"/>
                  </w14:solidFill>
                </w14:textFill>
              </w:rPr>
              <w:t>均不在厂区食宿</w:t>
            </w:r>
            <w:bookmarkEnd w:id="15"/>
            <w:r>
              <w:rPr>
                <w:rFonts w:hint="default" w:ascii="Times New Roman" w:hAnsi="Times New Roman" w:eastAsia="宋体" w:cs="Times New Roman"/>
                <w:caps w:val="0"/>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参照</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《广东省用水定额》（DB44/T 1461-2014）</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有</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食堂和浴室的机关单位办公楼工作人员的生</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活用水量以0.0</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/人•d为计，</w:t>
            </w:r>
            <w:r>
              <w:rPr>
                <w:rFonts w:hint="default" w:ascii="Times New Roman" w:hAnsi="Times New Roman" w:eastAsia="宋体" w:cs="Times New Roman"/>
                <w:color w:val="000000" w:themeColor="text1"/>
                <w:sz w:val="24"/>
                <w:szCs w:val="24"/>
                <w:highlight w:val="none"/>
                <w14:textFill>
                  <w14:solidFill>
                    <w14:schemeClr w14:val="tx1"/>
                  </w14:solidFill>
                </w14:textFill>
              </w:rPr>
              <w:t>则生活用水量为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pacing w:val="-4"/>
                <w:sz w:val="24"/>
                <w:szCs w:val="28"/>
                <w:highlight w:val="none"/>
                <w14:textFill>
                  <w14:solidFill>
                    <w14:schemeClr w14:val="tx1"/>
                  </w14:solidFill>
                </w14:textFill>
              </w:rPr>
              <w:t>m³</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480</w:t>
            </w:r>
            <w:r>
              <w:rPr>
                <w:rFonts w:hint="default" w:ascii="Times New Roman" w:hAnsi="Times New Roman" w:eastAsia="宋体" w:cs="Times New Roman"/>
                <w:color w:val="000000" w:themeColor="text1"/>
                <w:spacing w:val="-4"/>
                <w:sz w:val="24"/>
                <w:szCs w:val="28"/>
                <w:highlight w:val="none"/>
                <w14:textFill>
                  <w14:solidFill>
                    <w14:schemeClr w14:val="tx1"/>
                  </w14:solidFill>
                </w14:textFill>
              </w:rPr>
              <w:t>m³/a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，排污系数按0.9计，则生活污水产生量为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1.44</w:t>
            </w:r>
            <w:r>
              <w:rPr>
                <w:rFonts w:hint="default" w:ascii="Times New Roman" w:hAnsi="Times New Roman" w:eastAsia="宋体" w:cs="Times New Roman"/>
                <w:color w:val="000000" w:themeColor="text1"/>
                <w:spacing w:val="-4"/>
                <w:sz w:val="24"/>
                <w:szCs w:val="28"/>
                <w:highlight w:val="none"/>
                <w14:textFill>
                  <w14:solidFill>
                    <w14:schemeClr w14:val="tx1"/>
                  </w14:solidFill>
                </w14:textFill>
              </w:rPr>
              <w:t>m³</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432</w:t>
            </w:r>
            <w:r>
              <w:rPr>
                <w:rFonts w:hint="default" w:ascii="Times New Roman" w:hAnsi="Times New Roman" w:eastAsia="宋体" w:cs="Times New Roman"/>
                <w:color w:val="000000" w:themeColor="text1"/>
                <w:spacing w:val="-4"/>
                <w:sz w:val="24"/>
                <w:szCs w:val="28"/>
                <w:highlight w:val="none"/>
                <w14:textFill>
                  <w14:solidFill>
                    <w14:schemeClr w14:val="tx1"/>
                  </w14:solidFill>
                </w14:textFill>
              </w:rPr>
              <w:t>m³/a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生活污水经一体化污水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处理设施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处理达到广东省地方标准《水污染物排放限值》(DB44/26-2001)中第二时段一级标准后排到潖江。</w:t>
            </w:r>
          </w:p>
          <w:p>
            <w:pPr>
              <w:keepNext w:val="0"/>
              <w:keepLines w:val="0"/>
              <w:pageBreakBefore w:val="0"/>
              <w:widowControl w:val="0"/>
              <w:kinsoku/>
              <w:wordWrap/>
              <w:overflowPunct/>
              <w:topLinePunct w:val="0"/>
              <w:autoSpaceDE/>
              <w:autoSpaceDN/>
              <w:bidi w:val="0"/>
              <w:adjustRightInd/>
              <w:snapToGrid/>
              <w:spacing w:before="157" w:beforeLines="50"/>
              <w:ind w:firstLine="0" w:firstLineChars="0"/>
              <w:jc w:val="center"/>
              <w:textAlignment w:val="auto"/>
              <w:outlineLvl w:val="9"/>
              <w:rPr>
                <w:rFonts w:hint="default" w:ascii="Times New Roman" w:hAnsi="Times New Roman" w:eastAsia="宋体" w:cs="Times New Roman"/>
                <w:b/>
                <w:caps w:val="0"/>
                <w:color w:val="000000" w:themeColor="text1"/>
                <w:kern w:val="0"/>
                <w:sz w:val="24"/>
                <w:highlight w:val="none"/>
                <w14:textFill>
                  <w14:solidFill>
                    <w14:schemeClr w14:val="tx1"/>
                  </w14:solidFill>
                </w14:textFill>
              </w:rPr>
            </w:pPr>
            <w:r>
              <w:rPr>
                <w:rFonts w:hint="default" w:ascii="Times New Roman" w:hAnsi="Times New Roman" w:eastAsia="宋体" w:cs="Times New Roman"/>
                <w:b/>
                <w:caps w:val="0"/>
                <w:color w:val="000000" w:themeColor="text1"/>
                <w:sz w:val="24"/>
                <w:highlight w:val="none"/>
                <w14:textFill>
                  <w14:solidFill>
                    <w14:schemeClr w14:val="tx1"/>
                  </w14:solidFill>
                </w14:textFill>
              </w:rPr>
              <w:t>表</w:t>
            </w:r>
            <w:r>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bCs/>
                <w:caps w:val="0"/>
                <w:color w:val="000000" w:themeColor="text1"/>
                <w:sz w:val="24"/>
                <w:highlight w:val="none"/>
                <w14:textFill>
                  <w14:solidFill>
                    <w14:schemeClr w14:val="tx1"/>
                  </w14:solidFill>
                </w14:textFill>
              </w:rPr>
              <w:t>.</w:t>
            </w:r>
            <w:r>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aps w:val="0"/>
                <w:color w:val="000000" w:themeColor="text1"/>
                <w:sz w:val="24"/>
                <w:highlight w:val="none"/>
                <w14:textFill>
                  <w14:solidFill>
                    <w14:schemeClr w14:val="tx1"/>
                  </w14:solidFill>
                </w14:textFill>
              </w:rPr>
              <w:t>-</w:t>
            </w:r>
            <w:r>
              <w:rPr>
                <w:rFonts w:hint="eastAsia" w:ascii="Times New Roman" w:hAnsi="Times New Roman" w:eastAsia="宋体" w:cs="Times New Roman"/>
                <w:b/>
                <w:bCs/>
                <w:caps w:val="0"/>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b/>
                <w:bCs/>
                <w:caps w:val="0"/>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caps w:val="0"/>
                <w:color w:val="000000" w:themeColor="text1"/>
                <w:sz w:val="24"/>
                <w:highlight w:val="none"/>
                <w14:textFill>
                  <w14:solidFill>
                    <w14:schemeClr w14:val="tx1"/>
                  </w14:solidFill>
                </w14:textFill>
              </w:rPr>
              <w:t>生活污水污染物</w:t>
            </w:r>
            <w:r>
              <w:rPr>
                <w:rFonts w:hint="default" w:ascii="Times New Roman" w:hAnsi="Times New Roman" w:eastAsia="宋体" w:cs="Times New Roman"/>
                <w:b/>
                <w:caps w:val="0"/>
                <w:color w:val="000000" w:themeColor="text1"/>
                <w:kern w:val="0"/>
                <w:sz w:val="24"/>
                <w:highlight w:val="none"/>
                <w14:textFill>
                  <w14:solidFill>
                    <w14:schemeClr w14:val="tx1"/>
                  </w14:solidFill>
                </w14:textFill>
              </w:rPr>
              <w:t>产生情况一览表</w:t>
            </w:r>
          </w:p>
          <w:tbl>
            <w:tblPr>
              <w:tblStyle w:val="27"/>
              <w:tblW w:w="9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715"/>
              <w:gridCol w:w="873"/>
              <w:gridCol w:w="1494"/>
              <w:gridCol w:w="916"/>
              <w:gridCol w:w="916"/>
              <w:gridCol w:w="918"/>
              <w:gridCol w:w="917"/>
              <w:gridCol w:w="917"/>
              <w:gridCol w:w="9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96" w:type="dxa"/>
                  <w:gridSpan w:val="2"/>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t>项目</w:t>
                  </w:r>
                </w:p>
              </w:tc>
              <w:tc>
                <w:tcPr>
                  <w:tcW w:w="873"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t>污水量</w:t>
                  </w:r>
                </w:p>
              </w:tc>
              <w:tc>
                <w:tcPr>
                  <w:tcW w:w="1494"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t>指标</w:t>
                  </w:r>
                </w:p>
              </w:tc>
              <w:tc>
                <w:tcPr>
                  <w:tcW w:w="916"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t>COD</w:t>
                  </w:r>
                  <w:r>
                    <w:rPr>
                      <w:rFonts w:hint="default" w:ascii="Times New Roman" w:hAnsi="Times New Roman" w:eastAsia="宋体" w:cs="Times New Roman"/>
                      <w:b/>
                      <w:bCs w:val="0"/>
                      <w:color w:val="000000" w:themeColor="text1"/>
                      <w:sz w:val="21"/>
                      <w:szCs w:val="16"/>
                      <w:highlight w:val="none"/>
                      <w:vertAlign w:val="subscript"/>
                      <w:lang w:val="en-US" w:eastAsia="zh-CN"/>
                      <w14:textFill>
                        <w14:solidFill>
                          <w14:schemeClr w14:val="tx1"/>
                        </w14:solidFill>
                      </w14:textFill>
                    </w:rPr>
                    <w:t>cr</w:t>
                  </w:r>
                </w:p>
              </w:tc>
              <w:tc>
                <w:tcPr>
                  <w:tcW w:w="916"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t>BOD</w:t>
                  </w:r>
                  <w:r>
                    <w:rPr>
                      <w:rFonts w:hint="default" w:ascii="Times New Roman" w:hAnsi="Times New Roman" w:eastAsia="宋体" w:cs="Times New Roman"/>
                      <w:b/>
                      <w:bCs w:val="0"/>
                      <w:color w:val="000000" w:themeColor="text1"/>
                      <w:sz w:val="21"/>
                      <w:szCs w:val="16"/>
                      <w:highlight w:val="none"/>
                      <w:vertAlign w:val="subscript"/>
                      <w:lang w:val="en-US" w:eastAsia="zh-CN"/>
                      <w14:textFill>
                        <w14:solidFill>
                          <w14:schemeClr w14:val="tx1"/>
                        </w14:solidFill>
                      </w14:textFill>
                    </w:rPr>
                    <w:t>5</w:t>
                  </w:r>
                </w:p>
              </w:tc>
              <w:tc>
                <w:tcPr>
                  <w:tcW w:w="918"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t>氨氮</w:t>
                  </w:r>
                </w:p>
              </w:tc>
              <w:tc>
                <w:tcPr>
                  <w:tcW w:w="917"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t>动植物油</w:t>
                  </w:r>
                </w:p>
              </w:tc>
              <w:tc>
                <w:tcPr>
                  <w:tcW w:w="917"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t>LAS</w:t>
                  </w:r>
                </w:p>
              </w:tc>
              <w:tc>
                <w:tcPr>
                  <w:tcW w:w="917"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16"/>
                      <w:highlight w:val="none"/>
                      <w:vertAlign w:val="baseline"/>
                      <w:lang w:val="en-US" w:eastAsia="zh-CN"/>
                      <w14:textFill>
                        <w14:solidFill>
                          <w14:schemeClr w14:val="tx1"/>
                        </w14:solidFill>
                      </w14:textFill>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1" w:type="dxa"/>
                  <w:vMerge w:val="restart"/>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生活污水</w:t>
                  </w:r>
                </w:p>
              </w:tc>
              <w:tc>
                <w:tcPr>
                  <w:tcW w:w="715" w:type="dxa"/>
                  <w:vMerge w:val="restart"/>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预处</w:t>
                  </w:r>
                </w:p>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理前</w:t>
                  </w:r>
                </w:p>
              </w:tc>
              <w:tc>
                <w:tcPr>
                  <w:tcW w:w="873" w:type="dxa"/>
                  <w:vMerge w:val="restart"/>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432t/a</w:t>
                  </w:r>
                </w:p>
              </w:tc>
              <w:tc>
                <w:tcPr>
                  <w:tcW w:w="1494"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浓度（mg/L）</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250</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150</w:t>
                  </w:r>
                </w:p>
              </w:tc>
              <w:tc>
                <w:tcPr>
                  <w:tcW w:w="91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30</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30</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715"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873"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1494"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产生量（t/a）</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0.108 </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0.065 </w:t>
                  </w:r>
                </w:p>
              </w:tc>
              <w:tc>
                <w:tcPr>
                  <w:tcW w:w="91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0.013 </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0.013 </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0.004 </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0.065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715" w:type="dxa"/>
                  <w:vMerge w:val="restart"/>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处理后</w:t>
                  </w:r>
                </w:p>
              </w:tc>
              <w:tc>
                <w:tcPr>
                  <w:tcW w:w="873"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1494"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削减量（t/a）</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0.069 </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0.056 </w:t>
                  </w:r>
                </w:p>
              </w:tc>
              <w:tc>
                <w:tcPr>
                  <w:tcW w:w="91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0.009 </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0.009 </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0.002 </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0.039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715"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873"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1494"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浓度（mg/L）</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90</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20</w:t>
                  </w:r>
                </w:p>
              </w:tc>
              <w:tc>
                <w:tcPr>
                  <w:tcW w:w="91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5</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81"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715"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873" w:type="dxa"/>
                  <w:vMerge w:val="continue"/>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p>
              </w:tc>
              <w:tc>
                <w:tcPr>
                  <w:tcW w:w="1494"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排放量（t/a）</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0.039 </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0.009 </w:t>
                  </w:r>
                </w:p>
              </w:tc>
              <w:tc>
                <w:tcPr>
                  <w:tcW w:w="91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0.004 </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0.004 </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0.002 </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0.026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69" w:type="dxa"/>
                  <w:gridSpan w:val="3"/>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排放标准</w:t>
                  </w:r>
                </w:p>
              </w:tc>
              <w:tc>
                <w:tcPr>
                  <w:tcW w:w="1494" w:type="dxa"/>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spacing w:line="240" w:lineRule="auto"/>
                    <w:ind w:left="-105" w:leftChars="-50" w:right="-105" w:rightChars="-50"/>
                    <w:jc w:val="center"/>
                    <w:textAlignment w:val="auto"/>
                    <w:outlineLvl w:val="9"/>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t>浓度（mg/L）</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90</w:t>
                  </w:r>
                </w:p>
              </w:tc>
              <w:tc>
                <w:tcPr>
                  <w:tcW w:w="91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20</w:t>
                  </w:r>
                </w:p>
              </w:tc>
              <w:tc>
                <w:tcPr>
                  <w:tcW w:w="91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5</w:t>
                  </w:r>
                </w:p>
              </w:tc>
              <w:tc>
                <w:tcPr>
                  <w:tcW w:w="91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color w:val="000000" w:themeColor="text1"/>
                      <w:sz w:val="21"/>
                      <w:szCs w:val="16"/>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60</w:t>
                  </w:r>
                </w:p>
              </w:tc>
            </w:tr>
          </w:tbl>
          <w:p>
            <w:pPr>
              <w:jc w:val="center"/>
              <w:rPr>
                <w:rFonts w:hint="default" w:ascii="Times New Roman" w:hAnsi="Times New Roman" w:eastAsia="宋体" w:cs="Times New Roman"/>
                <w:b/>
                <w:bCs w:val="0"/>
                <w:color w:val="000000" w:themeColor="text1"/>
                <w:kern w:val="0"/>
                <w:sz w:val="24"/>
                <w:szCs w:val="24"/>
                <w14:textFill>
                  <w14:solidFill>
                    <w14:schemeClr w14:val="tx1"/>
                  </w14:solidFill>
                </w14:textFill>
              </w:rPr>
            </w:pPr>
            <w:r>
              <w:rPr>
                <w:rFonts w:hint="default" w:ascii="Times New Roman" w:hAnsi="Times New Roman" w:eastAsia="宋体" w:cs="Times New Roman"/>
                <w:b/>
                <w:bCs w:val="0"/>
                <w:color w:val="000000" w:themeColor="text1"/>
                <w:kern w:val="0"/>
                <w:sz w:val="24"/>
                <w:szCs w:val="24"/>
                <w14:textFill>
                  <w14:solidFill>
                    <w14:schemeClr w14:val="tx1"/>
                  </w14:solidFill>
                </w14:textFill>
              </w:rPr>
              <w:t>表6.2-</w:t>
            </w:r>
            <w:r>
              <w:rPr>
                <w:rFonts w:hint="eastAsia" w:ascii="Times New Roman" w:hAnsi="Times New Roman" w:eastAsia="宋体" w:cs="Times New Roman"/>
                <w:b/>
                <w:bCs w:val="0"/>
                <w:color w:val="000000" w:themeColor="text1"/>
                <w:kern w:val="0"/>
                <w:sz w:val="24"/>
                <w:szCs w:val="24"/>
                <w:lang w:val="en-US" w:eastAsia="zh-CN"/>
                <w14:textFill>
                  <w14:solidFill>
                    <w14:schemeClr w14:val="tx1"/>
                  </w14:solidFill>
                </w14:textFill>
              </w:rPr>
              <w:t>9</w:t>
            </w:r>
            <w:r>
              <w:rPr>
                <w:rFonts w:hint="default" w:ascii="Times New Roman" w:hAnsi="Times New Roman" w:eastAsia="宋体" w:cs="Times New Roman"/>
                <w:b/>
                <w:bCs w:val="0"/>
                <w:color w:val="000000" w:themeColor="text1"/>
                <w:kern w:val="0"/>
                <w:sz w:val="24"/>
                <w:szCs w:val="24"/>
                <w14:textFill>
                  <w14:solidFill>
                    <w14:schemeClr w14:val="tx1"/>
                  </w14:solidFill>
                </w14:textFill>
              </w:rPr>
              <w:t xml:space="preserve">  项目</w:t>
            </w:r>
            <w:r>
              <w:rPr>
                <w:rFonts w:hint="default" w:ascii="Times New Roman" w:hAnsi="Times New Roman" w:eastAsia="宋体" w:cs="Times New Roman"/>
                <w:b/>
                <w:bCs w:val="0"/>
                <w:color w:val="000000" w:themeColor="text1"/>
                <w:kern w:val="0"/>
                <w:sz w:val="24"/>
                <w:szCs w:val="24"/>
                <w:lang w:eastAsia="zh-CN"/>
                <w14:textFill>
                  <w14:solidFill>
                    <w14:schemeClr w14:val="tx1"/>
                  </w14:solidFill>
                </w14:textFill>
              </w:rPr>
              <w:t>外排</w:t>
            </w:r>
            <w:r>
              <w:rPr>
                <w:rFonts w:hint="default" w:ascii="Times New Roman" w:hAnsi="Times New Roman" w:eastAsia="宋体" w:cs="Times New Roman"/>
                <w:b/>
                <w:bCs w:val="0"/>
                <w:color w:val="000000" w:themeColor="text1"/>
                <w:kern w:val="0"/>
                <w:sz w:val="24"/>
                <w:szCs w:val="24"/>
                <w14:textFill>
                  <w14:solidFill>
                    <w14:schemeClr w14:val="tx1"/>
                  </w14:solidFill>
                </w14:textFill>
              </w:rPr>
              <w:t>废水</w:t>
            </w:r>
            <w:r>
              <w:rPr>
                <w:rFonts w:hint="default" w:ascii="Times New Roman" w:hAnsi="Times New Roman" w:eastAsia="宋体" w:cs="Times New Roman"/>
                <w:b/>
                <w:bCs w:val="0"/>
                <w:color w:val="000000" w:themeColor="text1"/>
                <w:kern w:val="0"/>
                <w:sz w:val="24"/>
                <w:szCs w:val="24"/>
                <w:lang w:eastAsia="zh-CN"/>
                <w14:textFill>
                  <w14:solidFill>
                    <w14:schemeClr w14:val="tx1"/>
                  </w14:solidFill>
                </w14:textFill>
              </w:rPr>
              <w:t>统计汇总</w:t>
            </w:r>
            <w:r>
              <w:rPr>
                <w:rFonts w:hint="default" w:ascii="Times New Roman" w:hAnsi="Times New Roman" w:eastAsia="宋体" w:cs="Times New Roman"/>
                <w:b/>
                <w:bCs w:val="0"/>
                <w:color w:val="000000" w:themeColor="text1"/>
                <w:kern w:val="0"/>
                <w:sz w:val="24"/>
                <w:szCs w:val="24"/>
                <w14:textFill>
                  <w14:solidFill>
                    <w14:schemeClr w14:val="tx1"/>
                  </w14:solidFill>
                </w14:textFill>
              </w:rPr>
              <w:t>情况</w:t>
            </w:r>
          </w:p>
          <w:tbl>
            <w:tblPr>
              <w:tblStyle w:val="26"/>
              <w:tblW w:w="91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2"/>
              <w:gridCol w:w="2224"/>
              <w:gridCol w:w="2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4402" w:type="dxa"/>
                  <w:noWrap w:val="0"/>
                  <w:vAlign w:val="center"/>
                </w:tcPr>
                <w:p>
                  <w:pPr>
                    <w:jc w:val="cente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废水</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排放量（</w:t>
                  </w: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t</w:t>
                  </w:r>
                  <w:r>
                    <w:rPr>
                      <w:rFonts w:hint="default" w:ascii="Times New Roman" w:hAnsi="Times New Roman" w:eastAsia="宋体" w:cs="Times New Roman"/>
                      <w:bCs/>
                      <w:color w:val="000000" w:themeColor="text1"/>
                      <w:kern w:val="0"/>
                      <w:sz w:val="21"/>
                      <w:szCs w:val="21"/>
                      <w14:textFill>
                        <w14:solidFill>
                          <w14:schemeClr w14:val="tx1"/>
                        </w14:solidFill>
                      </w14:textFill>
                    </w:rPr>
                    <w:t>/a</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w:t>
                  </w:r>
                </w:p>
              </w:tc>
              <w:tc>
                <w:tcPr>
                  <w:tcW w:w="2224" w:type="dxa"/>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名称</w:t>
                  </w:r>
                </w:p>
              </w:tc>
              <w:tc>
                <w:tcPr>
                  <w:tcW w:w="2538" w:type="dxa"/>
                  <w:noWrap w:val="0"/>
                  <w:vAlign w:val="center"/>
                </w:tcPr>
                <w:p>
                  <w:pPr>
                    <w:adjustRightInd w:val="0"/>
                    <w:snapToGrid w:val="0"/>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4402" w:type="dxa"/>
                  <w:vMerge w:val="restart"/>
                  <w:noWrap w:val="0"/>
                  <w:vAlign w:val="center"/>
                </w:tcPr>
                <w:p>
                  <w:pPr>
                    <w:jc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3222</w:t>
                  </w:r>
                </w:p>
              </w:tc>
              <w:tc>
                <w:tcPr>
                  <w:tcW w:w="2224" w:type="dxa"/>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pH</w:t>
                  </w:r>
                </w:p>
              </w:tc>
              <w:tc>
                <w:tcPr>
                  <w:tcW w:w="2538" w:type="dxa"/>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4402" w:type="dxa"/>
                  <w:vMerge w:val="continue"/>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224" w:type="dxa"/>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CODc</w:t>
                  </w:r>
                  <w:r>
                    <w:rPr>
                      <w:rFonts w:hint="default" w:ascii="Times New Roman" w:hAnsi="Times New Roman" w:eastAsia="宋体" w:cs="Times New Roman"/>
                      <w:b w:val="0"/>
                      <w:color w:val="000000" w:themeColor="text1"/>
                      <w:szCs w:val="21"/>
                      <w:highlight w:val="none"/>
                      <w:vertAlign w:val="subscript"/>
                      <w14:textFill>
                        <w14:solidFill>
                          <w14:schemeClr w14:val="tx1"/>
                        </w14:solidFill>
                      </w14:textFill>
                    </w:rPr>
                    <w:t>r</w:t>
                  </w:r>
                </w:p>
              </w:tc>
              <w:tc>
                <w:tcPr>
                  <w:tcW w:w="2538"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4402" w:type="dxa"/>
                  <w:vMerge w:val="continue"/>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224" w:type="dxa"/>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BOD</w:t>
                  </w:r>
                  <w:r>
                    <w:rPr>
                      <w:rFonts w:hint="default" w:ascii="Times New Roman" w:hAnsi="Times New Roman" w:eastAsia="宋体" w:cs="Times New Roman"/>
                      <w:b w:val="0"/>
                      <w:color w:val="000000" w:themeColor="text1"/>
                      <w:szCs w:val="21"/>
                      <w:highlight w:val="none"/>
                      <w:vertAlign w:val="subscript"/>
                      <w14:textFill>
                        <w14:solidFill>
                          <w14:schemeClr w14:val="tx1"/>
                        </w14:solidFill>
                      </w14:textFill>
                    </w:rPr>
                    <w:t>5</w:t>
                  </w:r>
                </w:p>
              </w:tc>
              <w:tc>
                <w:tcPr>
                  <w:tcW w:w="2538"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4402" w:type="dxa"/>
                  <w:vMerge w:val="continue"/>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224" w:type="dxa"/>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SS</w:t>
                  </w:r>
                </w:p>
              </w:tc>
              <w:tc>
                <w:tcPr>
                  <w:tcW w:w="2538"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4402" w:type="dxa"/>
                  <w:vMerge w:val="continue"/>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224" w:type="dxa"/>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NH</w:t>
                  </w:r>
                  <w:r>
                    <w:rPr>
                      <w:rFonts w:hint="default" w:ascii="Times New Roman" w:hAnsi="Times New Roman" w:eastAsia="宋体" w:cs="Times New Roman"/>
                      <w:b w:val="0"/>
                      <w:color w:val="000000" w:themeColor="text1"/>
                      <w:szCs w:val="21"/>
                      <w:highlight w:val="none"/>
                      <w:vertAlign w:val="subscript"/>
                      <w14:textFill>
                        <w14:solidFill>
                          <w14:schemeClr w14:val="tx1"/>
                        </w14:solidFill>
                      </w14:textFill>
                    </w:rPr>
                    <w:t>3</w:t>
                  </w:r>
                  <w:r>
                    <w:rPr>
                      <w:rFonts w:hint="default" w:ascii="Times New Roman" w:hAnsi="Times New Roman" w:eastAsia="宋体" w:cs="Times New Roman"/>
                      <w:b w:val="0"/>
                      <w:color w:val="000000" w:themeColor="text1"/>
                      <w:szCs w:val="21"/>
                      <w:highlight w:val="none"/>
                      <w14:textFill>
                        <w14:solidFill>
                          <w14:schemeClr w14:val="tx1"/>
                        </w14:solidFill>
                      </w14:textFill>
                    </w:rPr>
                    <w:t>-N</w:t>
                  </w:r>
                </w:p>
              </w:tc>
              <w:tc>
                <w:tcPr>
                  <w:tcW w:w="2538"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4402" w:type="dxa"/>
                  <w:vMerge w:val="continue"/>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224" w:type="dxa"/>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 w:val="0"/>
                      <w:color w:val="000000" w:themeColor="text1"/>
                      <w:szCs w:val="21"/>
                      <w:highlight w:val="none"/>
                      <w:lang w:eastAsia="zh-CN"/>
                      <w14:textFill>
                        <w14:solidFill>
                          <w14:schemeClr w14:val="tx1"/>
                        </w14:solidFill>
                      </w14:textFill>
                    </w:rPr>
                    <w:t>动植物油</w:t>
                  </w:r>
                </w:p>
              </w:tc>
              <w:tc>
                <w:tcPr>
                  <w:tcW w:w="2538"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4402" w:type="dxa"/>
                  <w:vMerge w:val="continue"/>
                  <w:noWrap w:val="0"/>
                  <w:vAlign w:val="center"/>
                </w:tcPr>
                <w:p>
                  <w:pPr>
                    <w:jc w:val="center"/>
                    <w:rPr>
                      <w:rFonts w:hint="default" w:ascii="Times New Roman" w:hAnsi="Times New Roman" w:eastAsia="宋体" w:cs="Times New Roman"/>
                      <w:bCs/>
                      <w:color w:val="000000" w:themeColor="text1"/>
                      <w:kern w:val="0"/>
                      <w:sz w:val="21"/>
                      <w:szCs w:val="21"/>
                      <w14:textFill>
                        <w14:solidFill>
                          <w14:schemeClr w14:val="tx1"/>
                        </w14:solidFill>
                      </w14:textFill>
                    </w:rPr>
                  </w:pPr>
                </w:p>
              </w:tc>
              <w:tc>
                <w:tcPr>
                  <w:tcW w:w="2224" w:type="dxa"/>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Cs/>
                      <w:color w:val="000000" w:themeColor="text1"/>
                      <w:kern w:val="0"/>
                      <w:sz w:val="21"/>
                      <w:szCs w:val="21"/>
                      <w14:textFill>
                        <w14:solidFill>
                          <w14:schemeClr w14:val="tx1"/>
                        </w14:solidFill>
                      </w14:textFill>
                    </w:rPr>
                  </w:pPr>
                  <w:r>
                    <w:rPr>
                      <w:rFonts w:hint="default" w:ascii="Times New Roman" w:hAnsi="Times New Roman" w:eastAsia="宋体" w:cs="Times New Roman"/>
                      <w:b w:val="0"/>
                      <w:color w:val="000000" w:themeColor="text1"/>
                      <w:szCs w:val="21"/>
                      <w:highlight w:val="none"/>
                      <w:lang w:val="en-US" w:eastAsia="zh-CN"/>
                      <w14:textFill>
                        <w14:solidFill>
                          <w14:schemeClr w14:val="tx1"/>
                        </w14:solidFill>
                      </w14:textFill>
                    </w:rPr>
                    <w:t>LAS</w:t>
                  </w:r>
                </w:p>
              </w:tc>
              <w:tc>
                <w:tcPr>
                  <w:tcW w:w="2538" w:type="dxa"/>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0.002</w:t>
                  </w:r>
                </w:p>
              </w:tc>
            </w:tr>
          </w:tbl>
          <w:p>
            <w:pPr>
              <w:keepNext w:val="0"/>
              <w:keepLines w:val="0"/>
              <w:pageBreakBefore w:val="0"/>
              <w:widowControl w:val="0"/>
              <w:tabs>
                <w:tab w:val="left" w:pos="297"/>
              </w:tabs>
              <w:kinsoku/>
              <w:wordWrap/>
              <w:overflowPunct/>
              <w:topLinePunct w:val="0"/>
              <w:autoSpaceDE/>
              <w:autoSpaceDN/>
              <w:bidi w:val="0"/>
              <w:adjustRightInd/>
              <w:snapToGrid/>
              <w:spacing w:before="157" w:beforeLines="50" w:line="360" w:lineRule="auto"/>
              <w:textAlignment w:val="auto"/>
              <w:outlineLvl w:val="9"/>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6.2.3.3</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噪声污染源</w:t>
            </w:r>
            <w:r>
              <w:rPr>
                <w:rFonts w:hint="default" w:ascii="Times New Roman" w:hAnsi="Times New Roman" w:eastAsia="宋体" w:cs="Times New Roman"/>
                <w:b/>
                <w:bCs/>
                <w:color w:val="000000" w:themeColor="text1"/>
                <w:sz w:val="24"/>
                <w:highlight w:val="none"/>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本</w:t>
            </w:r>
            <w:r>
              <w:rPr>
                <w:rFonts w:hint="default" w:ascii="Times New Roman" w:hAnsi="Times New Roman" w:eastAsia="宋体" w:cs="Times New Roman"/>
                <w:color w:val="000000" w:themeColor="text1"/>
                <w:sz w:val="24"/>
                <w:highlight w:val="none"/>
                <w14:textFill>
                  <w14:solidFill>
                    <w14:schemeClr w14:val="tx1"/>
                  </w14:solidFill>
                </w14:textFill>
              </w:rPr>
              <w:t>项目</w:t>
            </w:r>
            <w:r>
              <w:rPr>
                <w:rFonts w:hint="default" w:ascii="Times New Roman" w:hAnsi="Times New Roman" w:eastAsia="宋体" w:cs="Times New Roman"/>
                <w:bCs/>
                <w:color w:val="000000" w:themeColor="text1"/>
                <w:sz w:val="24"/>
                <w:szCs w:val="28"/>
                <w:highlight w:val="none"/>
                <w14:textFill>
                  <w14:solidFill>
                    <w14:schemeClr w14:val="tx1"/>
                  </w14:solidFill>
                </w14:textFill>
              </w:rPr>
              <w:t>噪声</w:t>
            </w:r>
            <w:r>
              <w:rPr>
                <w:rFonts w:hint="default" w:ascii="Times New Roman" w:hAnsi="Times New Roman" w:eastAsia="宋体" w:cs="Times New Roman"/>
                <w:bCs/>
                <w:color w:val="000000" w:themeColor="text1"/>
                <w:sz w:val="24"/>
                <w:szCs w:val="28"/>
                <w:highlight w:val="none"/>
                <w:lang w:eastAsia="zh-CN"/>
                <w14:textFill>
                  <w14:solidFill>
                    <w14:schemeClr w14:val="tx1"/>
                  </w14:solidFill>
                </w14:textFill>
              </w:rPr>
              <w:t>主要来源于生产设备和辅助设施等设备</w:t>
            </w:r>
            <w:r>
              <w:rPr>
                <w:rFonts w:hint="default" w:ascii="Times New Roman" w:hAnsi="Times New Roman" w:eastAsia="宋体" w:cs="Times New Roman"/>
                <w:bCs/>
                <w:color w:val="000000" w:themeColor="text1"/>
                <w:sz w:val="24"/>
                <w:szCs w:val="28"/>
                <w:highlight w:val="none"/>
                <w14:textFill>
                  <w14:solidFill>
                    <w14:schemeClr w14:val="tx1"/>
                  </w14:solidFill>
                </w14:textFill>
              </w:rPr>
              <w:t>运行</w:t>
            </w:r>
            <w:r>
              <w:rPr>
                <w:rFonts w:hint="default" w:ascii="Times New Roman" w:hAnsi="Times New Roman" w:eastAsia="宋体" w:cs="Times New Roman"/>
                <w:bCs/>
                <w:color w:val="000000" w:themeColor="text1"/>
                <w:sz w:val="24"/>
                <w:szCs w:val="28"/>
                <w:highlight w:val="none"/>
                <w:lang w:eastAsia="zh-CN"/>
                <w14:textFill>
                  <w14:solidFill>
                    <w14:schemeClr w14:val="tx1"/>
                  </w14:solidFill>
                </w14:textFill>
              </w:rPr>
              <w:t>时</w:t>
            </w:r>
            <w:r>
              <w:rPr>
                <w:rFonts w:hint="default" w:ascii="Times New Roman" w:hAnsi="Times New Roman" w:eastAsia="宋体" w:cs="Times New Roman"/>
                <w:bCs/>
                <w:color w:val="000000" w:themeColor="text1"/>
                <w:sz w:val="24"/>
                <w:szCs w:val="28"/>
                <w:highlight w:val="none"/>
                <w14:textFill>
                  <w14:solidFill>
                    <w14:schemeClr w14:val="tx1"/>
                  </w14:solidFill>
                </w14:textFill>
              </w:rPr>
              <w:t>产生的噪声，噪声值</w:t>
            </w:r>
            <w:r>
              <w:rPr>
                <w:rFonts w:hint="default" w:ascii="Times New Roman" w:hAnsi="Times New Roman" w:eastAsia="宋体" w:cs="Times New Roman"/>
                <w:color w:val="000000" w:themeColor="text1"/>
                <w:sz w:val="24"/>
                <w:highlight w:val="none"/>
                <w14:textFill>
                  <w14:solidFill>
                    <w14:schemeClr w14:val="tx1"/>
                  </w14:solidFill>
                </w14:textFill>
              </w:rPr>
              <w:t>源强约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highlight w:val="none"/>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 w:val="24"/>
                <w:highlight w:val="none"/>
                <w14:textFill>
                  <w14:solidFill>
                    <w14:schemeClr w14:val="tx1"/>
                  </w14:solidFill>
                </w14:textFill>
              </w:rPr>
              <w:t>dB (A)。</w:t>
            </w:r>
            <w:r>
              <w:rPr>
                <w:rFonts w:hint="default" w:ascii="Times New Roman" w:hAnsi="Times New Roman" w:eastAsia="宋体" w:cs="Times New Roman"/>
                <w:bCs/>
                <w:color w:val="000000" w:themeColor="text1"/>
                <w:sz w:val="24"/>
                <w:szCs w:val="28"/>
                <w:highlight w:val="none"/>
                <w14:textFill>
                  <w14:solidFill>
                    <w14:schemeClr w14:val="tx1"/>
                  </w14:solidFill>
                </w14:textFill>
              </w:rPr>
              <w:t>噪声源情况详见表6.</w:t>
            </w:r>
            <w:r>
              <w:rPr>
                <w:rFonts w:hint="default" w:ascii="Times New Roman" w:hAnsi="Times New Roman" w:eastAsia="宋体" w:cs="Times New Roman"/>
                <w:bCs/>
                <w:color w:val="000000" w:themeColor="text1"/>
                <w:sz w:val="24"/>
                <w:szCs w:val="28"/>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 w:val="24"/>
                <w:szCs w:val="28"/>
                <w:highlight w:val="none"/>
                <w14:textFill>
                  <w14:solidFill>
                    <w14:schemeClr w14:val="tx1"/>
                  </w14:solidFill>
                </w14:textFill>
              </w:rPr>
              <w:t>-</w:t>
            </w:r>
            <w:r>
              <w:rPr>
                <w:rFonts w:hint="eastAsia" w:ascii="Times New Roman" w:hAnsi="Times New Roman" w:eastAsia="宋体" w:cs="Times New Roman"/>
                <w:bCs/>
                <w:color w:val="000000" w:themeColor="text1"/>
                <w:sz w:val="24"/>
                <w:szCs w:val="28"/>
                <w:highlight w:val="none"/>
                <w:lang w:val="en-US" w:eastAsia="zh-CN"/>
                <w14:textFill>
                  <w14:solidFill>
                    <w14:schemeClr w14:val="tx1"/>
                  </w14:solidFill>
                </w14:textFill>
              </w:rPr>
              <w:t>10</w:t>
            </w:r>
            <w:r>
              <w:rPr>
                <w:rFonts w:hint="default" w:ascii="Times New Roman" w:hAnsi="Times New Roman" w:eastAsia="宋体" w:cs="Times New Roman"/>
                <w:bCs/>
                <w:color w:val="000000" w:themeColor="text1"/>
                <w:sz w:val="24"/>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jc w:val="center"/>
              <w:textAlignment w:val="auto"/>
              <w:rPr>
                <w:rFonts w:hint="default" w:ascii="Times New Roman" w:hAnsi="Times New Roman" w:eastAsia="宋体" w:cs="Times New Roman"/>
                <w:b/>
                <w:bCs/>
                <w:snapToGrid w:val="0"/>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spacing w:val="6"/>
                <w:sz w:val="24"/>
                <w:highlight w:val="none"/>
                <w14:textFill>
                  <w14:solidFill>
                    <w14:schemeClr w14:val="tx1"/>
                  </w14:solidFill>
                </w14:textFill>
              </w:rPr>
              <w:t>表6.</w:t>
            </w:r>
            <w:r>
              <w:rPr>
                <w:rFonts w:hint="default" w:ascii="Times New Roman" w:hAnsi="Times New Roman" w:eastAsia="宋体" w:cs="Times New Roman"/>
                <w:b/>
                <w:bCs/>
                <w:color w:val="000000" w:themeColor="text1"/>
                <w:spacing w:val="6"/>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6"/>
                <w:sz w:val="24"/>
                <w:highlight w:val="none"/>
                <w14:textFill>
                  <w14:solidFill>
                    <w14:schemeClr w14:val="tx1"/>
                  </w14:solidFill>
                </w14:textFill>
              </w:rPr>
              <w:t>-</w:t>
            </w:r>
            <w:r>
              <w:rPr>
                <w:rFonts w:hint="eastAsia" w:ascii="Times New Roman" w:hAnsi="Times New Roman" w:eastAsia="宋体" w:cs="Times New Roman"/>
                <w:b/>
                <w:bCs/>
                <w:color w:val="000000" w:themeColor="text1"/>
                <w:spacing w:val="6"/>
                <w:sz w:val="24"/>
                <w:highlight w:val="none"/>
                <w:lang w:val="en-US" w:eastAsia="zh-CN"/>
                <w14:textFill>
                  <w14:solidFill>
                    <w14:schemeClr w14:val="tx1"/>
                  </w14:solidFill>
                </w14:textFill>
              </w:rPr>
              <w:t>10</w:t>
            </w:r>
            <w:r>
              <w:rPr>
                <w:rFonts w:hint="default" w:ascii="Times New Roman" w:hAnsi="Times New Roman" w:eastAsia="宋体" w:cs="Times New Roman"/>
                <w:b/>
                <w:bCs/>
                <w:color w:val="000000" w:themeColor="text1"/>
                <w:spacing w:val="6"/>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14:textFill>
                  <w14:solidFill>
                    <w14:schemeClr w14:val="tx1"/>
                  </w14:solidFill>
                </w14:textFill>
              </w:rPr>
              <w:t>本</w:t>
            </w:r>
            <w:r>
              <w:rPr>
                <w:rFonts w:hint="default" w:ascii="Times New Roman" w:hAnsi="Times New Roman" w:eastAsia="宋体" w:cs="Times New Roman"/>
                <w:b/>
                <w:bCs/>
                <w:snapToGrid w:val="0"/>
                <w:color w:val="000000" w:themeColor="text1"/>
                <w:kern w:val="0"/>
                <w:sz w:val="24"/>
                <w:highlight w:val="none"/>
                <w14:textFill>
                  <w14:solidFill>
                    <w14:schemeClr w14:val="tx1"/>
                  </w14:solidFill>
                </w14:textFill>
              </w:rPr>
              <w:t>项目噪声产生情况表</w:t>
            </w:r>
          </w:p>
          <w:tbl>
            <w:tblPr>
              <w:tblStyle w:val="26"/>
              <w:tblW w:w="91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2238"/>
              <w:gridCol w:w="2700"/>
              <w:gridCol w:w="2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exact"/>
                <w:jc w:val="center"/>
              </w:trPr>
              <w:tc>
                <w:tcPr>
                  <w:tcW w:w="1646"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序号</w:t>
                  </w:r>
                </w:p>
              </w:tc>
              <w:tc>
                <w:tcPr>
                  <w:tcW w:w="2238"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噪 声 源</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噪 声 级</w:t>
                  </w:r>
                </w:p>
              </w:tc>
              <w:tc>
                <w:tcPr>
                  <w:tcW w:w="252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238"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圆锥</w:t>
                  </w:r>
                  <w:r>
                    <w:rPr>
                      <w:rFonts w:hint="default" w:ascii="Times New Roman" w:hAnsi="Times New Roman" w:eastAsia="宋体" w:cs="Times New Roman"/>
                      <w:bCs/>
                      <w:color w:val="000000" w:themeColor="text1"/>
                      <w:kern w:val="0"/>
                      <w:sz w:val="21"/>
                      <w:szCs w:val="21"/>
                      <w14:textFill>
                        <w14:solidFill>
                          <w14:schemeClr w14:val="tx1"/>
                        </w14:solidFill>
                      </w14:textFill>
                    </w:rPr>
                    <w:t>破碎机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75～85 dB（A）</w:t>
                  </w:r>
                </w:p>
              </w:tc>
              <w:tc>
                <w:tcPr>
                  <w:tcW w:w="252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6"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238"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滚筒洗矿机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75～90dB（A）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9"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238"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打砂机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75～85dB（A）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238"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球磨机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75～90dB（A）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7"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238"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筛分机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r>
                    <w:rPr>
                      <w:rFonts w:hint="default" w:ascii="Times New Roman" w:hAnsi="Times New Roman" w:eastAsia="宋体" w:cs="Times New Roman"/>
                      <w:color w:val="000000" w:themeColor="text1"/>
                      <w:sz w:val="21"/>
                      <w:szCs w:val="21"/>
                      <w14:textFill>
                        <w14:solidFill>
                          <w14:schemeClr w14:val="tx1"/>
                        </w14:solidFill>
                      </w14:textFill>
                    </w:rPr>
                    <w:t xml:space="preserve"> 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9"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238"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磁选机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238"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皮带机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 xml:space="preserve"> 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238"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热水炉</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75～90dB（A）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238"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螺旋机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r>
                    <w:rPr>
                      <w:rFonts w:hint="default" w:ascii="Times New Roman" w:hAnsi="Times New Roman" w:eastAsia="宋体" w:cs="Times New Roman"/>
                      <w:color w:val="000000" w:themeColor="text1"/>
                      <w:sz w:val="21"/>
                      <w:szCs w:val="21"/>
                      <w14:textFill>
                        <w14:solidFill>
                          <w14:schemeClr w14:val="tx1"/>
                        </w14:solidFill>
                      </w14:textFill>
                    </w:rPr>
                    <w:t xml:space="preserve"> 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238"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石英砂料仓</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75～85dB（A）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238"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石英砂色选机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75～90dB（A）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2238" w:type="dxa"/>
                  <w:tcBorders>
                    <w:tl2br w:val="nil"/>
                    <w:tr2bl w:val="nil"/>
                  </w:tcBorders>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强磁机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2238" w:type="dxa"/>
                  <w:tcBorders>
                    <w:tl2br w:val="nil"/>
                    <w:tr2bl w:val="nil"/>
                  </w:tcBorders>
                  <w:noWrap w:val="0"/>
                  <w:vAlign w:val="center"/>
                </w:tcPr>
                <w:p>
                  <w:pPr>
                    <w:widowControl/>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空压机</w:t>
                  </w:r>
                </w:p>
              </w:tc>
              <w:tc>
                <w:tcPr>
                  <w:tcW w:w="2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r>
                    <w:rPr>
                      <w:rFonts w:hint="default" w:ascii="Times New Roman" w:hAnsi="Times New Roman" w:eastAsia="宋体" w:cs="Times New Roman"/>
                      <w:color w:val="000000" w:themeColor="text1"/>
                      <w:sz w:val="21"/>
                      <w:szCs w:val="21"/>
                      <w14:textFill>
                        <w14:solidFill>
                          <w14:schemeClr w14:val="tx1"/>
                        </w14:solidFill>
                      </w14:textFill>
                    </w:rPr>
                    <w:t xml:space="preserve"> 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2238" w:type="dxa"/>
                  <w:tcBorders>
                    <w:tl2br w:val="nil"/>
                    <w:tr2bl w:val="nil"/>
                  </w:tcBorders>
                  <w:noWrap w:val="0"/>
                  <w:vAlign w:val="center"/>
                </w:tcPr>
                <w:p>
                  <w:pPr>
                    <w:widowControl/>
                    <w:jc w:val="cente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烘干炉</w:t>
                  </w:r>
                </w:p>
              </w:tc>
              <w:tc>
                <w:tcPr>
                  <w:tcW w:w="27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r>
                    <w:rPr>
                      <w:rFonts w:hint="default" w:ascii="Times New Roman" w:hAnsi="Times New Roman" w:eastAsia="宋体" w:cs="Times New Roman"/>
                      <w:color w:val="000000" w:themeColor="text1"/>
                      <w:sz w:val="21"/>
                      <w:szCs w:val="21"/>
                      <w14:textFill>
                        <w14:solidFill>
                          <w14:schemeClr w14:val="tx1"/>
                        </w14:solidFill>
                      </w14:textFill>
                    </w:rPr>
                    <w:t xml:space="preserve"> 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2238" w:type="dxa"/>
                  <w:tcBorders>
                    <w:tl2br w:val="nil"/>
                    <w:tr2bl w:val="nil"/>
                  </w:tcBorders>
                  <w:noWrap w:val="0"/>
                  <w:vAlign w:val="center"/>
                </w:tcPr>
                <w:p>
                  <w:pPr>
                    <w:jc w:val="cente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直线筛</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85～9</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w:t>
                  </w:r>
                  <w:r>
                    <w:rPr>
                      <w:rFonts w:hint="default" w:ascii="Times New Roman" w:hAnsi="Times New Roman" w:eastAsia="宋体" w:cs="Times New Roman"/>
                      <w:color w:val="000000" w:themeColor="text1"/>
                      <w:sz w:val="21"/>
                      <w:szCs w:val="21"/>
                      <w14:textFill>
                        <w14:solidFill>
                          <w14:schemeClr w14:val="tx1"/>
                        </w14:solidFill>
                      </w14:textFill>
                    </w:rPr>
                    <w:t xml:space="preserve"> 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2238" w:type="dxa"/>
                  <w:tcBorders>
                    <w:tl2br w:val="nil"/>
                    <w:tr2bl w:val="nil"/>
                  </w:tcBorders>
                  <w:noWrap w:val="0"/>
                  <w:vAlign w:val="center"/>
                </w:tcPr>
                <w:p>
                  <w:pPr>
                    <w:jc w:val="cente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除铁机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75～90dB（A）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2238" w:type="dxa"/>
                  <w:tcBorders>
                    <w:tl2br w:val="nil"/>
                    <w:tr2bl w:val="nil"/>
                  </w:tcBorders>
                  <w:noWrap w:val="0"/>
                  <w:vAlign w:val="center"/>
                </w:tcPr>
                <w:p>
                  <w:pPr>
                    <w:jc w:val="cente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提升机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75</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80</w:t>
                  </w:r>
                  <w:r>
                    <w:rPr>
                      <w:rFonts w:hint="default" w:ascii="Times New Roman" w:hAnsi="Times New Roman" w:eastAsia="宋体" w:cs="Times New Roman"/>
                      <w:color w:val="000000" w:themeColor="text1"/>
                      <w:sz w:val="21"/>
                      <w:szCs w:val="21"/>
                      <w14:textFill>
                        <w14:solidFill>
                          <w14:schemeClr w14:val="tx1"/>
                        </w14:solidFill>
                      </w14:textFill>
                    </w:rPr>
                    <w:t xml:space="preserve"> 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exact"/>
                <w:jc w:val="center"/>
              </w:trPr>
              <w:tc>
                <w:tcPr>
                  <w:tcW w:w="16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2238" w:type="dxa"/>
                  <w:tcBorders>
                    <w:tl2br w:val="nil"/>
                    <w:tr2bl w:val="nil"/>
                  </w:tcBorders>
                  <w:noWrap w:val="0"/>
                  <w:vAlign w:val="center"/>
                </w:tcPr>
                <w:p>
                  <w:pPr>
                    <w:widowControl/>
                    <w:jc w:val="cente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自动包装机</w:t>
                  </w:r>
                </w:p>
              </w:tc>
              <w:tc>
                <w:tcPr>
                  <w:tcW w:w="2700" w:type="dxa"/>
                  <w:tcBorders>
                    <w:tl2br w:val="nil"/>
                    <w:tr2bl w:val="nil"/>
                  </w:tcBorders>
                  <w:noWrap w:val="0"/>
                  <w:vAlign w:val="center"/>
                </w:tcPr>
                <w:p>
                  <w:pPr>
                    <w:pStyle w:val="19"/>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75～85dB（A）</w:t>
                  </w:r>
                </w:p>
              </w:tc>
              <w:tc>
                <w:tcPr>
                  <w:tcW w:w="252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车间，连续运行</w:t>
                  </w:r>
                </w:p>
              </w:tc>
            </w:tr>
          </w:tbl>
          <w:p>
            <w:pPr>
              <w:spacing w:beforeLines="50" w:line="360" w:lineRule="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6.</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highlight w:val="none"/>
                <w14:textFill>
                  <w14:solidFill>
                    <w14:schemeClr w14:val="tx1"/>
                  </w14:solidFill>
                </w14:textFill>
              </w:rPr>
              <w:t>3.</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固体废物污染源</w:t>
            </w:r>
            <w:r>
              <w:rPr>
                <w:rFonts w:hint="default" w:ascii="Times New Roman" w:hAnsi="Times New Roman" w:eastAsia="宋体" w:cs="Times New Roman"/>
                <w:b/>
                <w:bCs/>
                <w:color w:val="000000" w:themeColor="text1"/>
                <w:sz w:val="24"/>
                <w:highlight w:val="none"/>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一般</w:t>
            </w: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工业</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固废</w:t>
            </w:r>
          </w:p>
          <w:p>
            <w:pPr>
              <w:pStyle w:val="6"/>
              <w:spacing w:line="360" w:lineRule="auto"/>
              <w:ind w:firstLine="482"/>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）尾泥：</w:t>
            </w:r>
          </w:p>
          <w:p>
            <w:pPr>
              <w:pStyle w:val="6"/>
              <w:spacing w:line="360" w:lineRule="auto"/>
              <w:ind w:firstLine="482"/>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①洗砂废水尾泥：</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根据物料平衡可知，本项目</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整个湿砂生产过程</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沉淀下来的泥浆用泥浆泵泵送到浓缩槽进一步浓缩后，通过过滤</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设施</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将泥浆分离成清水和泥饼</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，本项目湿砂生产过程中会</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产生尾泥饼量约为1500t/a（含水率约为40%），尾泥属于一般固废</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，收集后外售给水泥厂综合利用。</w:t>
            </w:r>
          </w:p>
          <w:p>
            <w:pPr>
              <w:pStyle w:val="6"/>
              <w:spacing w:line="360" w:lineRule="auto"/>
              <w:ind w:firstLine="482"/>
              <w:rPr>
                <w:rFonts w:hint="default" w:ascii="Times New Roman" w:hAnsi="Times New Roman" w:eastAsia="宋体" w:cs="Times New Roman"/>
                <w:bCs/>
                <w:color w:val="000000" w:themeColor="text1"/>
                <w:kern w:val="0"/>
                <w:sz w:val="24"/>
                <w:szCs w:val="24"/>
                <w14:textFill>
                  <w14:solidFill>
                    <w14:schemeClr w14:val="tx1"/>
                  </w14:solidFill>
                </w14:textFill>
              </w:rPr>
            </w:pPr>
            <w:r>
              <w:rPr>
                <w:rFonts w:hint="default" w:ascii="Times New Roman" w:hAnsi="Times New Roman" w:eastAsia="宋体" w:cs="Times New Roman"/>
                <w:b/>
                <w:bCs w:val="0"/>
                <w:color w:val="000000" w:themeColor="text1"/>
                <w:kern w:val="0"/>
                <w:sz w:val="24"/>
                <w:szCs w:val="24"/>
                <w:lang w:eastAsia="zh-CN"/>
                <w14:textFill>
                  <w14:solidFill>
                    <w14:schemeClr w14:val="tx1"/>
                  </w14:solidFill>
                </w14:textFill>
              </w:rPr>
              <w:t>②生产废水处理尾泥：</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生产废水（酸洗废水和清洗废水）</w:t>
            </w:r>
            <w:r>
              <w:rPr>
                <w:rFonts w:hint="default" w:ascii="Times New Roman" w:hAnsi="Times New Roman" w:eastAsia="宋体" w:cs="Times New Roman"/>
                <w:bCs/>
                <w:color w:val="000000" w:themeColor="text1"/>
                <w:kern w:val="0"/>
                <w:sz w:val="24"/>
                <w:szCs w:val="24"/>
                <w14:textFill>
                  <w14:solidFill>
                    <w14:schemeClr w14:val="tx1"/>
                  </w14:solidFill>
                </w14:textFill>
              </w:rPr>
              <w:t>进行中和沉淀处理，</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类比同类通常，</w:t>
            </w:r>
            <w:r>
              <w:rPr>
                <w:rFonts w:hint="default" w:ascii="Times New Roman" w:hAnsi="Times New Roman" w:eastAsia="宋体" w:cs="Times New Roman"/>
                <w:bCs/>
                <w:color w:val="000000" w:themeColor="text1"/>
                <w:kern w:val="0"/>
                <w:sz w:val="24"/>
                <w:szCs w:val="24"/>
                <w14:textFill>
                  <w14:solidFill>
                    <w14:schemeClr w14:val="tx1"/>
                  </w14:solidFill>
                </w14:textFill>
              </w:rPr>
              <w:t>处理后</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污泥</w:t>
            </w:r>
            <w:r>
              <w:rPr>
                <w:rFonts w:hint="default" w:ascii="Times New Roman" w:hAnsi="Times New Roman" w:eastAsia="宋体" w:cs="Times New Roman"/>
                <w:bCs/>
                <w:color w:val="000000" w:themeColor="text1"/>
                <w:kern w:val="0"/>
                <w:sz w:val="24"/>
                <w:szCs w:val="24"/>
                <w14:textFill>
                  <w14:solidFill>
                    <w14:schemeClr w14:val="tx1"/>
                  </w14:solidFill>
                </w14:textFill>
              </w:rPr>
              <w:t>经</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压</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滤压泥</w:t>
            </w:r>
            <w:r>
              <w:rPr>
                <w:rFonts w:hint="default" w:ascii="Times New Roman" w:hAnsi="Times New Roman" w:eastAsia="宋体" w:cs="Times New Roman"/>
                <w:bCs/>
                <w:color w:val="000000" w:themeColor="text1"/>
                <w:kern w:val="0"/>
                <w:sz w:val="24"/>
                <w:szCs w:val="24"/>
                <w14:textFill>
                  <w14:solidFill>
                    <w14:schemeClr w14:val="tx1"/>
                  </w14:solidFill>
                </w14:textFill>
              </w:rPr>
              <w:t>，经</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压滤压泥</w:t>
            </w:r>
            <w:r>
              <w:rPr>
                <w:rFonts w:hint="default" w:ascii="Times New Roman" w:hAnsi="Times New Roman" w:eastAsia="宋体" w:cs="Times New Roman"/>
                <w:bCs/>
                <w:color w:val="000000" w:themeColor="text1"/>
                <w:kern w:val="0"/>
                <w:sz w:val="24"/>
                <w:szCs w:val="24"/>
                <w14:textFill>
                  <w14:solidFill>
                    <w14:schemeClr w14:val="tx1"/>
                  </w14:solidFill>
                </w14:textFill>
              </w:rPr>
              <w:t>后</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生产废水处理</w:t>
            </w:r>
            <w:r>
              <w:rPr>
                <w:rFonts w:hint="default" w:ascii="Times New Roman" w:hAnsi="Times New Roman" w:eastAsia="宋体" w:cs="Times New Roman"/>
                <w:bCs/>
                <w:color w:val="000000" w:themeColor="text1"/>
                <w:kern w:val="0"/>
                <w:sz w:val="24"/>
                <w:szCs w:val="24"/>
                <w14:textFill>
                  <w14:solidFill>
                    <w14:schemeClr w14:val="tx1"/>
                  </w14:solidFill>
                </w14:textFill>
              </w:rPr>
              <w:t>的</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污泥</w:t>
            </w:r>
            <w:r>
              <w:rPr>
                <w:rFonts w:hint="default" w:ascii="Times New Roman" w:hAnsi="Times New Roman" w:eastAsia="宋体" w:cs="Times New Roman"/>
                <w:bCs/>
                <w:color w:val="000000" w:themeColor="text1"/>
                <w:kern w:val="0"/>
                <w:sz w:val="24"/>
                <w:szCs w:val="24"/>
                <w14:textFill>
                  <w14:solidFill>
                    <w14:schemeClr w14:val="tx1"/>
                  </w14:solidFill>
                </w14:textFill>
              </w:rPr>
              <w:t>产生量约</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50</w:t>
            </w:r>
            <w:r>
              <w:rPr>
                <w:rFonts w:hint="default" w:ascii="Times New Roman" w:hAnsi="Times New Roman" w:eastAsia="宋体" w:cs="Times New Roman"/>
                <w:bCs/>
                <w:color w:val="000000" w:themeColor="text1"/>
                <w:kern w:val="0"/>
                <w:sz w:val="24"/>
                <w:szCs w:val="24"/>
                <w14:textFill>
                  <w14:solidFill>
                    <w14:schemeClr w14:val="tx1"/>
                  </w14:solidFill>
                </w14:textFill>
              </w:rPr>
              <w:t>0t/a，</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该尾泥</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属于一般固废</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，收集后外售给水泥厂综合利用</w:t>
            </w:r>
            <w:r>
              <w:rPr>
                <w:rFonts w:hint="default" w:ascii="Times New Roman" w:hAnsi="Times New Roman" w:eastAsia="宋体" w:cs="Times New Roman"/>
                <w:bCs/>
                <w:color w:val="000000" w:themeColor="text1"/>
                <w:kern w:val="0"/>
                <w:sz w:val="24"/>
                <w:szCs w:val="24"/>
                <w14:textFill>
                  <w14:solidFill>
                    <w14:schemeClr w14:val="tx1"/>
                  </w14:solidFill>
                </w14:textFill>
              </w:rPr>
              <w:t>。</w:t>
            </w:r>
          </w:p>
          <w:p>
            <w:pPr>
              <w:pStyle w:val="6"/>
              <w:spacing w:line="360" w:lineRule="auto"/>
              <w:ind w:firstLine="482"/>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综上，本项目</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尾泥饼量约为2000t/a，尾泥属于一般固废</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，收集后外售给水泥厂综合利用。</w:t>
            </w:r>
          </w:p>
          <w:p>
            <w:pPr>
              <w:pStyle w:val="6"/>
              <w:numPr>
                <w:ilvl w:val="0"/>
                <w:numId w:val="2"/>
              </w:numPr>
              <w:spacing w:line="360" w:lineRule="auto"/>
              <w:ind w:firstLine="482"/>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磁尾砂：</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项目磁选工序中会产生一定磁尾砂，</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根据物料平衡可知，本项目</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整个湿砂生产过程</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产生磁尾砂</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量约为1500t/a（含水率约为20%）；酸洗后</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产生磁尾砂</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量约为20t/a；磁尾砂属于一般固废</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，收集后外售给建材厂综合利用。</w:t>
            </w:r>
          </w:p>
          <w:p>
            <w:pPr>
              <w:pStyle w:val="6"/>
              <w:numPr>
                <w:ilvl w:val="0"/>
                <w:numId w:val="2"/>
              </w:numPr>
              <w:spacing w:line="360" w:lineRule="auto"/>
              <w:ind w:left="0" w:leftChars="0" w:firstLine="482" w:firstLineChars="200"/>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杂砂：</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项目磁选工序中会产生一定其他颜色的砂，</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根据建设单位提供资料可知，本项目</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整个生产过程</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产生杂砂</w:t>
            </w:r>
            <w:r>
              <w:rPr>
                <w:rFonts w:hint="default" w:ascii="Times New Roman" w:hAnsi="Times New Roman" w:eastAsia="宋体" w:cs="Times New Roman"/>
                <w:b w:val="0"/>
                <w:bCs w:val="0"/>
                <w:caps w:val="0"/>
                <w:smallCaps w:val="0"/>
                <w:color w:val="000000" w:themeColor="text1"/>
                <w:sz w:val="24"/>
                <w:szCs w:val="24"/>
                <w:u w:val="none"/>
                <w:lang w:val="en-US" w:eastAsia="zh-CN"/>
                <w14:textFill>
                  <w14:solidFill>
                    <w14:schemeClr w14:val="tx1"/>
                  </w14:solidFill>
                </w14:textFill>
              </w:rPr>
              <w:t>量约为30t/a，杂砂属于一般固废</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，收集后外售给建材厂综合利用。</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）包装固废：</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根据建设单位提供的资料，</w:t>
            </w:r>
            <w:r>
              <w:rPr>
                <w:rFonts w:hint="default" w:ascii="Times New Roman" w:hAnsi="Times New Roman" w:eastAsia="宋体" w:cs="Times New Roman"/>
                <w:color w:val="000000" w:themeColor="text1"/>
                <w:sz w:val="24"/>
                <w:szCs w:val="28"/>
                <w14:textFill>
                  <w14:solidFill>
                    <w14:schemeClr w14:val="tx1"/>
                  </w14:solidFill>
                </w14:textFill>
              </w:rPr>
              <w:t>本</w:t>
            </w:r>
            <w:r>
              <w:rPr>
                <w:rFonts w:hint="default" w:ascii="Times New Roman" w:hAnsi="Times New Roman" w:eastAsia="宋体" w:cs="Times New Roman"/>
                <w:color w:val="000000" w:themeColor="text1"/>
                <w:sz w:val="24"/>
                <w14:textFill>
                  <w14:solidFill>
                    <w14:schemeClr w14:val="tx1"/>
                  </w14:solidFill>
                </w14:textFill>
              </w:rPr>
              <w:t>项目</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废弃包装物主要来源于原辅材料的拆包以及包装过程中产生少量的固废，产生量约为</w:t>
            </w:r>
            <w:r>
              <w:rPr>
                <w:rFonts w:hint="default" w:ascii="Times New Roman" w:hAnsi="Times New Roman" w:eastAsia="宋体" w:cs="Times New Roman"/>
                <w:b w:val="0"/>
                <w:bCs w:val="0"/>
                <w:color w:val="000000" w:themeColor="text1"/>
                <w:sz w:val="24"/>
                <w:lang w:val="en-US" w:eastAsia="zh-CN"/>
                <w14:textFill>
                  <w14:solidFill>
                    <w14:schemeClr w14:val="tx1"/>
                  </w14:solidFill>
                </w14:textFill>
              </w:rPr>
              <w:t>1t/a，</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包装废料的种类主要有包装纸、包装袋以及原料桶、原料袋等，该类包装废料不属于危险废物且属于普通日常固废，分类收集后，原料桶、原料袋等</w:t>
            </w:r>
            <w:r>
              <w:rPr>
                <w:rFonts w:hint="default" w:ascii="Times New Roman" w:hAnsi="Times New Roman" w:eastAsia="宋体" w:cs="Times New Roman"/>
                <w:color w:val="000000" w:themeColor="text1"/>
                <w:sz w:val="24"/>
                <w:szCs w:val="24"/>
                <w14:textFill>
                  <w14:solidFill>
                    <w14:schemeClr w14:val="tx1"/>
                  </w14:solidFill>
                </w14:textFill>
              </w:rPr>
              <w:t>由原材料供应商回收利用</w:t>
            </w:r>
            <w:r>
              <w:rPr>
                <w:rFonts w:hint="default" w:ascii="Times New Roman" w:hAnsi="Times New Roman" w:eastAsia="宋体" w:cs="Times New Roman"/>
                <w:color w:val="000000" w:themeColor="text1"/>
                <w:sz w:val="24"/>
                <w:szCs w:val="24"/>
                <w:lang w:eastAsia="zh-CN"/>
                <w14:textFill>
                  <w14:solidFill>
                    <w14:schemeClr w14:val="tx1"/>
                  </w14:solidFill>
                </w14:textFill>
              </w:rPr>
              <w:t>，其他</w:t>
            </w:r>
            <w:r>
              <w:rPr>
                <w:rFonts w:hint="default" w:ascii="Times New Roman" w:hAnsi="Times New Roman" w:eastAsia="宋体" w:cs="Times New Roman"/>
                <w:bCs w:val="0"/>
                <w:color w:val="000000" w:themeColor="text1"/>
                <w:sz w:val="24"/>
                <w:szCs w:val="28"/>
                <w:highlight w:val="none"/>
                <w:lang w:eastAsia="zh-CN"/>
                <w14:textFill>
                  <w14:solidFill>
                    <w14:schemeClr w14:val="tx1"/>
                  </w14:solidFill>
                </w14:textFill>
              </w:rPr>
              <w:t>交由专业固废回收公司处理</w:t>
            </w:r>
            <w:r>
              <w:rPr>
                <w:rFonts w:hint="default" w:ascii="Times New Roman" w:hAnsi="Times New Roman" w:eastAsia="宋体" w:cs="Times New Roman"/>
                <w:b w:val="0"/>
                <w:bCs w:val="0"/>
                <w:color w:val="000000" w:themeColor="text1"/>
                <w:sz w:val="24"/>
                <w:lang w:eastAsia="zh-CN"/>
                <w14:textFill>
                  <w14:solidFill>
                    <w14:schemeClr w14:val="tx1"/>
                  </w14:solidFill>
                </w14:textFill>
              </w:rPr>
              <w:t>。</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）污泥：</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参考《集中式污染治理设施产排污系数手册》（环境保护部华南环境科学研究所，2010 年修订）中“表3</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城镇污水处理厂和工业废水集中处理设施的化学污泥产生系数”，取含水80%污泥产生系数为4.53t/万t-废水处理量。本项目生活污水一体化处理设施需处理污水量共约</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432</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t/a，则预计含水率为80%的污泥产生量为</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0.196</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t/a。生活污水处理产生的污泥不属于《国家危险废物名录》（2016年）中所列的危险废物，经收集后可交由专业固废回收公司处理。</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lang w:eastAsia="zh-CN"/>
                <w14:textFill>
                  <w14:solidFill>
                    <w14:schemeClr w14:val="tx1"/>
                  </w14:solidFill>
                </w14:textFill>
              </w:rPr>
              <w:t>除尘灰</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根据工程</w:t>
            </w:r>
            <w:r>
              <w:rPr>
                <w:rFonts w:hint="default" w:ascii="Times New Roman" w:hAnsi="Times New Roman" w:eastAsia="宋体" w:cs="Times New Roman"/>
                <w:color w:val="000000" w:themeColor="text1"/>
                <w:sz w:val="24"/>
                <w:szCs w:val="24"/>
                <w:lang w:eastAsia="zh-CN"/>
                <w14:textFill>
                  <w14:solidFill>
                    <w14:schemeClr w14:val="tx1"/>
                  </w14:solidFill>
                </w14:textFill>
              </w:rPr>
              <w:t>分析</w:t>
            </w:r>
            <w:r>
              <w:rPr>
                <w:rFonts w:hint="default" w:ascii="Times New Roman" w:hAnsi="Times New Roman" w:eastAsia="宋体" w:cs="Times New Roman"/>
                <w:color w:val="000000" w:themeColor="text1"/>
                <w:sz w:val="24"/>
                <w:szCs w:val="24"/>
                <w14:textFill>
                  <w14:solidFill>
                    <w14:schemeClr w14:val="tx1"/>
                  </w14:solidFill>
                </w14:textFill>
              </w:rPr>
              <w:t>可知，本项目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1#排气筒</w:t>
            </w:r>
            <w:r>
              <w:rPr>
                <w:rFonts w:hint="default" w:ascii="Times New Roman" w:hAnsi="Times New Roman" w:eastAsia="宋体" w:cs="Times New Roman"/>
                <w:color w:val="000000" w:themeColor="text1"/>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z w:val="24"/>
                <w:szCs w:val="24"/>
                <w14:textFill>
                  <w14:solidFill>
                    <w14:schemeClr w14:val="tx1"/>
                  </w14:solidFill>
                </w14:textFill>
              </w:rPr>
              <w:t>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5.755</w:t>
            </w:r>
            <w:r>
              <w:rPr>
                <w:rFonts w:hint="default" w:ascii="Times New Roman" w:hAnsi="Times New Roman" w:eastAsia="宋体" w:cs="Times New Roman"/>
                <w:color w:val="000000" w:themeColor="text1"/>
                <w:sz w:val="24"/>
                <w:szCs w:val="24"/>
                <w14:textFill>
                  <w14:solidFill>
                    <w14:schemeClr w14:val="tx1"/>
                  </w14:solidFill>
                </w14:textFill>
              </w:rPr>
              <w:t>t/a，经收集后引至</w:t>
            </w:r>
            <w:r>
              <w:rPr>
                <w:rFonts w:hint="default" w:ascii="Times New Roman" w:hAnsi="Times New Roman" w:eastAsia="宋体" w:cs="Times New Roman"/>
                <w:color w:val="000000" w:themeColor="text1"/>
                <w:sz w:val="24"/>
                <w:szCs w:val="24"/>
                <w:lang w:eastAsia="zh-CN"/>
                <w14:textFill>
                  <w14:solidFill>
                    <w14:schemeClr w14:val="tx1"/>
                  </w14:solidFill>
                </w14:textFill>
              </w:rPr>
              <w:t>“旋风除尘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+麻石水膜除尘</w:t>
            </w:r>
            <w:r>
              <w:rPr>
                <w:rFonts w:hint="default" w:ascii="Times New Roman" w:hAnsi="Times New Roman" w:eastAsia="宋体" w:cs="Times New Roman"/>
                <w:color w:val="000000" w:themeColor="text1"/>
                <w:sz w:val="24"/>
                <w:szCs w:val="24"/>
                <w:lang w:eastAsia="zh-CN"/>
                <w14:textFill>
                  <w14:solidFill>
                    <w14:schemeClr w14:val="tx1"/>
                  </w14:solidFill>
                </w14:textFill>
              </w:rPr>
              <w:t>”除尘设施</w:t>
            </w:r>
            <w:r>
              <w:rPr>
                <w:rFonts w:hint="default" w:ascii="Times New Roman" w:hAnsi="Times New Roman" w:eastAsia="宋体" w:cs="Times New Roman"/>
                <w:color w:val="000000" w:themeColor="text1"/>
                <w:sz w:val="24"/>
                <w:szCs w:val="24"/>
                <w14:textFill>
                  <w14:solidFill>
                    <w14:schemeClr w14:val="tx1"/>
                  </w14:solidFill>
                </w14:textFill>
              </w:rPr>
              <w:t>处理</w:t>
            </w:r>
            <w:r>
              <w:rPr>
                <w:rFonts w:hint="default" w:ascii="Times New Roman" w:hAnsi="Times New Roman" w:eastAsia="宋体" w:cs="Times New Roman"/>
                <w:color w:val="000000" w:themeColor="text1"/>
                <w:sz w:val="24"/>
                <w:szCs w:val="24"/>
                <w:lang w:eastAsia="zh-CN"/>
                <w14:textFill>
                  <w14:solidFill>
                    <w14:schemeClr w14:val="tx1"/>
                  </w14:solidFill>
                </w14:textFill>
              </w:rPr>
              <w:t>后</w:t>
            </w:r>
            <w:r>
              <w:rPr>
                <w:rFonts w:hint="default" w:ascii="Times New Roman" w:hAnsi="Times New Roman" w:eastAsia="宋体" w:cs="Times New Roman"/>
                <w:color w:val="000000" w:themeColor="text1"/>
                <w:sz w:val="24"/>
                <w:szCs w:val="24"/>
                <w14:textFill>
                  <w14:solidFill>
                    <w14:schemeClr w14:val="tx1"/>
                  </w14:solidFill>
                </w14:textFill>
              </w:rPr>
              <w:t>，有组织排放量为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0.058</w:t>
            </w:r>
            <w:r>
              <w:rPr>
                <w:rFonts w:hint="default" w:ascii="Times New Roman" w:hAnsi="Times New Roman" w:eastAsia="宋体" w:cs="Times New Roman"/>
                <w:color w:val="000000" w:themeColor="text1"/>
                <w:sz w:val="24"/>
                <w:szCs w:val="24"/>
                <w14:textFill>
                  <w14:solidFill>
                    <w14:schemeClr w14:val="tx1"/>
                  </w14:solidFill>
                </w14:textFill>
              </w:rPr>
              <w:t>t/a，则本项目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粉尘</w:t>
            </w:r>
            <w:r>
              <w:rPr>
                <w:rFonts w:hint="default" w:ascii="Times New Roman" w:hAnsi="Times New Roman" w:eastAsia="宋体" w:cs="Times New Roman"/>
                <w:color w:val="000000" w:themeColor="text1"/>
                <w:sz w:val="24"/>
                <w:szCs w:val="24"/>
                <w14:textFill>
                  <w14:solidFill>
                    <w14:schemeClr w14:val="tx1"/>
                  </w14:solidFill>
                </w14:textFill>
              </w:rPr>
              <w:t>消减量</w:t>
            </w:r>
            <w:r>
              <w:rPr>
                <w:rFonts w:hint="default" w:ascii="Times New Roman" w:hAnsi="Times New Roman" w:eastAsia="宋体" w:cs="Times New Roman"/>
                <w:color w:val="000000" w:themeColor="text1"/>
                <w:sz w:val="24"/>
                <w:szCs w:val="24"/>
                <w:lang w:eastAsia="zh-CN"/>
                <w14:textFill>
                  <w14:solidFill>
                    <w14:schemeClr w14:val="tx1"/>
                  </w14:solidFill>
                </w14:textFill>
              </w:rPr>
              <w:t>约</w:t>
            </w:r>
            <w:r>
              <w:rPr>
                <w:rFonts w:hint="default" w:ascii="Times New Roman" w:hAnsi="Times New Roman" w:eastAsia="宋体" w:cs="Times New Roman"/>
                <w:color w:val="000000" w:themeColor="text1"/>
                <w:sz w:val="24"/>
                <w:szCs w:val="24"/>
                <w14:textFill>
                  <w14:solidFill>
                    <w14:schemeClr w14:val="tx1"/>
                  </w14:solidFill>
                </w14:textFill>
              </w:rPr>
              <w:t>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5.697</w:t>
            </w:r>
            <w:r>
              <w:rPr>
                <w:rFonts w:hint="default" w:ascii="Times New Roman" w:hAnsi="Times New Roman" w:eastAsia="宋体" w:cs="Times New Roman"/>
                <w:color w:val="000000" w:themeColor="text1"/>
                <w:sz w:val="24"/>
                <w:szCs w:val="24"/>
                <w14:textFill>
                  <w14:solidFill>
                    <w14:schemeClr w14:val="tx1"/>
                  </w14:solidFill>
                </w14:textFill>
              </w:rPr>
              <w:t>t/a，该部分粉尘经收集后</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highlight w:val="none"/>
                <w:lang w:val="en-US" w:eastAsia="zh-CN"/>
                <w14:textFill>
                  <w14:solidFill>
                    <w14:schemeClr w14:val="tx1"/>
                  </w14:solidFill>
                </w14:textFill>
              </w:rPr>
              <w:t>收集后外售给建材厂综合利用</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outlineLvl w:val="9"/>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危险废物</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本项目运营期机械设备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（如空压机）</w:t>
            </w:r>
            <w:r>
              <w:rPr>
                <w:rFonts w:hint="default" w:ascii="Times New Roman" w:hAnsi="Times New Roman" w:eastAsia="宋体" w:cs="Times New Roman"/>
                <w:color w:val="000000" w:themeColor="text1"/>
                <w:sz w:val="24"/>
                <w:szCs w:val="24"/>
                <w:highlight w:val="none"/>
                <w14:textFill>
                  <w14:solidFill>
                    <w14:schemeClr w14:val="tx1"/>
                  </w14:solidFill>
                </w14:textFill>
              </w:rPr>
              <w:t>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修过程中会有废润滑油产生，产生量约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0.05t/a，属编号为HW08的危险废物，</w:t>
            </w:r>
            <w:r>
              <w:rPr>
                <w:rFonts w:hint="default" w:ascii="Times New Roman" w:hAnsi="Times New Roman" w:eastAsia="宋体" w:cs="Times New Roman"/>
                <w:color w:val="000000" w:themeColor="text1"/>
                <w:spacing w:val="-6"/>
                <w:sz w:val="24"/>
                <w:highlight w:val="none"/>
                <w14:textFill>
                  <w14:solidFill>
                    <w14:schemeClr w14:val="tx1"/>
                  </w14:solidFill>
                </w14:textFill>
              </w:rPr>
              <w:t>废物代码：900-217-08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，收集后交由有资质危废公司处理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sz w:val="24"/>
                <w:szCs w:val="28"/>
                <w:highlight w:val="none"/>
                <w14:textFill>
                  <w14:solidFill>
                    <w14:schemeClr w14:val="tx1"/>
                  </w14:solidFill>
                </w14:textFill>
              </w:rPr>
            </w:pPr>
            <w:r>
              <w:rPr>
                <w:rFonts w:hint="default" w:ascii="Times New Roman" w:hAnsi="Times New Roman" w:eastAsia="宋体" w:cs="Times New Roman"/>
                <w:b/>
                <w:bCs/>
                <w:color w:val="000000" w:themeColor="text1"/>
                <w:sz w:val="24"/>
                <w:szCs w:val="28"/>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8"/>
                <w:highlight w:val="none"/>
                <w14:textFill>
                  <w14:solidFill>
                    <w14:schemeClr w14:val="tx1"/>
                  </w14:solidFill>
                </w14:textFill>
              </w:rPr>
              <w:t>生活垃圾</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本项目劳动定员</w:t>
            </w:r>
            <w:r>
              <w:rPr>
                <w:rFonts w:hint="default" w:ascii="Times New Roman" w:hAnsi="Times New Roman" w:eastAsia="宋体" w:cs="Times New Roman"/>
                <w:bCs/>
                <w:color w:val="000000" w:themeColor="text1"/>
                <w:sz w:val="24"/>
                <w:highlight w:val="none"/>
                <w:lang w:val="en-US" w:eastAsia="zh-CN"/>
                <w14:textFill>
                  <w14:solidFill>
                    <w14:schemeClr w14:val="tx1"/>
                  </w14:solidFill>
                </w14:textFill>
              </w:rPr>
              <w:t>20</w:t>
            </w:r>
            <w:r>
              <w:rPr>
                <w:rFonts w:hint="default" w:ascii="Times New Roman" w:hAnsi="Times New Roman" w:eastAsia="宋体" w:cs="Times New Roman"/>
                <w:bCs/>
                <w:color w:val="000000" w:themeColor="text1"/>
                <w:sz w:val="24"/>
                <w:highlight w:val="none"/>
                <w14:textFill>
                  <w14:solidFill>
                    <w14:schemeClr w14:val="tx1"/>
                  </w14:solidFill>
                </w14:textFill>
              </w:rPr>
              <w:t>人</w:t>
            </w:r>
            <w:r>
              <w:rPr>
                <w:rFonts w:hint="default" w:ascii="Times New Roman" w:hAnsi="Times New Roman" w:eastAsia="宋体" w:cs="Times New Roman"/>
                <w:color w:val="000000" w:themeColor="text1"/>
                <w:sz w:val="24"/>
                <w:highlight w:val="none"/>
                <w14:textFill>
                  <w14:solidFill>
                    <w14:schemeClr w14:val="tx1"/>
                  </w14:solidFill>
                </w14:textFill>
              </w:rPr>
              <w:t>，每人每天产生生活垃圾约0.5kg</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故生活垃圾产生量约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snapToGrid/>
              <w:spacing w:beforeLines="50"/>
              <w:jc w:val="center"/>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表6.</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14:textFill>
                  <w14:solidFill>
                    <w14:schemeClr w14:val="tx1"/>
                  </w14:solidFill>
                </w14:textFill>
              </w:rPr>
              <w:t>-</w:t>
            </w:r>
            <w:r>
              <w:rPr>
                <w:rFonts w:hint="eastAsia" w:ascii="Times New Roman" w:hAnsi="Times New Roman" w:eastAsia="宋体" w:cs="Times New Roman"/>
                <w:b/>
                <w:bCs/>
                <w:color w:val="000000" w:themeColor="text1"/>
                <w:sz w:val="24"/>
                <w:highlight w:val="none"/>
                <w:lang w:val="en-US" w:eastAsia="zh-CN"/>
                <w14:textFill>
                  <w14:solidFill>
                    <w14:schemeClr w14:val="tx1"/>
                  </w14:solidFill>
                </w14:textFill>
              </w:rPr>
              <w:t>11</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highlight w:val="none"/>
                <w14:textFill>
                  <w14:solidFill>
                    <w14:schemeClr w14:val="tx1"/>
                  </w14:solidFill>
                </w14:textFill>
              </w:rPr>
              <w:t>固体废物产</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生</w:t>
            </w:r>
            <w:r>
              <w:rPr>
                <w:rFonts w:hint="default" w:ascii="Times New Roman" w:hAnsi="Times New Roman" w:eastAsia="宋体" w:cs="Times New Roman"/>
                <w:b/>
                <w:bCs/>
                <w:color w:val="000000" w:themeColor="text1"/>
                <w:sz w:val="24"/>
                <w:highlight w:val="none"/>
                <w14:textFill>
                  <w14:solidFill>
                    <w14:schemeClr w14:val="tx1"/>
                  </w14:solidFill>
                </w14:textFill>
              </w:rPr>
              <w:t>情况汇总表</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652"/>
              <w:gridCol w:w="1404"/>
              <w:gridCol w:w="1373"/>
              <w:gridCol w:w="1423"/>
              <w:gridCol w:w="33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固废名称</w:t>
                  </w:r>
                </w:p>
              </w:tc>
              <w:tc>
                <w:tcPr>
                  <w:tcW w:w="1404"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固废属性</w:t>
                  </w:r>
                </w:p>
              </w:tc>
              <w:tc>
                <w:tcPr>
                  <w:tcW w:w="1373"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产生工序</w:t>
                  </w:r>
                </w:p>
              </w:tc>
              <w:tc>
                <w:tcPr>
                  <w:tcW w:w="1423" w:type="dxa"/>
                  <w:vAlign w:val="center"/>
                </w:tcPr>
                <w:p>
                  <w:pPr>
                    <w:jc w:val="cente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产生量</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t/a</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p>
              </w:tc>
              <w:tc>
                <w:tcPr>
                  <w:tcW w:w="3372"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Merge w:val="restart"/>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尾泥</w:t>
                  </w:r>
                </w:p>
              </w:tc>
              <w:tc>
                <w:tcPr>
                  <w:tcW w:w="1404" w:type="dxa"/>
                  <w:vMerge w:val="restart"/>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洗砂废水循环处理设施</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1500</w:t>
                  </w:r>
                </w:p>
              </w:tc>
              <w:tc>
                <w:tcPr>
                  <w:tcW w:w="3372" w:type="dxa"/>
                  <w:vMerge w:val="restart"/>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收集后外售给水泥厂综合利用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c>
                <w:tcPr>
                  <w:tcW w:w="1404" w:type="dxa"/>
                  <w:vMerge w:val="continue"/>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生产废水处理设施</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500</w:t>
                  </w:r>
                </w:p>
              </w:tc>
              <w:tc>
                <w:tcPr>
                  <w:tcW w:w="3372" w:type="dxa"/>
                  <w:vMerge w:val="continue"/>
                  <w:vAlign w:val="center"/>
                </w:tcPr>
                <w:p>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c>
                <w:tcPr>
                  <w:tcW w:w="1404" w:type="dxa"/>
                  <w:vMerge w:val="continue"/>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小计</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2000</w:t>
                  </w:r>
                </w:p>
              </w:tc>
              <w:tc>
                <w:tcPr>
                  <w:tcW w:w="3372" w:type="dxa"/>
                  <w:vMerge w:val="continue"/>
                  <w:vAlign w:val="center"/>
                </w:tcPr>
                <w:p>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磁尾砂</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磁选工序</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1520</w:t>
                  </w:r>
                </w:p>
              </w:tc>
              <w:tc>
                <w:tcPr>
                  <w:tcW w:w="3372" w:type="dxa"/>
                  <w:vMerge w:val="restart"/>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收集后外售给建材厂综合利用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杂砂</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色选工序</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30</w:t>
                  </w:r>
                </w:p>
              </w:tc>
              <w:tc>
                <w:tcPr>
                  <w:tcW w:w="337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除尘灰</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废气处理</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5.697</w:t>
                  </w:r>
                </w:p>
              </w:tc>
              <w:tc>
                <w:tcPr>
                  <w:tcW w:w="337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包装固废</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原辅料拆包、包装工序</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337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原料桶、原料袋等由原材料供应商回收利用，其他交由专业固废回收公司处理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污泥</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生活污水一体化处理设施</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0.196</w:t>
                  </w:r>
                </w:p>
              </w:tc>
              <w:tc>
                <w:tcPr>
                  <w:tcW w:w="3372"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收集后可交由专业固废回收公司处理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废润滑油</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HW08类危险废物</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机械维修</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0.05</w:t>
                  </w:r>
                </w:p>
              </w:tc>
              <w:tc>
                <w:tcPr>
                  <w:tcW w:w="3372" w:type="dxa"/>
                  <w:vAlign w:val="center"/>
                </w:tcPr>
                <w:p>
                  <w:pPr>
                    <w:jc w:val="center"/>
                    <w:rPr>
                      <w:rFonts w:hint="default" w:ascii="Times New Roman" w:hAnsi="Times New Roman" w:eastAsia="宋体" w:cs="Times New Roman"/>
                      <w:b w:val="0"/>
                      <w:bCs/>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分类储存，</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交</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由</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有资质危废公司处理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员工生活</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w:t>
                  </w:r>
                </w:p>
              </w:tc>
              <w:tc>
                <w:tcPr>
                  <w:tcW w:w="3372" w:type="dxa"/>
                  <w:vAlign w:val="center"/>
                </w:tcPr>
                <w:p>
                  <w:pPr>
                    <w:jc w:val="center"/>
                    <w:rPr>
                      <w:rFonts w:hint="default" w:ascii="Times New Roman" w:hAnsi="Times New Roman" w:eastAsia="宋体" w:cs="Times New Roman"/>
                      <w:b w:val="0"/>
                      <w:bCs/>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分类储存，</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交环卫部门处理</w:t>
                  </w:r>
                </w:p>
              </w:tc>
            </w:tr>
          </w:tbl>
          <w:p>
            <w:pPr>
              <w:keepNext w:val="0"/>
              <w:keepLines w:val="0"/>
              <w:pageBreakBefore w:val="0"/>
              <w:widowControl w:val="0"/>
              <w:tabs>
                <w:tab w:val="left" w:pos="297"/>
              </w:tabs>
              <w:kinsoku/>
              <w:wordWrap/>
              <w:overflowPunct/>
              <w:topLinePunct w:val="0"/>
              <w:autoSpaceDE/>
              <w:autoSpaceDN/>
              <w:bidi w:val="0"/>
              <w:adjustRightInd/>
              <w:snapToGrid/>
              <w:spacing w:before="157" w:beforeLines="50" w:line="360" w:lineRule="auto"/>
              <w:textAlignment w:val="auto"/>
              <w:outlineLvl w:val="9"/>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6.2.3.5水平衡分析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本项目湿砂生产过程中会使用洗砂用水约565.75</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/d（169725</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/a），刨除循环回用水量496.08</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/d（148825</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/a），每天尚需加入新鲜水约69.66</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/d（20900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/a）；酸洗生产过程中会使用酸洗用水约3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/d（900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/a），清洗用水约100</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/d（30000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/a）刨除循环回用水量83.7</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/d（25110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/a），酸洗过程中每天尚需加入新鲜水约19.3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/d（5790</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/a）</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项目除尘设施喷淋水循环使用，不外排，每天按时补充损耗的新鲜水</w:t>
            </w:r>
            <w:r>
              <w:rPr>
                <w:rFonts w:hint="default" w:ascii="Times New Roman" w:hAnsi="Times New Roman" w:eastAsia="宋体" w:cs="Times New Roman"/>
                <w:caps w:val="0"/>
                <w:color w:val="000000" w:themeColor="text1"/>
                <w:sz w:val="24"/>
                <w:szCs w:val="24"/>
                <w:highlight w:val="none"/>
                <w:lang w:val="en-US" w:eastAsia="zh-CN"/>
                <w14:textFill>
                  <w14:solidFill>
                    <w14:schemeClr w14:val="tx1"/>
                  </w14:solidFill>
                </w14:textFill>
              </w:rPr>
              <w:t>0.1</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/d</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m</w:t>
            </w:r>
            <w:r>
              <w:rPr>
                <w:rFonts w:hint="default" w:ascii="Times New Roman" w:hAnsi="Times New Roman" w:eastAsia="宋体" w:cs="Times New Roman"/>
                <w:color w:val="000000" w:themeColor="text1"/>
                <w:spacing w:val="-6"/>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a</w:t>
            </w:r>
            <w:r>
              <w:rPr>
                <w:rFonts w:hint="default" w:ascii="Times New Roman" w:hAnsi="Times New Roman" w:eastAsia="宋体" w:cs="Times New Roman"/>
                <w:color w:val="000000" w:themeColor="text1"/>
                <w:spacing w:val="-6"/>
                <w:sz w:val="24"/>
                <w:szCs w:val="24"/>
                <w:highlight w:val="none"/>
                <w:lang w:eastAsia="zh-CN"/>
                <w14:textFill>
                  <w14:solidFill>
                    <w14:schemeClr w14:val="tx1"/>
                  </w14:solidFill>
                </w14:textFill>
              </w:rPr>
              <w:t>）</w:t>
            </w:r>
            <w:r>
              <w:rPr>
                <w:rFonts w:hint="default" w:ascii="Times New Roman" w:hAnsi="Times New Roman" w:eastAsia="宋体" w:cs="Times New Roman"/>
                <w:caps w:val="0"/>
                <w:color w:val="000000" w:themeColor="text1"/>
                <w:sz w:val="24"/>
                <w:szCs w:val="24"/>
                <w:highlight w:val="none"/>
                <w:lang w:eastAsia="zh-CN"/>
                <w14:textFill>
                  <w14:solidFill>
                    <w14:schemeClr w14:val="tx1"/>
                  </w14:solidFill>
                </w14:textFill>
              </w:rPr>
              <w:t>即可；</w:t>
            </w:r>
            <w:r>
              <w:rPr>
                <w:rFonts w:hint="default" w:ascii="Times New Roman" w:hAnsi="Times New Roman" w:eastAsia="宋体" w:cs="Times New Roman"/>
                <w:b w:val="0"/>
                <w:bCs/>
                <w:color w:val="000000" w:themeColor="text1"/>
                <w:sz w:val="24"/>
                <w:highlight w:val="none"/>
                <w:vertAlign w:val="baseline"/>
                <w:lang w:val="en-US" w:eastAsia="zh-CN"/>
                <w14:textFill>
                  <w14:solidFill>
                    <w14:schemeClr w14:val="tx1"/>
                  </w14:solidFill>
                </w14:textFill>
              </w:rPr>
              <w:t>水平衡图如下：</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pP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object>
                <v:shape id="_x0000_i1027" o:spt="75" alt="" type="#_x0000_t75" style="height:526.65pt;width:406.7pt;" o:ole="t" filled="f" o:preferrelative="t" stroked="f" coordsize="21600,21600">
                  <v:path/>
                  <v:fill on="f" focussize="0,0"/>
                  <v:stroke on="f"/>
                  <v:imagedata r:id="rId12" o:title=""/>
                  <o:lock v:ext="edit" aspectratio="f"/>
                  <w10:wrap type="none"/>
                  <w10:anchorlock/>
                </v:shape>
                <o:OLEObject Type="Embed" ProgID="Visio.Drawing.11" ShapeID="_x0000_i1027" DrawAspect="Content" ObjectID="_1468075727" r:id="rId11">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32"/>
                <w:highlight w:val="none"/>
                <w:lang w:eastAsia="zh-CN"/>
                <w14:textFill>
                  <w14:solidFill>
                    <w14:schemeClr w14:val="tx1"/>
                  </w14:solidFill>
                </w14:textFill>
              </w:rPr>
              <w:t>图</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6.2-</w:t>
            </w: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 xml:space="preserve"> 本项目湿砂生产过程中水平衡图（单位：m</w:t>
            </w:r>
            <w:r>
              <w:rPr>
                <w:rFonts w:hint="default" w:ascii="Times New Roman" w:hAnsi="Times New Roman" w:eastAsia="宋体" w:cs="Times New Roman"/>
                <w:b/>
                <w:bCs/>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/a）</w:t>
            </w:r>
          </w:p>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object>
                <v:shape id="_x0000_i1028" o:spt="75" type="#_x0000_t75" style="height:333.15pt;width:389.7pt;" o:ole="t" filled="f" o:preferrelative="t" stroked="f" coordsize="21600,21600">
                  <v:path/>
                  <v:fill on="f" focussize="0,0"/>
                  <v:stroke on="f"/>
                  <v:imagedata r:id="rId14" o:title=""/>
                  <o:lock v:ext="edit" aspectratio="t"/>
                  <w10:wrap type="none"/>
                  <w10:anchorlock/>
                </v:shape>
                <o:OLEObject Type="Embed" ProgID="Visio.Drawing.11" ShapeID="_x0000_i1028" DrawAspect="Content" ObjectID="_1468075728" r:id="rId13">
                  <o:LockedField>false</o:LockedField>
                </o:OLEObject>
              </w:objec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32"/>
                <w:highlight w:val="none"/>
                <w:lang w:eastAsia="zh-CN"/>
                <w14:textFill>
                  <w14:solidFill>
                    <w14:schemeClr w14:val="tx1"/>
                  </w14:solidFill>
                </w14:textFill>
              </w:rPr>
              <w:t>图</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6.2-</w:t>
            </w: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 xml:space="preserve"> 本项目水平衡图（单位：m</w:t>
            </w:r>
            <w:r>
              <w:rPr>
                <w:rFonts w:hint="default" w:ascii="Times New Roman" w:hAnsi="Times New Roman" w:eastAsia="宋体" w:cs="Times New Roman"/>
                <w:b/>
                <w:bCs/>
                <w:color w:val="000000" w:themeColor="text1"/>
                <w:sz w:val="24"/>
                <w:szCs w:val="32"/>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/a）</w:t>
            </w:r>
          </w:p>
          <w:p>
            <w:pPr>
              <w:spacing w:line="360" w:lineRule="auto"/>
              <w:jc w:val="left"/>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6.</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highlight w:val="none"/>
                <w14:textFill>
                  <w14:solidFill>
                    <w14:schemeClr w14:val="tx1"/>
                  </w14:solidFill>
                </w14:textFill>
              </w:rPr>
              <w:t>3.</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6物料平衡分析</w:t>
            </w:r>
          </w:p>
          <w:p>
            <w:pPr>
              <w:pStyle w:val="79"/>
              <w:keepNext w:val="0"/>
              <w:keepLines w:val="0"/>
              <w:pageBreakBefore w:val="0"/>
              <w:widowControl w:val="0"/>
              <w:kinsoku/>
              <w:wordWrap/>
              <w:overflowPunct/>
              <w:topLinePunct w:val="0"/>
              <w:autoSpaceDE/>
              <w:autoSpaceDN/>
              <w:bidi w:val="0"/>
              <w:adjustRightInd/>
              <w:snapToGrid/>
              <w:spacing w:before="0" w:beforeAutospacing="0" w:line="240" w:lineRule="auto"/>
              <w:jc w:val="center"/>
              <w:textAlignment w:val="auto"/>
              <w:outlineLvl w:val="9"/>
              <w:rPr>
                <w:rFonts w:hint="default" w:ascii="Times New Roman" w:hAnsi="Times New Roman" w:eastAsia="宋体" w:cs="Times New Roman"/>
                <w:color w:val="000000" w:themeColor="text1"/>
                <w:sz w:val="28"/>
                <w:highlight w:val="none"/>
                <w:lang w:eastAsia="zh-CN"/>
                <w14:textFill>
                  <w14:solidFill>
                    <w14:schemeClr w14:val="tx1"/>
                  </w14:solidFill>
                </w14:textFill>
              </w:rPr>
            </w:pP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object>
                <v:shape id="_x0000_i1029" o:spt="75" type="#_x0000_t75" style="height:534.3pt;width:430.85pt;" o:ole="t" filled="f" o:preferrelative="t" stroked="f" coordsize="21600,21600">
                  <v:path/>
                  <v:fill on="f" focussize="0,0"/>
                  <v:stroke on="f"/>
                  <v:imagedata r:id="rId16" o:title=""/>
                  <o:lock v:ext="edit" aspectratio="f"/>
                  <w10:wrap type="none"/>
                  <w10:anchorlock/>
                </v:shape>
                <o:OLEObject Type="Embed" ProgID="Visio.Drawing.11" ShapeID="_x0000_i1029" DrawAspect="Content" ObjectID="_1468075729" r:id="rId15">
                  <o:LockedField>false</o:LockedField>
                </o:OLEObject>
              </w:object>
            </w:r>
          </w:p>
          <w:p>
            <w:pPr>
              <w:keepNext w:val="0"/>
              <w:keepLines w:val="0"/>
              <w:pageBreakBefore w:val="0"/>
              <w:widowControl w:val="0"/>
              <w:kinsoku/>
              <w:wordWrap/>
              <w:overflowPunct/>
              <w:topLinePunct w:val="0"/>
              <w:autoSpaceDE/>
              <w:autoSpaceDN/>
              <w:bidi w:val="0"/>
              <w:adjustRightInd/>
              <w:snapToGrid/>
              <w:spacing w:before="180" w:after="60" w:line="360" w:lineRule="auto"/>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图</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项目湿砂生产</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物料</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平衡图（单位：t/a）</w:t>
            </w:r>
          </w:p>
          <w:p>
            <w:pPr>
              <w:pStyle w:val="79"/>
              <w:keepNext w:val="0"/>
              <w:keepLines w:val="0"/>
              <w:pageBreakBefore w:val="0"/>
              <w:widowControl w:val="0"/>
              <w:kinsoku/>
              <w:wordWrap/>
              <w:overflowPunct/>
              <w:topLinePunct w:val="0"/>
              <w:autoSpaceDE/>
              <w:autoSpaceDN/>
              <w:bidi w:val="0"/>
              <w:adjustRightInd/>
              <w:snapToGrid/>
              <w:spacing w:before="0" w:beforeAutospacing="0" w:line="240" w:lineRule="auto"/>
              <w:jc w:val="center"/>
              <w:textAlignment w:val="auto"/>
              <w:outlineLvl w:val="9"/>
              <w:rPr>
                <w:rFonts w:hint="default" w:ascii="Times New Roman" w:hAnsi="Times New Roman" w:eastAsia="宋体" w:cs="Times New Roman"/>
                <w:color w:val="000000" w:themeColor="text1"/>
                <w:sz w:val="28"/>
                <w:highlight w:val="none"/>
                <w:lang w:eastAsia="zh-CN"/>
                <w14:textFill>
                  <w14:solidFill>
                    <w14:schemeClr w14:val="tx1"/>
                  </w14:solidFill>
                </w14:textFill>
              </w:rPr>
            </w:pP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object>
                <v:shape id="_x0000_i1030" o:spt="75" alt="" type="#_x0000_t75" style="height:569.55pt;width:348.45pt;" o:ole="t" filled="f" o:preferrelative="t" stroked="f" coordsize="21600,21600">
                  <v:path/>
                  <v:fill on="f" focussize="0,0"/>
                  <v:stroke on="f"/>
                  <v:imagedata r:id="rId18" o:title=""/>
                  <o:lock v:ext="edit" aspectratio="f"/>
                  <w10:wrap type="none"/>
                  <w10:anchorlock/>
                </v:shape>
                <o:OLEObject Type="Embed" ProgID="Visio.Drawing.11" ShapeID="_x0000_i1030" DrawAspect="Content" ObjectID="_1468075730" r:id="rId17">
                  <o:LockedField>false</o:LockedField>
                </o:OLEObject>
              </w:object>
            </w:r>
          </w:p>
          <w:p>
            <w:pPr>
              <w:keepNext w:val="0"/>
              <w:keepLines w:val="0"/>
              <w:pageBreakBefore w:val="0"/>
              <w:widowControl w:val="0"/>
              <w:kinsoku/>
              <w:wordWrap/>
              <w:overflowPunct/>
              <w:topLinePunct w:val="0"/>
              <w:autoSpaceDE/>
              <w:autoSpaceDN/>
              <w:bidi w:val="0"/>
              <w:adjustRightInd/>
              <w:snapToGrid/>
              <w:spacing w:before="180" w:after="60" w:line="360" w:lineRule="auto"/>
              <w:jc w:val="center"/>
              <w:textAlignment w:val="auto"/>
              <w:outlineLvl w:val="9"/>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图</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6.2-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项目酸洗烘干筛分</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物料</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平衡图（单位：t/a）</w:t>
            </w:r>
          </w:p>
          <w:p>
            <w:pPr>
              <w:pStyle w:val="2"/>
              <w:keepNext w:val="0"/>
              <w:keepLines w:val="0"/>
              <w:pageBreakBefore w:val="0"/>
              <w:widowControl w:val="0"/>
              <w:kinsoku/>
              <w:wordWrap/>
              <w:overflowPunct/>
              <w:topLinePunct w:val="0"/>
              <w:autoSpaceDE/>
              <w:autoSpaceDN/>
              <w:bidi w:val="0"/>
              <w:adjustRightInd/>
              <w:snapToGrid/>
              <w:ind w:left="0" w:leftChars="0" w:firstLine="420" w:firstLineChars="200"/>
              <w:textAlignment w:val="auto"/>
              <w:outlineLvl w:val="9"/>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r>
    </w:tbl>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sectPr>
          <w:footerReference r:id="rId4" w:type="default"/>
          <w:pgSz w:w="11906" w:h="16838"/>
          <w:pgMar w:top="1304" w:right="1304" w:bottom="1304" w:left="1304" w:header="851" w:footer="992" w:gutter="0"/>
          <w:pgBorders>
            <w:top w:val="none" w:sz="0" w:space="0"/>
            <w:left w:val="none" w:sz="0" w:space="0"/>
            <w:bottom w:val="none" w:sz="0" w:space="0"/>
            <w:right w:val="none" w:sz="0" w:space="0"/>
          </w:pgBorders>
          <w:pgNumType w:start="1"/>
          <w:cols w:space="0" w:num="1"/>
          <w:docGrid w:type="lines" w:linePitch="312" w:charSpace="0"/>
        </w:sectPr>
      </w:pP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16" w:name="_Toc595"/>
      <w:bookmarkStart w:id="17" w:name="_Toc16608"/>
      <w:r>
        <w:rPr>
          <w:rFonts w:hint="default" w:ascii="Times New Roman" w:hAnsi="Times New Roman" w:eastAsia="宋体" w:cs="Times New Roman"/>
          <w:b/>
          <w:bCs/>
          <w:color w:val="000000" w:themeColor="text1"/>
          <w:sz w:val="32"/>
          <w:szCs w:val="32"/>
          <w:highlight w:val="none"/>
          <w14:textFill>
            <w14:solidFill>
              <w14:schemeClr w14:val="tx1"/>
            </w14:solidFill>
          </w14:textFill>
        </w:rPr>
        <w:t>07.运营期污染物产生及预计排放情况</w:t>
      </w:r>
      <w:bookmarkEnd w:id="16"/>
      <w:bookmarkEnd w:id="17"/>
    </w:p>
    <w:tbl>
      <w:tblPr>
        <w:tblStyle w:val="26"/>
        <w:tblW w:w="9288" w:type="dxa"/>
        <w:tblInd w:w="57"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
      <w:tblGrid>
        <w:gridCol w:w="830"/>
        <w:gridCol w:w="1812"/>
        <w:gridCol w:w="1483"/>
        <w:gridCol w:w="1298"/>
        <w:gridCol w:w="1139"/>
        <w:gridCol w:w="1457"/>
        <w:gridCol w:w="126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302" w:hRule="atLeast"/>
        </w:trPr>
        <w:tc>
          <w:tcPr>
            <w:tcW w:w="830" w:type="dxa"/>
            <w:vMerge w:val="restart"/>
            <w:vAlign w:val="center"/>
          </w:tcPr>
          <w:p>
            <w:pPr>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56192" behindDoc="0" locked="0" layoutInCell="1" allowOverlap="1">
                      <wp:simplePos x="0" y="0"/>
                      <wp:positionH relativeFrom="column">
                        <wp:posOffset>-46990</wp:posOffset>
                      </wp:positionH>
                      <wp:positionV relativeFrom="paragraph">
                        <wp:posOffset>8255</wp:posOffset>
                      </wp:positionV>
                      <wp:extent cx="534670" cy="432435"/>
                      <wp:effectExtent l="3175" t="3810" r="14605" b="20955"/>
                      <wp:wrapNone/>
                      <wp:docPr id="1" name="AutoShape 252"/>
                      <wp:cNvGraphicFramePr/>
                      <a:graphic xmlns:a="http://schemas.openxmlformats.org/drawingml/2006/main">
                        <a:graphicData uri="http://schemas.microsoft.com/office/word/2010/wordprocessingShape">
                          <wps:wsp>
                            <wps:cNvCnPr/>
                            <wps:spPr>
                              <a:xfrm>
                                <a:off x="0" y="0"/>
                                <a:ext cx="534670" cy="432435"/>
                              </a:xfrm>
                              <a:prstGeom prst="straightConnector1">
                                <a:avLst/>
                              </a:prstGeom>
                              <a:ln w="6350" cap="flat" cmpd="sng">
                                <a:solidFill>
                                  <a:srgbClr val="000000"/>
                                </a:solidFill>
                                <a:prstDash val="solid"/>
                                <a:headEnd type="none" w="med" len="med"/>
                                <a:tailEnd type="none" w="med" len="med"/>
                              </a:ln>
                              <a:effectLst/>
                            </wps:spPr>
                            <wps:bodyPr/>
                          </wps:wsp>
                        </a:graphicData>
                      </a:graphic>
                    </wp:anchor>
                  </w:drawing>
                </mc:Choice>
                <mc:Fallback>
                  <w:pict>
                    <v:shape id="AutoShape 252" o:spid="_x0000_s1026" o:spt="32" type="#_x0000_t32" style="position:absolute;left:0pt;margin-left:-3.7pt;margin-top:0.65pt;height:34.05pt;width:42.1pt;z-index:251656192;mso-width-relative:page;mso-height-relative:page;" filled="f" stroked="t" coordsize="21600,21600" o:gfxdata="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0AkKntYAAAAGAQAADwAAAAAAAAABACAAAAAiAAAAZHJz&#10;L2Rvd25yZXYueG1sUEsBAhQAFAAAAAgAh07iQNMyFhvNAQAApgMAAA4AAAAAAAAAAQAgAAAAJQEA&#10;AGRycy9lMm9Eb2MueG1sUEsFBgAAAAAGAAYAWQEAAGQFAAAAAA==&#10;">
                      <v:fill on="f" focussize="0,0"/>
                      <v:stroke weight="0.5pt" color="#000000" joinstyle="round"/>
                      <v:imagedata o:title=""/>
                      <o:lock v:ext="edit" aspectratio="f"/>
                    </v:shape>
                  </w:pict>
                </mc:Fallback>
              </mc:AlternateConten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内容</w:t>
            </w:r>
          </w:p>
          <w:p>
            <w:pPr>
              <w:jc w:val="both"/>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类型</w:t>
            </w:r>
          </w:p>
        </w:tc>
        <w:tc>
          <w:tcPr>
            <w:tcW w:w="1812" w:type="dxa"/>
            <w:vMerge w:val="restart"/>
            <w:vAlign w:val="center"/>
          </w:tcPr>
          <w:p>
            <w:pPr>
              <w:pStyle w:val="94"/>
              <w:spacing w:before="0" w:beforeAutospacing="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排放源</w:t>
            </w:r>
          </w:p>
        </w:tc>
        <w:tc>
          <w:tcPr>
            <w:tcW w:w="1483" w:type="dxa"/>
            <w:vMerge w:val="restart"/>
            <w:vAlign w:val="center"/>
          </w:tcPr>
          <w:p>
            <w:pPr>
              <w:pStyle w:val="94"/>
              <w:spacing w:before="0" w:beforeAutospacing="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污染物名称</w:t>
            </w:r>
          </w:p>
        </w:tc>
        <w:tc>
          <w:tcPr>
            <w:tcW w:w="2437" w:type="dxa"/>
            <w:gridSpan w:val="2"/>
            <w:vAlign w:val="center"/>
          </w:tcPr>
          <w:p>
            <w:pPr>
              <w:pStyle w:val="94"/>
              <w:spacing w:before="0" w:beforeAutospacing="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处理前产生情况</w:t>
            </w:r>
          </w:p>
        </w:tc>
        <w:tc>
          <w:tcPr>
            <w:tcW w:w="2726" w:type="dxa"/>
            <w:gridSpan w:val="2"/>
            <w:vAlign w:val="center"/>
          </w:tcPr>
          <w:p>
            <w:pPr>
              <w:pStyle w:val="94"/>
              <w:spacing w:before="0" w:beforeAutospacing="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处理后排放情况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302" w:hRule="atLeast"/>
        </w:trPr>
        <w:tc>
          <w:tcPr>
            <w:tcW w:w="830" w:type="dxa"/>
            <w:vMerge w:val="continue"/>
            <w:vAlign w:val="center"/>
          </w:tcPr>
          <w:p>
            <w:pPr>
              <w:pStyle w:val="94"/>
              <w:spacing w:before="0" w:beforeAutospacing="0"/>
              <w:rPr>
                <w:rFonts w:hint="default" w:ascii="Times New Roman" w:hAnsi="Times New Roman" w:eastAsia="宋体" w:cs="Times New Roman"/>
                <w:color w:val="000000" w:themeColor="text1"/>
                <w:sz w:val="21"/>
                <w:szCs w:val="21"/>
                <w14:textFill>
                  <w14:solidFill>
                    <w14:schemeClr w14:val="tx1"/>
                  </w14:solidFill>
                </w14:textFill>
              </w:rPr>
            </w:pPr>
          </w:p>
        </w:tc>
        <w:tc>
          <w:tcPr>
            <w:tcW w:w="1812" w:type="dxa"/>
            <w:vMerge w:val="continue"/>
            <w:vAlign w:val="center"/>
          </w:tcPr>
          <w:p>
            <w:pPr>
              <w:pStyle w:val="94"/>
              <w:spacing w:before="0" w:beforeAutospacing="0"/>
              <w:rPr>
                <w:rFonts w:hint="default" w:ascii="Times New Roman" w:hAnsi="Times New Roman" w:eastAsia="宋体" w:cs="Times New Roman"/>
                <w:color w:val="000000" w:themeColor="text1"/>
                <w:sz w:val="21"/>
                <w:szCs w:val="21"/>
                <w14:textFill>
                  <w14:solidFill>
                    <w14:schemeClr w14:val="tx1"/>
                  </w14:solidFill>
                </w14:textFill>
              </w:rPr>
            </w:pPr>
          </w:p>
        </w:tc>
        <w:tc>
          <w:tcPr>
            <w:tcW w:w="1483" w:type="dxa"/>
            <w:vMerge w:val="continue"/>
            <w:vAlign w:val="center"/>
          </w:tcPr>
          <w:p>
            <w:pPr>
              <w:pStyle w:val="94"/>
              <w:spacing w:before="0" w:beforeAutospacing="0"/>
              <w:rPr>
                <w:rFonts w:hint="default" w:ascii="Times New Roman" w:hAnsi="Times New Roman" w:eastAsia="宋体" w:cs="Times New Roman"/>
                <w:color w:val="000000" w:themeColor="text1"/>
                <w:sz w:val="21"/>
                <w:szCs w:val="21"/>
                <w14:textFill>
                  <w14:solidFill>
                    <w14:schemeClr w14:val="tx1"/>
                  </w14:solidFill>
                </w14:textFill>
              </w:rPr>
            </w:pPr>
          </w:p>
        </w:tc>
        <w:tc>
          <w:tcPr>
            <w:tcW w:w="1298" w:type="dxa"/>
            <w:vAlign w:val="center"/>
          </w:tcPr>
          <w:p>
            <w:pPr>
              <w:pStyle w:val="94"/>
              <w:spacing w:before="0" w:beforeAutospacing="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产生浓度</w:t>
            </w:r>
          </w:p>
        </w:tc>
        <w:tc>
          <w:tcPr>
            <w:tcW w:w="1139" w:type="dxa"/>
            <w:vAlign w:val="center"/>
          </w:tcPr>
          <w:p>
            <w:pPr>
              <w:pStyle w:val="94"/>
              <w:spacing w:before="0" w:beforeAutospacing="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产生量</w:t>
            </w:r>
          </w:p>
        </w:tc>
        <w:tc>
          <w:tcPr>
            <w:tcW w:w="1457" w:type="dxa"/>
            <w:vAlign w:val="center"/>
          </w:tcPr>
          <w:p>
            <w:pPr>
              <w:pStyle w:val="94"/>
              <w:spacing w:before="0" w:beforeAutospacing="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排放浓度</w:t>
            </w:r>
          </w:p>
        </w:tc>
        <w:tc>
          <w:tcPr>
            <w:tcW w:w="1269" w:type="dxa"/>
            <w:vAlign w:val="center"/>
          </w:tcPr>
          <w:p>
            <w:pPr>
              <w:pStyle w:val="94"/>
              <w:spacing w:before="0" w:beforeAutospacing="0"/>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排放量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restart"/>
            <w:vAlign w:val="center"/>
          </w:tcPr>
          <w:p>
            <w:pPr>
              <w:spacing w:line="36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废气</w:t>
            </w:r>
          </w:p>
        </w:tc>
        <w:tc>
          <w:tcPr>
            <w:tcW w:w="1812"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1#排气筒</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（热水炉、烘干炉</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燃烧废气</w:t>
            </w:r>
            <w:r>
              <w:rPr>
                <w:rFonts w:hint="eastAsia" w:ascii="Times New Roman" w:hAnsi="Times New Roman" w:cs="Times New Roman"/>
                <w:color w:val="000000" w:themeColor="text1"/>
                <w:sz w:val="21"/>
                <w:szCs w:val="21"/>
                <w:highlight w:val="none"/>
                <w:lang w:eastAsia="zh-CN"/>
                <w14:textFill>
                  <w14:solidFill>
                    <w14:schemeClr w14:val="tx1"/>
                  </w14:solidFill>
                </w14:textFill>
              </w:rPr>
              <w:t>以及烘干</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筛分粉尘</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483" w:type="dxa"/>
            <w:vAlign w:val="center"/>
          </w:tcPr>
          <w:p>
            <w:pPr>
              <w:snapToGrid w:val="0"/>
              <w:jc w:val="center"/>
              <w:rPr>
                <w:rFonts w:hint="default" w:ascii="Times New Roman" w:hAnsi="Times New Roman" w:eastAsia="宋体" w:cs="Times New Roman"/>
                <w:b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lang w:eastAsia="zh-CN"/>
                <w14:textFill>
                  <w14:solidFill>
                    <w14:schemeClr w14:val="tx1"/>
                  </w14:solidFill>
                </w14:textFill>
              </w:rPr>
              <w:t>颗粒物</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159.86</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5.755</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0.058</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483" w:type="dxa"/>
            <w:vAlign w:val="center"/>
          </w:tcPr>
          <w:p>
            <w:pPr>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4.36</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0.157</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4.36</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0.157</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483" w:type="dxa"/>
            <w:vAlign w:val="center"/>
          </w:tcPr>
          <w:p>
            <w:pPr>
              <w:snapToGrid w:val="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x</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20.39</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0.734</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20.39</w:t>
            </w:r>
            <w:r>
              <w:rPr>
                <w:rFonts w:hint="default" w:ascii="Times New Roman" w:hAnsi="Times New Roman" w:eastAsia="宋体" w:cs="Times New Roman"/>
                <w:color w:val="000000" w:themeColor="text1"/>
                <w:sz w:val="21"/>
                <w:szCs w:val="21"/>
                <w:highlight w:val="none"/>
                <w14:textFill>
                  <w14:solidFill>
                    <w14:schemeClr w14:val="tx1"/>
                  </w14:solidFill>
                </w14:textFill>
              </w:rPr>
              <w:t>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0.734</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烘干筛分粉尘（无组织）</w:t>
            </w:r>
          </w:p>
        </w:tc>
        <w:tc>
          <w:tcPr>
            <w:tcW w:w="1483" w:type="dxa"/>
            <w:vAlign w:val="center"/>
          </w:tcPr>
          <w:p>
            <w:pPr>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颗粒物</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0.125</w:t>
            </w:r>
            <w:r>
              <w:rPr>
                <w:rFonts w:hint="default" w:ascii="Times New Roman" w:hAnsi="Times New Roman" w:eastAsia="宋体" w:cs="Times New Roman"/>
                <w:color w:val="000000" w:themeColor="text1"/>
                <w:sz w:val="21"/>
                <w:szCs w:val="21"/>
                <w14:textFill>
                  <w14:solidFill>
                    <w14:schemeClr w14:val="tx1"/>
                  </w14:solidFill>
                </w14:textFill>
              </w:rPr>
              <w:t>kg</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0.125</w:t>
            </w:r>
            <w:r>
              <w:rPr>
                <w:rFonts w:hint="default" w:ascii="Times New Roman" w:hAnsi="Times New Roman" w:eastAsia="宋体" w:cs="Times New Roman"/>
                <w:color w:val="000000" w:themeColor="text1"/>
                <w:sz w:val="21"/>
                <w:szCs w:val="21"/>
                <w14:textFill>
                  <w14:solidFill>
                    <w14:schemeClr w14:val="tx1"/>
                  </w14:solidFill>
                </w14:textFill>
              </w:rPr>
              <w:t>kg</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h</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b w:val="0"/>
                <w:bCs w:val="0"/>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堆场装卸</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粉尘</w:t>
            </w:r>
          </w:p>
        </w:tc>
        <w:tc>
          <w:tcPr>
            <w:tcW w:w="1483" w:type="dxa"/>
            <w:vAlign w:val="center"/>
          </w:tcPr>
          <w:p>
            <w:pPr>
              <w:keepNext w:val="0"/>
              <w:keepLines w:val="0"/>
              <w:pageBreakBefore w:val="0"/>
              <w:widowControl w:val="0"/>
              <w:tabs>
                <w:tab w:val="left" w:pos="297"/>
              </w:tabs>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粉尘</w:t>
            </w:r>
          </w:p>
        </w:tc>
        <w:tc>
          <w:tcPr>
            <w:tcW w:w="2437" w:type="dxa"/>
            <w:gridSpan w:val="2"/>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极少量</w:t>
            </w:r>
          </w:p>
        </w:tc>
        <w:tc>
          <w:tcPr>
            <w:tcW w:w="2726" w:type="dxa"/>
            <w:gridSpan w:val="2"/>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极少量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草酸酸雾</w:t>
            </w:r>
          </w:p>
        </w:tc>
        <w:tc>
          <w:tcPr>
            <w:tcW w:w="1483" w:type="dxa"/>
            <w:vAlign w:val="center"/>
          </w:tcPr>
          <w:p>
            <w:pPr>
              <w:jc w:val="cente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酸雾</w:t>
            </w:r>
          </w:p>
        </w:tc>
        <w:tc>
          <w:tcPr>
            <w:tcW w:w="2437" w:type="dxa"/>
            <w:gridSpan w:val="2"/>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极少量</w:t>
            </w:r>
          </w:p>
        </w:tc>
        <w:tc>
          <w:tcPr>
            <w:tcW w:w="2726" w:type="dxa"/>
            <w:gridSpan w:val="2"/>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极少量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753" w:hRule="atLeast"/>
        </w:trPr>
        <w:tc>
          <w:tcPr>
            <w:tcW w:w="830" w:type="dxa"/>
            <w:vMerge w:val="continue"/>
            <w:vAlign w:val="center"/>
          </w:tcPr>
          <w:p>
            <w:pPr>
              <w:spacing w:line="360" w:lineRule="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车辆尾气</w:t>
            </w:r>
          </w:p>
        </w:tc>
        <w:tc>
          <w:tcPr>
            <w:tcW w:w="1483" w:type="dxa"/>
            <w:vAlign w:val="center"/>
          </w:tcPr>
          <w:p>
            <w:pPr>
              <w:keepNext w:val="0"/>
              <w:keepLines w:val="0"/>
              <w:pageBreakBefore w:val="0"/>
              <w:widowControl w:val="0"/>
              <w:tabs>
                <w:tab w:val="left" w:pos="297"/>
              </w:tabs>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CO</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NO</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x</w:t>
            </w:r>
            <w:r>
              <w:rPr>
                <w:rFonts w:hint="default" w:ascii="Times New Roman" w:hAnsi="Times New Roman" w:eastAsia="宋体" w:cs="Times New Roman"/>
                <w:color w:val="000000" w:themeColor="text1"/>
                <w:kern w:val="0"/>
                <w:sz w:val="21"/>
                <w:szCs w:val="21"/>
                <w:vertAlign w:val="subscript"/>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碳氢化合物</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、硫化物</w:t>
            </w:r>
          </w:p>
        </w:tc>
        <w:tc>
          <w:tcPr>
            <w:tcW w:w="2437" w:type="dxa"/>
            <w:gridSpan w:val="2"/>
            <w:vMerge w:val="restart"/>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极少量</w:t>
            </w:r>
          </w:p>
        </w:tc>
        <w:tc>
          <w:tcPr>
            <w:tcW w:w="2726" w:type="dxa"/>
            <w:gridSpan w:val="2"/>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极少量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restart"/>
            <w:vAlign w:val="center"/>
          </w:tcPr>
          <w:p>
            <w:pPr>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废水</w:t>
            </w:r>
          </w:p>
        </w:tc>
        <w:tc>
          <w:tcPr>
            <w:tcW w:w="1812" w:type="dxa"/>
            <w:vMerge w:val="restart"/>
            <w:tcBorders>
              <w:top w:val="single" w:color="auto" w:sz="4" w:space="0"/>
            </w:tcBorders>
            <w:vAlign w:val="center"/>
          </w:tcPr>
          <w:p>
            <w:pPr>
              <w:spacing w:line="36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生产废水（</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2790t/a</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483" w:type="dxa"/>
            <w:vAlign w:val="center"/>
          </w:tcPr>
          <w:p>
            <w:pPr>
              <w:pStyle w:val="108"/>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CODc</w:t>
            </w:r>
            <w:r>
              <w:rPr>
                <w:rFonts w:hint="default" w:ascii="Times New Roman" w:hAnsi="Times New Roman" w:eastAsia="宋体" w:cs="Times New Roman"/>
                <w:b w:val="0"/>
                <w:color w:val="000000" w:themeColor="text1"/>
                <w:sz w:val="21"/>
                <w:szCs w:val="21"/>
                <w:highlight w:val="none"/>
                <w:vertAlign w:val="subscript"/>
                <w14:textFill>
                  <w14:solidFill>
                    <w14:schemeClr w14:val="tx1"/>
                  </w14:solidFill>
                </w14:textFill>
              </w:rPr>
              <w:t>r</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21"/>
                <w:szCs w:val="21"/>
                <w:highlight w:val="none"/>
                <w14:textFill>
                  <w14:solidFill>
                    <w14:schemeClr w14:val="tx1"/>
                  </w14:solidFill>
                </w14:textFill>
              </w:rPr>
              <w:t>0mg/L</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3.348</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0.251</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407" w:hRule="atLeast"/>
        </w:trPr>
        <w:tc>
          <w:tcPr>
            <w:tcW w:w="830" w:type="dxa"/>
            <w:vMerge w:val="continue"/>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12" w:type="dxa"/>
            <w:vMerge w:val="continue"/>
            <w:vAlign w:val="center"/>
          </w:tcPr>
          <w:p>
            <w:pPr>
              <w:spacing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83" w:type="dxa"/>
            <w:vAlign w:val="center"/>
          </w:tcPr>
          <w:p>
            <w:pPr>
              <w:pStyle w:val="108"/>
              <w:snapToGrid/>
              <w:spacing w:line="240" w:lineRule="auto"/>
              <w:ind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SS</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14:textFill>
                  <w14:solidFill>
                    <w14:schemeClr w14:val="tx1"/>
                  </w14:solidFill>
                </w14:textFill>
              </w:rPr>
              <w:t>0mg/L</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8.37</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0.167</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12" w:type="dxa"/>
            <w:vMerge w:val="restart"/>
            <w:vAlign w:val="center"/>
          </w:tcPr>
          <w:p>
            <w:pPr>
              <w:spacing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w:t>
            </w:r>
          </w:p>
          <w:p>
            <w:pPr>
              <w:spacing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vertAlign w:val="baseline"/>
                <w:lang w:val="en-US" w:eastAsia="zh-CN"/>
                <w14:textFill>
                  <w14:solidFill>
                    <w14:schemeClr w14:val="tx1"/>
                  </w14:solidFill>
                </w14:textFill>
              </w:rPr>
              <w:t>432t/a</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483" w:type="dxa"/>
            <w:vAlign w:val="center"/>
          </w:tcPr>
          <w:p>
            <w:pPr>
              <w:pStyle w:val="108"/>
              <w:snapToGrid/>
              <w:spacing w:line="240" w:lineRule="auto"/>
              <w:ind w:firstLine="0" w:firstLineChars="0"/>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CODc</w:t>
            </w:r>
            <w:r>
              <w:rPr>
                <w:rFonts w:hint="default" w:ascii="Times New Roman" w:hAnsi="Times New Roman" w:eastAsia="宋体" w:cs="Times New Roman"/>
                <w:b w:val="0"/>
                <w:color w:val="000000" w:themeColor="text1"/>
                <w:sz w:val="21"/>
                <w:szCs w:val="21"/>
                <w:highlight w:val="none"/>
                <w:vertAlign w:val="subscript"/>
                <w14:textFill>
                  <w14:solidFill>
                    <w14:schemeClr w14:val="tx1"/>
                  </w14:solidFill>
                </w14:textFill>
              </w:rPr>
              <w:t>r</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250mg/L</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0.108</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0.039</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12" w:type="dxa"/>
            <w:vMerge w:val="continue"/>
            <w:vAlign w:val="center"/>
          </w:tcPr>
          <w:p>
            <w:pPr>
              <w:spacing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83" w:type="dxa"/>
            <w:vAlign w:val="center"/>
          </w:tcPr>
          <w:p>
            <w:pPr>
              <w:pStyle w:val="108"/>
              <w:snapToGrid/>
              <w:spacing w:line="240" w:lineRule="auto"/>
              <w:ind w:firstLine="0" w:firstLineChars="0"/>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BOD</w:t>
            </w:r>
            <w:r>
              <w:rPr>
                <w:rFonts w:hint="default" w:ascii="Times New Roman" w:hAnsi="Times New Roman" w:eastAsia="宋体" w:cs="Times New Roman"/>
                <w:b w:val="0"/>
                <w:color w:val="000000" w:themeColor="text1"/>
                <w:sz w:val="21"/>
                <w:szCs w:val="21"/>
                <w:highlight w:val="none"/>
                <w:vertAlign w:val="subscript"/>
                <w14:textFill>
                  <w14:solidFill>
                    <w14:schemeClr w14:val="tx1"/>
                  </w14:solidFill>
                </w14:textFill>
              </w:rPr>
              <w:t>5</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0mg/L</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0.065</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0.009</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12" w:type="dxa"/>
            <w:vMerge w:val="continue"/>
            <w:vAlign w:val="center"/>
          </w:tcPr>
          <w:p>
            <w:pPr>
              <w:spacing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83" w:type="dxa"/>
            <w:vAlign w:val="center"/>
          </w:tcPr>
          <w:p>
            <w:pPr>
              <w:pStyle w:val="108"/>
              <w:snapToGrid/>
              <w:spacing w:line="240" w:lineRule="auto"/>
              <w:ind w:firstLine="0" w:firstLineChars="0"/>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NH</w:t>
            </w:r>
            <w:r>
              <w:rPr>
                <w:rFonts w:hint="default" w:ascii="Times New Roman" w:hAnsi="Times New Roman" w:eastAsia="宋体" w:cs="Times New Roman"/>
                <w:b w:val="0"/>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-N</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0.013</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0.004</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12" w:type="dxa"/>
            <w:vMerge w:val="continue"/>
            <w:vAlign w:val="center"/>
          </w:tcPr>
          <w:p>
            <w:pPr>
              <w:spacing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83" w:type="dxa"/>
            <w:vAlign w:val="center"/>
          </w:tcPr>
          <w:p>
            <w:pPr>
              <w:pStyle w:val="108"/>
              <w:snapToGrid/>
              <w:spacing w:line="240" w:lineRule="auto"/>
              <w:ind w:firstLine="0" w:firstLineChars="0"/>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lang w:eastAsia="zh-CN"/>
                <w14:textFill>
                  <w14:solidFill>
                    <w14:schemeClr w14:val="tx1"/>
                  </w14:solidFill>
                </w14:textFill>
              </w:rPr>
              <w:t>动植物油</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0.013</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0.004</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12" w:type="dxa"/>
            <w:vMerge w:val="continue"/>
            <w:vAlign w:val="center"/>
          </w:tcPr>
          <w:p>
            <w:pPr>
              <w:spacing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83" w:type="dxa"/>
            <w:vAlign w:val="center"/>
          </w:tcPr>
          <w:p>
            <w:pPr>
              <w:pStyle w:val="108"/>
              <w:snapToGrid/>
              <w:spacing w:line="240" w:lineRule="auto"/>
              <w:ind w:firstLine="0" w:firstLineChars="0"/>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14:textFill>
                  <w14:solidFill>
                    <w14:schemeClr w14:val="tx1"/>
                  </w14:solidFill>
                </w14:textFill>
              </w:rPr>
              <w:t>SS</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150mg/L</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0.065</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0.026</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12" w:type="dxa"/>
            <w:vMerge w:val="continue"/>
            <w:vAlign w:val="center"/>
          </w:tcPr>
          <w:p>
            <w:pPr>
              <w:spacing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483" w:type="dxa"/>
            <w:vAlign w:val="center"/>
          </w:tcPr>
          <w:p>
            <w:pPr>
              <w:pStyle w:val="108"/>
              <w:snapToGrid/>
              <w:spacing w:line="240" w:lineRule="auto"/>
              <w:ind w:firstLine="0" w:firstLineChars="0"/>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t>LAS</w:t>
            </w:r>
          </w:p>
        </w:tc>
        <w:tc>
          <w:tcPr>
            <w:tcW w:w="1298"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13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0.004</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c>
          <w:tcPr>
            <w:tcW w:w="1457" w:type="dxa"/>
            <w:tcBorders>
              <w:righ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mg/L</w:t>
            </w:r>
          </w:p>
        </w:tc>
        <w:tc>
          <w:tcPr>
            <w:tcW w:w="1269" w:type="dxa"/>
            <w:tcBorders>
              <w:left w:val="single" w:color="auto" w:sz="4" w:space="0"/>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0.002</w:t>
            </w:r>
            <w:r>
              <w:rPr>
                <w:rFonts w:hint="default" w:ascii="Times New Roman" w:hAnsi="Times New Roman" w:eastAsia="宋体" w:cs="Times New Roman"/>
                <w:color w:val="000000" w:themeColor="text1"/>
                <w:sz w:val="21"/>
                <w:szCs w:val="21"/>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12" w:type="dxa"/>
            <w:vAlign w:val="center"/>
          </w:tcPr>
          <w:p>
            <w:pPr>
              <w:spacing w:line="360" w:lineRule="auto"/>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洗砂废水</w:t>
            </w:r>
          </w:p>
        </w:tc>
        <w:tc>
          <w:tcPr>
            <w:tcW w:w="1483" w:type="dxa"/>
            <w:vAlign w:val="center"/>
          </w:tcPr>
          <w:p>
            <w:pPr>
              <w:pStyle w:val="108"/>
              <w:snapToGrid/>
              <w:spacing w:line="240" w:lineRule="auto"/>
              <w:ind w:firstLine="0" w:firstLineChars="0"/>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eastAsia" w:ascii="Times New Roman" w:cs="Times New Roman"/>
                <w:b w:val="0"/>
                <w:color w:val="000000" w:themeColor="text1"/>
                <w:sz w:val="21"/>
                <w:szCs w:val="21"/>
                <w:highlight w:val="none"/>
                <w:lang w:val="en-US" w:eastAsia="zh-CN"/>
                <w14:textFill>
                  <w14:solidFill>
                    <w14:schemeClr w14:val="tx1"/>
                  </w14:solidFill>
                </w14:textFill>
              </w:rPr>
              <w:t>SS</w:t>
            </w:r>
          </w:p>
        </w:tc>
        <w:tc>
          <w:tcPr>
            <w:tcW w:w="5163" w:type="dxa"/>
            <w:gridSpan w:val="4"/>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循环处理</w:t>
            </w:r>
            <w:r>
              <w:rPr>
                <w:rFonts w:hint="eastAsia" w:cs="Times New Roman"/>
                <w:bCs/>
                <w:color w:val="000000" w:themeColor="text1"/>
                <w:kern w:val="0"/>
                <w:sz w:val="21"/>
                <w:szCs w:val="21"/>
                <w:lang w:eastAsia="zh-CN"/>
                <w14:textFill>
                  <w14:solidFill>
                    <w14:schemeClr w14:val="tx1"/>
                  </w14:solidFill>
                </w14:textFill>
              </w:rPr>
              <w:t>后回用，不外排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12" w:type="dxa"/>
            <w:vAlign w:val="center"/>
          </w:tcPr>
          <w:p>
            <w:pPr>
              <w:spacing w:line="360" w:lineRule="auto"/>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除尘废水</w:t>
            </w:r>
          </w:p>
        </w:tc>
        <w:tc>
          <w:tcPr>
            <w:tcW w:w="1483" w:type="dxa"/>
            <w:vAlign w:val="center"/>
          </w:tcPr>
          <w:p>
            <w:pPr>
              <w:pStyle w:val="108"/>
              <w:snapToGrid/>
              <w:spacing w:line="240" w:lineRule="auto"/>
              <w:ind w:firstLine="0" w:firstLineChars="0"/>
              <w:jc w:val="cente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pPr>
            <w:r>
              <w:rPr>
                <w:rFonts w:hint="eastAsia" w:ascii="Times New Roman" w:cs="Times New Roman"/>
                <w:b w:val="0"/>
                <w:color w:val="000000" w:themeColor="text1"/>
                <w:sz w:val="21"/>
                <w:szCs w:val="21"/>
                <w:highlight w:val="none"/>
                <w:lang w:val="en-US" w:eastAsia="zh-CN"/>
                <w14:textFill>
                  <w14:solidFill>
                    <w14:schemeClr w14:val="tx1"/>
                  </w14:solidFill>
                </w14:textFill>
              </w:rPr>
              <w:t>SS</w:t>
            </w:r>
          </w:p>
        </w:tc>
        <w:tc>
          <w:tcPr>
            <w:tcW w:w="5163" w:type="dxa"/>
            <w:gridSpan w:val="4"/>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循环处理</w:t>
            </w:r>
            <w:r>
              <w:rPr>
                <w:rFonts w:hint="eastAsia" w:cs="Times New Roman"/>
                <w:bCs/>
                <w:color w:val="000000" w:themeColor="text1"/>
                <w:kern w:val="0"/>
                <w:sz w:val="21"/>
                <w:szCs w:val="21"/>
                <w:lang w:eastAsia="zh-CN"/>
                <w14:textFill>
                  <w14:solidFill>
                    <w14:schemeClr w14:val="tx1"/>
                  </w14:solidFill>
                </w14:textFill>
              </w:rPr>
              <w:t>后回用，不外排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restart"/>
            <w:vAlign w:val="center"/>
          </w:tcPr>
          <w:p>
            <w:pPr>
              <w:spacing w:line="360" w:lineRule="auto"/>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固废</w:t>
            </w:r>
          </w:p>
        </w:tc>
        <w:tc>
          <w:tcPr>
            <w:tcW w:w="1812" w:type="dxa"/>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废水处理设施</w:t>
            </w:r>
          </w:p>
        </w:tc>
        <w:tc>
          <w:tcPr>
            <w:tcW w:w="1483" w:type="dxa"/>
            <w:vAlign w:val="center"/>
          </w:tcPr>
          <w:p>
            <w:pPr>
              <w:spacing w:line="36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尾泥饼</w:t>
            </w:r>
          </w:p>
        </w:tc>
        <w:tc>
          <w:tcPr>
            <w:tcW w:w="2437" w:type="dxa"/>
            <w:gridSpan w:val="2"/>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2000t/a</w:t>
            </w:r>
          </w:p>
        </w:tc>
        <w:tc>
          <w:tcPr>
            <w:tcW w:w="2726" w:type="dxa"/>
            <w:gridSpan w:val="2"/>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收集后外售给水泥厂综合利用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磁选工序</w:t>
            </w:r>
          </w:p>
        </w:tc>
        <w:tc>
          <w:tcPr>
            <w:tcW w:w="1483" w:type="dxa"/>
            <w:vAlign w:val="center"/>
          </w:tcPr>
          <w:p>
            <w:pPr>
              <w:spacing w:line="36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磁尾砂</w:t>
            </w:r>
          </w:p>
        </w:tc>
        <w:tc>
          <w:tcPr>
            <w:tcW w:w="2437" w:type="dxa"/>
            <w:gridSpan w:val="2"/>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1520t/a</w:t>
            </w:r>
          </w:p>
        </w:tc>
        <w:tc>
          <w:tcPr>
            <w:tcW w:w="2726" w:type="dxa"/>
            <w:gridSpan w:val="2"/>
            <w:vMerge w:val="restart"/>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收集后外售给建材厂综合利用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色选工序</w:t>
            </w:r>
          </w:p>
        </w:tc>
        <w:tc>
          <w:tcPr>
            <w:tcW w:w="1483" w:type="dxa"/>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杂砂</w:t>
            </w:r>
          </w:p>
        </w:tc>
        <w:tc>
          <w:tcPr>
            <w:tcW w:w="2437" w:type="dxa"/>
            <w:gridSpan w:val="2"/>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30t/a</w:t>
            </w:r>
          </w:p>
        </w:tc>
        <w:tc>
          <w:tcPr>
            <w:tcW w:w="2726" w:type="dxa"/>
            <w:gridSpan w:val="2"/>
            <w:vMerge w:val="continue"/>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废气处理</w:t>
            </w:r>
          </w:p>
        </w:tc>
        <w:tc>
          <w:tcPr>
            <w:tcW w:w="1483" w:type="dxa"/>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除尘灰</w:t>
            </w:r>
          </w:p>
        </w:tc>
        <w:tc>
          <w:tcPr>
            <w:tcW w:w="2437" w:type="dxa"/>
            <w:gridSpan w:val="2"/>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5.697t/a</w:t>
            </w:r>
          </w:p>
        </w:tc>
        <w:tc>
          <w:tcPr>
            <w:tcW w:w="2726" w:type="dxa"/>
            <w:gridSpan w:val="2"/>
            <w:vMerge w:val="continue"/>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原辅料拆包、包装工序</w:t>
            </w:r>
          </w:p>
        </w:tc>
        <w:tc>
          <w:tcPr>
            <w:tcW w:w="1483" w:type="dxa"/>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包装固废</w:t>
            </w:r>
          </w:p>
        </w:tc>
        <w:tc>
          <w:tcPr>
            <w:tcW w:w="2437" w:type="dxa"/>
            <w:gridSpan w:val="2"/>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1t/a</w:t>
            </w:r>
          </w:p>
        </w:tc>
        <w:tc>
          <w:tcPr>
            <w:tcW w:w="2726" w:type="dxa"/>
            <w:gridSpan w:val="2"/>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原料桶、原料袋等由原材料供应商回收利用，其他交由专业固废回收公司处理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生活污水一体化处理设施</w:t>
            </w:r>
          </w:p>
        </w:tc>
        <w:tc>
          <w:tcPr>
            <w:tcW w:w="1483" w:type="dxa"/>
            <w:vAlign w:val="center"/>
          </w:tcPr>
          <w:p>
            <w:pPr>
              <w:spacing w:line="36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污泥</w:t>
            </w:r>
          </w:p>
        </w:tc>
        <w:tc>
          <w:tcPr>
            <w:tcW w:w="2437" w:type="dxa"/>
            <w:gridSpan w:val="2"/>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0.196t/a</w:t>
            </w:r>
          </w:p>
        </w:tc>
        <w:tc>
          <w:tcPr>
            <w:tcW w:w="2726" w:type="dxa"/>
            <w:gridSpan w:val="2"/>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收集后可交由专业固废回收公司处理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spacing w:line="36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机械维修</w:t>
            </w:r>
          </w:p>
        </w:tc>
        <w:tc>
          <w:tcPr>
            <w:tcW w:w="1483" w:type="dxa"/>
            <w:vAlign w:val="center"/>
          </w:tcPr>
          <w:p>
            <w:pPr>
              <w:spacing w:line="36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废润滑油</w:t>
            </w:r>
          </w:p>
        </w:tc>
        <w:tc>
          <w:tcPr>
            <w:tcW w:w="2437" w:type="dxa"/>
            <w:gridSpan w:val="2"/>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0.05t/a</w:t>
            </w:r>
          </w:p>
        </w:tc>
        <w:tc>
          <w:tcPr>
            <w:tcW w:w="2726" w:type="dxa"/>
            <w:gridSpan w:val="2"/>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分类储存，</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交</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由</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有资质危废公司处理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Merge w:val="continue"/>
            <w:vAlign w:val="center"/>
          </w:tcPr>
          <w:p>
            <w:pPr>
              <w:spacing w:line="360" w:lineRule="auto"/>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812" w:type="dxa"/>
            <w:vAlign w:val="center"/>
          </w:tcPr>
          <w:p>
            <w:pPr>
              <w:spacing w:line="36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员工生活</w:t>
            </w:r>
          </w:p>
        </w:tc>
        <w:tc>
          <w:tcPr>
            <w:tcW w:w="1483" w:type="dxa"/>
            <w:vAlign w:val="top"/>
          </w:tcPr>
          <w:p>
            <w:pPr>
              <w:spacing w:line="36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w:t>
            </w:r>
          </w:p>
        </w:tc>
        <w:tc>
          <w:tcPr>
            <w:tcW w:w="2437" w:type="dxa"/>
            <w:gridSpan w:val="2"/>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3t/a</w:t>
            </w:r>
          </w:p>
        </w:tc>
        <w:tc>
          <w:tcPr>
            <w:tcW w:w="2726" w:type="dxa"/>
            <w:gridSpan w:val="2"/>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分类储存，</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交环卫部门处理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830" w:type="dxa"/>
            <w:vAlign w:val="center"/>
          </w:tcPr>
          <w:p>
            <w:pPr>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噪声</w:t>
            </w:r>
          </w:p>
        </w:tc>
        <w:tc>
          <w:tcPr>
            <w:tcW w:w="1812" w:type="dxa"/>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机械设备</w:t>
            </w:r>
          </w:p>
        </w:tc>
        <w:tc>
          <w:tcPr>
            <w:tcW w:w="1483"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噪声</w:t>
            </w:r>
          </w:p>
        </w:tc>
        <w:tc>
          <w:tcPr>
            <w:tcW w:w="2437" w:type="dxa"/>
            <w:gridSpan w:val="2"/>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7</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5~</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90</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dB（A）</w:t>
            </w:r>
          </w:p>
        </w:tc>
        <w:tc>
          <w:tcPr>
            <w:tcW w:w="2726" w:type="dxa"/>
            <w:gridSpan w:val="2"/>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dB</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夜间≤5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dB</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7" w:type="dxa"/>
            <w:bottom w:w="0" w:type="dxa"/>
            <w:right w:w="57" w:type="dxa"/>
          </w:tblCellMar>
        </w:tblPrEx>
        <w:trPr>
          <w:cantSplit/>
          <w:trHeight w:val="23" w:hRule="atLeast"/>
        </w:trPr>
        <w:tc>
          <w:tcPr>
            <w:tcW w:w="9288" w:type="dxa"/>
            <w:gridSpan w:val="7"/>
            <w:vAlign w:val="top"/>
          </w:tcPr>
          <w:p>
            <w:pPr>
              <w:spacing w:before="156" w:beforeLines="50" w:after="156" w:afterLines="5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主要生态影响：</w:t>
            </w:r>
          </w:p>
          <w:p>
            <w:pPr>
              <w:pStyle w:val="2"/>
              <w:spacing w:after="0" w:line="360" w:lineRule="auto"/>
              <w:ind w:left="0" w:leftChars="0" w:firstLine="480" w:firstLineChars="0"/>
              <w:jc w:val="both"/>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详见</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8.2.</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6章节。</w:t>
            </w:r>
          </w:p>
        </w:tc>
      </w:tr>
    </w:tbl>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color w:val="000000" w:themeColor="text1"/>
          <w:sz w:val="32"/>
          <w:szCs w:val="32"/>
          <w:highlight w:val="none"/>
          <w14:textFill>
            <w14:solidFill>
              <w14:schemeClr w14:val="tx1"/>
            </w14:solidFill>
          </w14:textFill>
        </w:rPr>
        <w:br w:type="page"/>
      </w: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18" w:name="_Toc11548"/>
      <w:bookmarkStart w:id="19" w:name="_Toc20414"/>
      <w:r>
        <w:rPr>
          <w:rFonts w:hint="default" w:ascii="Times New Roman" w:hAnsi="Times New Roman" w:eastAsia="宋体" w:cs="Times New Roman"/>
          <w:b/>
          <w:bCs/>
          <w:color w:val="000000" w:themeColor="text1"/>
          <w:sz w:val="32"/>
          <w:szCs w:val="32"/>
          <w:highlight w:val="none"/>
          <w14:textFill>
            <w14:solidFill>
              <w14:schemeClr w14:val="tx1"/>
            </w14:solidFill>
          </w14:textFill>
        </w:rPr>
        <w:t>08.环境影响分析</w:t>
      </w:r>
      <w:bookmarkEnd w:id="18"/>
      <w:bookmarkEnd w:id="19"/>
    </w:p>
    <w:tbl>
      <w:tblPr>
        <w:tblStyle w:val="26"/>
        <w:tblW w:w="946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6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0673" w:hRule="atLeast"/>
          <w:jc w:val="center"/>
        </w:trPr>
        <w:tc>
          <w:tcPr>
            <w:tcW w:w="9460"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8.1施工期环境影响分析</w:t>
            </w:r>
          </w:p>
          <w:p>
            <w:pPr>
              <w:pStyle w:val="79"/>
              <w:snapToGrid/>
              <w:spacing w:before="0" w:beforeAutospacing="0"/>
              <w:ind w:firstLine="504" w:firstLineChars="200"/>
              <w:rPr>
                <w:rFonts w:hint="default" w:ascii="Times New Roman" w:hAnsi="Times New Roman" w:eastAsia="宋体" w:cs="Times New Roman"/>
                <w:b w:val="0"/>
                <w:bCs w:val="0"/>
                <w:color w:val="000000" w:themeColor="text1"/>
                <w:szCs w:val="20"/>
                <w:highlight w:val="none"/>
                <w14:textFill>
                  <w14:solidFill>
                    <w14:schemeClr w14:val="tx1"/>
                  </w14:solidFill>
                </w14:textFill>
              </w:rPr>
            </w:pPr>
            <w:r>
              <w:rPr>
                <w:rFonts w:hint="default" w:ascii="Times New Roman" w:hAnsi="Times New Roman" w:eastAsia="宋体" w:cs="Times New Roman"/>
                <w:b w:val="0"/>
                <w:bCs/>
                <w:color w:val="000000" w:themeColor="text1"/>
                <w:spacing w:val="6"/>
                <w:highlight w:val="none"/>
                <w:lang w:val="en-US" w:eastAsia="zh-CN"/>
                <w14:textFill>
                  <w14:solidFill>
                    <w14:schemeClr w14:val="tx1"/>
                  </w14:solidFill>
                </w14:textFill>
              </w:rPr>
              <w:t>本项目选址位于佛冈县汤塘镇三门管理区下围队原三门再生纸厂房，主要利用原三门再生纸厂现有厂房进行建设，本次变动不新增永久性钢筋混凝土建筑物，</w:t>
            </w:r>
            <w:r>
              <w:rPr>
                <w:rFonts w:hint="default" w:ascii="Times New Roman" w:hAnsi="Times New Roman" w:eastAsia="宋体" w:cs="Times New Roman"/>
                <w:b w:val="0"/>
                <w:bCs w:val="0"/>
                <w:color w:val="000000" w:themeColor="text1"/>
                <w:szCs w:val="20"/>
                <w:highlight w:val="none"/>
                <w14:textFill>
                  <w14:solidFill>
                    <w14:schemeClr w14:val="tx1"/>
                  </w14:solidFill>
                </w14:textFill>
              </w:rPr>
              <w:t>无基建施工活动，</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施工期</w:t>
            </w:r>
            <w:r>
              <w:rPr>
                <w:rFonts w:hint="default" w:ascii="Times New Roman" w:hAnsi="Times New Roman" w:eastAsia="宋体" w:cs="Times New Roman"/>
                <w:b w:val="0"/>
                <w:bCs w:val="0"/>
                <w:color w:val="000000" w:themeColor="text1"/>
                <w:highlight w:val="none"/>
                <w14:textFill>
                  <w14:solidFill>
                    <w14:schemeClr w14:val="tx1"/>
                  </w14:solidFill>
                </w14:textFill>
              </w:rPr>
              <w:t>进行</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装修、</w:t>
            </w:r>
            <w:r>
              <w:rPr>
                <w:rFonts w:hint="default" w:ascii="Times New Roman" w:hAnsi="Times New Roman" w:eastAsia="宋体" w:cs="Times New Roman"/>
                <w:b w:val="0"/>
                <w:bCs w:val="0"/>
                <w:color w:val="000000" w:themeColor="text1"/>
                <w:highlight w:val="none"/>
                <w14:textFill>
                  <w14:solidFill>
                    <w14:schemeClr w14:val="tx1"/>
                  </w14:solidFill>
                </w14:textFill>
              </w:rPr>
              <w:t>设备的安装</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即可</w:t>
            </w:r>
            <w:r>
              <w:rPr>
                <w:rFonts w:hint="default" w:ascii="Times New Roman" w:hAnsi="Times New Roman" w:eastAsia="宋体" w:cs="Times New Roman"/>
                <w:b w:val="0"/>
                <w:bCs w:val="0"/>
                <w:color w:val="000000" w:themeColor="text1"/>
                <w:highlight w:val="none"/>
                <w14:textFill>
                  <w14:solidFill>
                    <w14:schemeClr w14:val="tx1"/>
                  </w14:solidFill>
                </w14:textFill>
              </w:rPr>
              <w:t>，其环境影响（如噪声）很小，</w:t>
            </w:r>
            <w:r>
              <w:rPr>
                <w:rFonts w:hint="default" w:ascii="Times New Roman" w:hAnsi="Times New Roman" w:eastAsia="宋体" w:cs="Times New Roman"/>
                <w:b w:val="0"/>
                <w:bCs w:val="0"/>
                <w:color w:val="000000" w:themeColor="text1"/>
                <w:szCs w:val="20"/>
                <w:highlight w:val="none"/>
                <w14:textFill>
                  <w14:solidFill>
                    <w14:schemeClr w14:val="tx1"/>
                  </w14:solidFill>
                </w14:textFill>
              </w:rPr>
              <w:t>故本评价不进行施工期评价</w:t>
            </w:r>
            <w:r>
              <w:rPr>
                <w:rFonts w:hint="default" w:ascii="Times New Roman" w:hAnsi="Times New Roman" w:eastAsia="宋体" w:cs="Times New Roman"/>
                <w:b w:val="0"/>
                <w:bCs w:val="0"/>
                <w:color w:val="000000" w:themeColor="text1"/>
                <w:szCs w:val="20"/>
                <w:highlight w:val="none"/>
                <w:lang w:eastAsia="zh-CN"/>
                <w14:textFill>
                  <w14:solidFill>
                    <w14:schemeClr w14:val="tx1"/>
                  </w14:solidFill>
                </w14:textFill>
              </w:rPr>
              <w:t>详细</w:t>
            </w:r>
            <w:r>
              <w:rPr>
                <w:rFonts w:hint="default" w:ascii="Times New Roman" w:hAnsi="Times New Roman" w:eastAsia="宋体" w:cs="Times New Roman"/>
                <w:b w:val="0"/>
                <w:bCs w:val="0"/>
                <w:color w:val="000000" w:themeColor="text1"/>
                <w:szCs w:val="20"/>
                <w:highlight w:val="none"/>
                <w14:textFill>
                  <w14:solidFill>
                    <w14:schemeClr w14:val="tx1"/>
                  </w14:solidFill>
                </w14:textFill>
              </w:rPr>
              <w:t>分析。</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8.2营运期环境影响分析</w:t>
            </w:r>
          </w:p>
          <w:p>
            <w:pPr>
              <w:pStyle w:val="72"/>
              <w:adjustRightInd/>
              <w:ind w:firstLine="0"/>
              <w:rPr>
                <w:rFonts w:hint="default" w:ascii="Times New Roman" w:hAnsi="Times New Roman" w:eastAsia="宋体" w:cs="Times New Roman"/>
                <w:b/>
                <w:bCs w:val="0"/>
                <w:color w:val="000000" w:themeColor="text1"/>
                <w:lang w:eastAsia="zh-CN"/>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8.2.1</w:t>
            </w:r>
            <w:r>
              <w:rPr>
                <w:rFonts w:hint="default" w:ascii="Times New Roman" w:hAnsi="Times New Roman" w:eastAsia="宋体" w:cs="Times New Roman"/>
                <w:b/>
                <w:bCs w:val="0"/>
                <w:color w:val="000000" w:themeColor="text1"/>
                <w:lang w:eastAsia="zh-CN"/>
                <w14:textFill>
                  <w14:solidFill>
                    <w14:schemeClr w14:val="tx1"/>
                  </w14:solidFill>
                </w14:textFill>
              </w:rPr>
              <w:t>运营期大气环境影响分析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241" w:firstLineChars="100"/>
              <w:textAlignment w:val="auto"/>
              <w:outlineLvl w:val="9"/>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8.2.1.1</w:t>
            </w:r>
            <w:r>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t>污染源参数</w:t>
            </w:r>
          </w:p>
          <w:p>
            <w:pPr>
              <w:pStyle w:val="36"/>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themeColor="text1"/>
                <w:u w:val="none"/>
                <w:lang w:eastAsia="zh-CN"/>
                <w14:textFill>
                  <w14:solidFill>
                    <w14:schemeClr w14:val="tx1"/>
                  </w14:solidFill>
                </w14:textFill>
              </w:rPr>
            </w:pPr>
            <w:r>
              <w:rPr>
                <w:rFonts w:hint="default" w:ascii="Times New Roman" w:hAnsi="Times New Roman" w:eastAsia="宋体" w:cs="Times New Roman"/>
                <w:color w:val="000000" w:themeColor="text1"/>
                <w:u w:val="none"/>
                <w:lang w:eastAsia="zh-CN"/>
                <w14:textFill>
                  <w14:solidFill>
                    <w14:schemeClr w14:val="tx1"/>
                  </w14:solidFill>
                </w14:textFill>
              </w:rPr>
              <w:t>本项目</w:t>
            </w:r>
            <w:r>
              <w:rPr>
                <w:rFonts w:hint="default" w:ascii="Times New Roman" w:hAnsi="Times New Roman" w:eastAsia="宋体" w:cs="Times New Roman"/>
                <w:color w:val="000000" w:themeColor="text1"/>
                <w:u w:val="none"/>
                <w:lang w:val="en-US" w:eastAsia="zh-CN"/>
                <w14:textFill>
                  <w14:solidFill>
                    <w14:schemeClr w14:val="tx1"/>
                  </w14:solidFill>
                </w14:textFill>
              </w:rPr>
              <w:t>烘干筛分粉尘、热水炉燃烧废气、烘干炉燃烧废气收集</w:t>
            </w:r>
            <w:r>
              <w:rPr>
                <w:rFonts w:hint="eastAsia" w:ascii="Times New Roman" w:eastAsia="宋体" w:cs="Times New Roman"/>
                <w:color w:val="000000" w:themeColor="text1"/>
                <w:u w:val="none"/>
                <w:lang w:val="en-US" w:eastAsia="zh-CN"/>
                <w14:textFill>
                  <w14:solidFill>
                    <w14:schemeClr w14:val="tx1"/>
                  </w14:solidFill>
                </w14:textFill>
              </w:rPr>
              <w:t>后，再经</w:t>
            </w:r>
            <w:r>
              <w:rPr>
                <w:rFonts w:hint="eastAsia" w:ascii="Times New Roman" w:hAnsi="Times New Roman" w:eastAsia="宋体" w:cs="Times New Roman"/>
                <w:color w:val="000000" w:themeColor="text1"/>
                <w:u w:val="none"/>
                <w:lang w:val="en-US" w:eastAsia="zh-CN"/>
                <w14:textFill>
                  <w14:solidFill>
                    <w14:schemeClr w14:val="tx1"/>
                  </w14:solidFill>
                </w14:textFill>
              </w:rPr>
              <w:t>过“旋风除尘+麻石水膜除尘”</w:t>
            </w:r>
            <w:r>
              <w:rPr>
                <w:rFonts w:hint="default" w:ascii="Times New Roman" w:hAnsi="Times New Roman" w:eastAsia="宋体" w:cs="Times New Roman"/>
                <w:color w:val="000000" w:themeColor="text1"/>
                <w:u w:val="none"/>
                <w:lang w:val="en-US" w:eastAsia="zh-CN"/>
                <w14:textFill>
                  <w14:solidFill>
                    <w14:schemeClr w14:val="tx1"/>
                  </w14:solidFill>
                </w14:textFill>
              </w:rPr>
              <w:t>处理</w:t>
            </w:r>
            <w:r>
              <w:rPr>
                <w:rFonts w:hint="eastAsia" w:ascii="Times New Roman" w:hAnsi="Times New Roman" w:eastAsia="宋体" w:cs="Times New Roman"/>
                <w:color w:val="000000" w:themeColor="text1"/>
                <w:u w:val="none"/>
                <w:lang w:val="en-US" w:eastAsia="zh-CN"/>
                <w14:textFill>
                  <w14:solidFill>
                    <w14:schemeClr w14:val="tx1"/>
                  </w14:solidFill>
                </w14:textFill>
              </w:rPr>
              <w:t>达标</w:t>
            </w:r>
            <w:r>
              <w:rPr>
                <w:rFonts w:hint="default" w:ascii="Times New Roman" w:hAnsi="Times New Roman" w:eastAsia="宋体" w:cs="Times New Roman"/>
                <w:color w:val="000000" w:themeColor="text1"/>
                <w:u w:val="none"/>
                <w:lang w:val="en-US" w:eastAsia="zh-CN"/>
                <w14:textFill>
                  <w14:solidFill>
                    <w14:schemeClr w14:val="tx1"/>
                  </w14:solidFill>
                </w14:textFill>
              </w:rPr>
              <w:t>后均通过1#排气筒排放。</w:t>
            </w:r>
            <w:r>
              <w:rPr>
                <w:rFonts w:hint="default" w:ascii="Times New Roman" w:hAnsi="Times New Roman" w:eastAsia="宋体" w:cs="Times New Roman"/>
                <w:color w:val="000000" w:themeColor="text1"/>
                <w:u w:val="none"/>
                <w:lang w:eastAsia="zh-CN"/>
                <w14:textFill>
                  <w14:solidFill>
                    <w14:schemeClr w14:val="tx1"/>
                  </w14:solidFill>
                </w14:textFill>
              </w:rPr>
              <w:t>点源废气参数见表</w:t>
            </w:r>
            <w:r>
              <w:rPr>
                <w:rFonts w:hint="default" w:ascii="Times New Roman" w:hAnsi="Times New Roman" w:eastAsia="宋体" w:cs="Times New Roman"/>
                <w:color w:val="000000" w:themeColor="text1"/>
                <w:u w:val="none"/>
                <w:lang w:val="en-US" w:eastAsia="zh-CN"/>
                <w14:textFill>
                  <w14:solidFill>
                    <w14:schemeClr w14:val="tx1"/>
                  </w14:solidFill>
                </w14:textFill>
              </w:rPr>
              <w:t>8.2-1，面源废气参数见表8.2-2</w:t>
            </w:r>
            <w:r>
              <w:rPr>
                <w:rFonts w:hint="default" w:ascii="Times New Roman" w:hAnsi="Times New Roman" w:eastAsia="宋体" w:cs="Times New Roman"/>
                <w:color w:val="000000" w:themeColor="text1"/>
                <w:u w:val="none"/>
                <w:lang w:eastAsia="zh-CN"/>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spacing w:before="157" w:beforeLines="50"/>
              <w:jc w:val="center"/>
              <w:textAlignment w:val="auto"/>
              <w:outlineLvl w:val="9"/>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表8.2-1  点源参数表</w:t>
            </w:r>
          </w:p>
          <w:tbl>
            <w:tblPr>
              <w:tblStyle w:val="27"/>
              <w:tblW w:w="92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77"/>
              <w:gridCol w:w="997"/>
              <w:gridCol w:w="998"/>
              <w:gridCol w:w="970"/>
              <w:gridCol w:w="833"/>
              <w:gridCol w:w="823"/>
              <w:gridCol w:w="498"/>
              <w:gridCol w:w="893"/>
              <w:gridCol w:w="893"/>
              <w:gridCol w:w="8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9"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编号</w:t>
                  </w:r>
                </w:p>
              </w:tc>
              <w:tc>
                <w:tcPr>
                  <w:tcW w:w="777"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排气筒高度m</w:t>
                  </w:r>
                </w:p>
              </w:tc>
              <w:tc>
                <w:tcPr>
                  <w:tcW w:w="997"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t>风量（</w:t>
                  </w:r>
                  <w:r>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bCs/>
                      <w:cap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aps w:val="0"/>
                      <w:color w:val="000000" w:themeColor="text1"/>
                      <w:sz w:val="21"/>
                      <w:szCs w:val="21"/>
                      <w:highlight w:val="none"/>
                      <w:lang w:val="en-US" w:eastAsia="zh-CN"/>
                      <w14:textFill>
                        <w14:solidFill>
                          <w14:schemeClr w14:val="tx1"/>
                        </w14:solidFill>
                      </w14:textFill>
                    </w:rPr>
                    <w:t>/h</w:t>
                  </w:r>
                  <w:r>
                    <w:rPr>
                      <w:rFonts w:hint="default" w:ascii="Times New Roman" w:hAnsi="Times New Roman" w:eastAsia="宋体" w:cs="Times New Roman"/>
                      <w:b/>
                      <w:bCs/>
                      <w:caps w:val="0"/>
                      <w:color w:val="000000" w:themeColor="text1"/>
                      <w:sz w:val="21"/>
                      <w:szCs w:val="21"/>
                      <w:highlight w:val="none"/>
                      <w:lang w:eastAsia="zh-CN"/>
                      <w14:textFill>
                        <w14:solidFill>
                          <w14:schemeClr w14:val="tx1"/>
                        </w14:solidFill>
                      </w14:textFill>
                    </w:rPr>
                    <w:t>）</w:t>
                  </w:r>
                </w:p>
              </w:tc>
              <w:tc>
                <w:tcPr>
                  <w:tcW w:w="998"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排气筒出口内径m</w:t>
                  </w:r>
                </w:p>
              </w:tc>
              <w:tc>
                <w:tcPr>
                  <w:tcW w:w="970"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烟气流速（m/s）</w:t>
                  </w:r>
                </w:p>
              </w:tc>
              <w:tc>
                <w:tcPr>
                  <w:tcW w:w="833"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烟气温度℃</w:t>
                  </w:r>
                </w:p>
              </w:tc>
              <w:tc>
                <w:tcPr>
                  <w:tcW w:w="823"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年排放小时数h</w:t>
                  </w:r>
                </w:p>
              </w:tc>
              <w:tc>
                <w:tcPr>
                  <w:tcW w:w="498" w:type="dxa"/>
                  <w:vMerge w:val="restart"/>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排放工况</w:t>
                  </w:r>
                </w:p>
              </w:tc>
              <w:tc>
                <w:tcPr>
                  <w:tcW w:w="2679" w:type="dxa"/>
                  <w:gridSpan w:val="3"/>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9"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777"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997"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998"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970"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833"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823"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498" w:type="dxa"/>
                  <w:vMerge w:val="continue"/>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893" w:type="dxa"/>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颗粒物</w:t>
                  </w:r>
                </w:p>
              </w:tc>
              <w:tc>
                <w:tcPr>
                  <w:tcW w:w="893" w:type="dxa"/>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二氧化硫</w:t>
                  </w:r>
                </w:p>
              </w:tc>
              <w:tc>
                <w:tcPr>
                  <w:tcW w:w="893" w:type="dxa"/>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69" w:type="dxa"/>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t>1#排气筒</w:t>
                  </w:r>
                </w:p>
              </w:tc>
              <w:tc>
                <w:tcPr>
                  <w:tcW w:w="777" w:type="dxa"/>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val="0"/>
                      <w:bCs w:val="0"/>
                      <w:snapToGrid/>
                      <w:color w:val="000000" w:themeColor="text1"/>
                      <w:kern w:val="0"/>
                      <w:sz w:val="21"/>
                      <w:szCs w:val="21"/>
                      <w:highlight w:val="none"/>
                      <w:vertAlign w:val="baseline"/>
                      <w:lang w:val="en-US" w:eastAsia="zh-CN" w:bidi="ar-SA"/>
                      <w14:textFill>
                        <w14:solidFill>
                          <w14:schemeClr w14:val="tx1"/>
                        </w14:solidFill>
                      </w14:textFill>
                    </w:rPr>
                  </w:pPr>
                  <w:r>
                    <w:rPr>
                      <w:rFonts w:hint="default" w:ascii="Times New Roman" w:hAnsi="Times New Roman" w:eastAsia="宋体" w:cs="Times New Roman"/>
                      <w:b w:val="0"/>
                      <w:bCs w:val="0"/>
                      <w:snapToGrid/>
                      <w:color w:val="000000" w:themeColor="text1"/>
                      <w:kern w:val="0"/>
                      <w:sz w:val="21"/>
                      <w:szCs w:val="21"/>
                      <w:highlight w:val="none"/>
                      <w:vertAlign w:val="baseline"/>
                      <w:lang w:val="en-US" w:eastAsia="zh-CN" w:bidi="ar-SA"/>
                      <w14:textFill>
                        <w14:solidFill>
                          <w14:schemeClr w14:val="tx1"/>
                        </w14:solidFill>
                      </w14:textFill>
                    </w:rPr>
                    <w:t>15</w:t>
                  </w:r>
                </w:p>
              </w:tc>
              <w:tc>
                <w:tcPr>
                  <w:tcW w:w="99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15000</w:t>
                  </w:r>
                </w:p>
              </w:tc>
              <w:tc>
                <w:tcPr>
                  <w:tcW w:w="9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0.6</w:t>
                  </w:r>
                </w:p>
              </w:tc>
              <w:tc>
                <w:tcPr>
                  <w:tcW w:w="97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14.74 </w:t>
                  </w:r>
                </w:p>
              </w:tc>
              <w:tc>
                <w:tcPr>
                  <w:tcW w:w="8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eastAsia" w:cs="Times New Roman"/>
                      <w:i w:val="0"/>
                      <w:snapToGrid w:val="0"/>
                      <w:color w:val="000000" w:themeColor="text1"/>
                      <w:kern w:val="0"/>
                      <w:sz w:val="21"/>
                      <w:szCs w:val="21"/>
                      <w:u w:val="none"/>
                      <w:lang w:val="en-US" w:eastAsia="zh-CN" w:bidi="ar"/>
                      <w14:textFill>
                        <w14:solidFill>
                          <w14:schemeClr w14:val="tx1"/>
                        </w14:solidFill>
                      </w14:textFill>
                    </w:rPr>
                    <w:t>8</w:t>
                  </w: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w:t>
                  </w:r>
                </w:p>
              </w:tc>
              <w:tc>
                <w:tcPr>
                  <w:tcW w:w="82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2400</w:t>
                  </w:r>
                </w:p>
              </w:tc>
              <w:tc>
                <w:tcPr>
                  <w:tcW w:w="49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正常</w:t>
                  </w:r>
                </w:p>
              </w:tc>
              <w:tc>
                <w:tcPr>
                  <w:tcW w:w="8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0.024 </w:t>
                  </w:r>
                </w:p>
              </w:tc>
              <w:tc>
                <w:tcPr>
                  <w:tcW w:w="8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0.065 </w:t>
                  </w:r>
                </w:p>
              </w:tc>
              <w:tc>
                <w:tcPr>
                  <w:tcW w:w="89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0.306 </w:t>
                  </w:r>
                </w:p>
              </w:tc>
            </w:tr>
          </w:tbl>
          <w:p>
            <w:pPr>
              <w:pStyle w:val="36"/>
              <w:keepNext w:val="0"/>
              <w:keepLines w:val="0"/>
              <w:pageBreakBefore w:val="0"/>
              <w:widowControl w:val="0"/>
              <w:kinsoku/>
              <w:wordWrap/>
              <w:overflowPunct/>
              <w:topLinePunct w:val="0"/>
              <w:autoSpaceDE w:val="0"/>
              <w:autoSpaceDN w:val="0"/>
              <w:bidi w:val="0"/>
              <w:adjustRightInd/>
              <w:snapToGrid/>
              <w:spacing w:before="157" w:beforeLines="50"/>
              <w:jc w:val="center"/>
              <w:textAlignment w:val="auto"/>
              <w:outlineLvl w:val="9"/>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表8.2-2  面源参数表</w:t>
            </w:r>
          </w:p>
          <w:tbl>
            <w:tblPr>
              <w:tblStyle w:val="27"/>
              <w:tblW w:w="92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716"/>
              <w:gridCol w:w="965"/>
              <w:gridCol w:w="989"/>
              <w:gridCol w:w="988"/>
              <w:gridCol w:w="991"/>
              <w:gridCol w:w="1747"/>
              <w:gridCol w:w="1045"/>
              <w:gridCol w:w="11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37"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编号</w:t>
                  </w:r>
                </w:p>
              </w:tc>
              <w:tc>
                <w:tcPr>
                  <w:tcW w:w="716"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名称</w:t>
                  </w:r>
                </w:p>
              </w:tc>
              <w:tc>
                <w:tcPr>
                  <w:tcW w:w="965"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i w:val="0"/>
                      <w:color w:val="000000" w:themeColor="text1"/>
                      <w:kern w:val="0"/>
                      <w:sz w:val="18"/>
                      <w:szCs w:val="18"/>
                      <w:u w:val="none"/>
                      <w:lang w:val="en-US" w:eastAsia="zh-CN" w:bidi="ar"/>
                      <w14:textFill>
                        <w14:solidFill>
                          <w14:schemeClr w14:val="tx1"/>
                        </w14:solidFill>
                      </w14:textFill>
                    </w:rPr>
                    <w:t>面源海拔高度/m</w:t>
                  </w:r>
                </w:p>
              </w:tc>
              <w:tc>
                <w:tcPr>
                  <w:tcW w:w="989"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i w:val="0"/>
                      <w:color w:val="000000" w:themeColor="text1"/>
                      <w:kern w:val="0"/>
                      <w:sz w:val="18"/>
                      <w:szCs w:val="18"/>
                      <w:u w:val="none"/>
                      <w:lang w:val="en-US" w:eastAsia="zh-CN" w:bidi="ar"/>
                      <w14:textFill>
                        <w14:solidFill>
                          <w14:schemeClr w14:val="tx1"/>
                        </w14:solidFill>
                      </w14:textFill>
                    </w:rPr>
                    <w:t>面源长度/m</w:t>
                  </w:r>
                </w:p>
              </w:tc>
              <w:tc>
                <w:tcPr>
                  <w:tcW w:w="988"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i w:val="0"/>
                      <w:color w:val="000000" w:themeColor="text1"/>
                      <w:kern w:val="0"/>
                      <w:sz w:val="18"/>
                      <w:szCs w:val="18"/>
                      <w:u w:val="none"/>
                      <w:lang w:val="en-US" w:eastAsia="zh-CN" w:bidi="ar"/>
                      <w14:textFill>
                        <w14:solidFill>
                          <w14:schemeClr w14:val="tx1"/>
                        </w14:solidFill>
                      </w14:textFill>
                    </w:rPr>
                    <w:t>面源宽度/m</w:t>
                  </w:r>
                </w:p>
              </w:tc>
              <w:tc>
                <w:tcPr>
                  <w:tcW w:w="991"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面源有效排放高度/m</w:t>
                  </w:r>
                </w:p>
              </w:tc>
              <w:tc>
                <w:tcPr>
                  <w:tcW w:w="1747"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年排放小时数/h</w:t>
                  </w:r>
                </w:p>
              </w:tc>
              <w:tc>
                <w:tcPr>
                  <w:tcW w:w="104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排放工况</w:t>
                  </w:r>
                </w:p>
              </w:tc>
              <w:tc>
                <w:tcPr>
                  <w:tcW w:w="1166"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37"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716"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96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989"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988"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991"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747"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04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p>
              </w:tc>
              <w:tc>
                <w:tcPr>
                  <w:tcW w:w="1166"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9" w:hRule="atLeast"/>
                <w:jc w:val="center"/>
              </w:trPr>
              <w:tc>
                <w:tcPr>
                  <w:tcW w:w="637"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M1</w:t>
                  </w:r>
                </w:p>
              </w:tc>
              <w:tc>
                <w:tcPr>
                  <w:tcW w:w="716"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酸洗烘干筛分车间</w:t>
                  </w:r>
                </w:p>
              </w:tc>
              <w:tc>
                <w:tcPr>
                  <w:tcW w:w="96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76</w:t>
                  </w:r>
                </w:p>
              </w:tc>
              <w:tc>
                <w:tcPr>
                  <w:tcW w:w="989"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95</w:t>
                  </w:r>
                </w:p>
              </w:tc>
              <w:tc>
                <w:tcPr>
                  <w:tcW w:w="988"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53</w:t>
                  </w:r>
                </w:p>
              </w:tc>
              <w:tc>
                <w:tcPr>
                  <w:tcW w:w="991"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11</w:t>
                  </w:r>
                </w:p>
              </w:tc>
              <w:tc>
                <w:tcPr>
                  <w:tcW w:w="1747"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2400</w:t>
                  </w:r>
                </w:p>
              </w:tc>
              <w:tc>
                <w:tcPr>
                  <w:tcW w:w="104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正常</w:t>
                  </w:r>
                </w:p>
              </w:tc>
              <w:tc>
                <w:tcPr>
                  <w:tcW w:w="1166"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0.125</w:t>
                  </w:r>
                </w:p>
              </w:tc>
            </w:tr>
          </w:tbl>
          <w:p>
            <w:pPr>
              <w:pStyle w:val="36"/>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2" w:firstLineChars="200"/>
              <w:jc w:val="both"/>
              <w:textAlignment w:val="auto"/>
              <w:outlineLvl w:val="9"/>
              <w:rPr>
                <w:rFonts w:hint="default" w:ascii="Times New Roman" w:hAnsi="Times New Roman" w:eastAsia="宋体" w:cs="Times New Roman"/>
                <w:b/>
                <w:bCs/>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8.2.1.2</w:t>
            </w:r>
            <w:r>
              <w:rPr>
                <w:rFonts w:hint="default" w:ascii="Times New Roman" w:hAnsi="Times New Roman" w:eastAsia="宋体" w:cs="Times New Roman"/>
                <w:b/>
                <w:bCs/>
                <w:color w:val="000000" w:themeColor="text1"/>
                <w:highlight w:val="none"/>
                <w:u w:val="none"/>
                <w:lang w:val="en-US" w:eastAsia="zh-CN"/>
                <w14:textFill>
                  <w14:solidFill>
                    <w14:schemeClr w14:val="tx1"/>
                  </w14:solidFill>
                </w14:textFill>
              </w:rPr>
              <w:t>估算模型参数表</w:t>
            </w:r>
          </w:p>
          <w:p>
            <w:pPr>
              <w:keepNext w:val="0"/>
              <w:keepLines w:val="0"/>
              <w:pageBreakBefore w:val="0"/>
              <w:widowControl w:val="0"/>
              <w:tabs>
                <w:tab w:val="right" w:pos="9069"/>
              </w:tabs>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color w:val="000000" w:themeColor="text1"/>
                <w:sz w:val="24"/>
                <w:szCs w:val="20"/>
                <w:highlight w:val="none"/>
                <w:u w:val="none"/>
                <w14:textFill>
                  <w14:solidFill>
                    <w14:schemeClr w14:val="tx1"/>
                  </w14:solidFill>
                </w14:textFill>
              </w:rPr>
            </w:pPr>
            <w:r>
              <w:rPr>
                <w:rFonts w:hint="default" w:ascii="Times New Roman" w:hAnsi="Times New Roman" w:eastAsia="宋体" w:cs="Times New Roman"/>
                <w:b/>
                <w:color w:val="000000" w:themeColor="text1"/>
                <w:sz w:val="24"/>
                <w:szCs w:val="20"/>
                <w:highlight w:val="none"/>
                <w:u w:val="none"/>
                <w14:textFill>
                  <w14:solidFill>
                    <w14:schemeClr w14:val="tx1"/>
                  </w14:solidFill>
                </w14:textFill>
              </w:rPr>
              <w:t>表</w:t>
            </w:r>
            <w:r>
              <w:rPr>
                <w:rFonts w:hint="default" w:ascii="Times New Roman" w:hAnsi="Times New Roman" w:eastAsia="宋体" w:cs="Times New Roman"/>
                <w:b/>
                <w:color w:val="000000" w:themeColor="text1"/>
                <w:sz w:val="24"/>
                <w:szCs w:val="20"/>
                <w:highlight w:val="none"/>
                <w:u w:val="none"/>
                <w:lang w:val="en-US" w:eastAsia="zh-CN"/>
                <w14:textFill>
                  <w14:solidFill>
                    <w14:schemeClr w14:val="tx1"/>
                  </w14:solidFill>
                </w14:textFill>
              </w:rPr>
              <w:t>8.2-3</w:t>
            </w:r>
            <w:r>
              <w:rPr>
                <w:rFonts w:hint="default" w:ascii="Times New Roman" w:hAnsi="Times New Roman" w:eastAsia="宋体" w:cs="Times New Roman"/>
                <w:b/>
                <w:color w:val="000000" w:themeColor="text1"/>
                <w:sz w:val="24"/>
                <w:szCs w:val="20"/>
                <w:highlight w:val="none"/>
                <w:u w:val="none"/>
                <w14:textFill>
                  <w14:solidFill>
                    <w14:schemeClr w14:val="tx1"/>
                  </w14:solidFill>
                </w14:textFill>
              </w:rPr>
              <w:t xml:space="preserve">  估算模</w:t>
            </w:r>
            <w:r>
              <w:rPr>
                <w:rFonts w:hint="default" w:ascii="Times New Roman" w:hAnsi="Times New Roman" w:eastAsia="宋体" w:cs="Times New Roman"/>
                <w:b/>
                <w:color w:val="000000" w:themeColor="text1"/>
                <w:sz w:val="24"/>
                <w:szCs w:val="20"/>
                <w:highlight w:val="none"/>
                <w:u w:val="none"/>
                <w:lang w:eastAsia="zh-CN"/>
                <w14:textFill>
                  <w14:solidFill>
                    <w14:schemeClr w14:val="tx1"/>
                  </w14:solidFill>
                </w14:textFill>
              </w:rPr>
              <w:t>型</w:t>
            </w:r>
            <w:r>
              <w:rPr>
                <w:rFonts w:hint="default" w:ascii="Times New Roman" w:hAnsi="Times New Roman" w:eastAsia="宋体" w:cs="Times New Roman"/>
                <w:b/>
                <w:color w:val="000000" w:themeColor="text1"/>
                <w:sz w:val="24"/>
                <w:szCs w:val="20"/>
                <w:highlight w:val="none"/>
                <w:u w:val="none"/>
                <w14:textFill>
                  <w14:solidFill>
                    <w14:schemeClr w14:val="tx1"/>
                  </w14:solidFill>
                </w14:textFill>
              </w:rPr>
              <w:t>参数表</w:t>
            </w:r>
          </w:p>
          <w:tbl>
            <w:tblPr>
              <w:tblStyle w:val="26"/>
              <w:tblW w:w="918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3406"/>
              <w:gridCol w:w="32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59" w:type="dxa"/>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u w:val="none"/>
                      <w14:textFill>
                        <w14:solidFill>
                          <w14:schemeClr w14:val="tx1"/>
                        </w14:solidFill>
                      </w14:textFill>
                    </w:rPr>
                    <w:t>参数</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u w:val="none"/>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3" w:type="dxa"/>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城市/农村选项</w:t>
                  </w:r>
                </w:p>
              </w:tc>
              <w:tc>
                <w:tcPr>
                  <w:tcW w:w="3406"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城市/农村</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lang w:eastAsia="zh-CN"/>
                      <w14:textFill>
                        <w14:solidFill>
                          <w14:schemeClr w14:val="tx1"/>
                        </w14:solidFill>
                      </w14:textFill>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3" w:type="dxa"/>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p>
              </w:tc>
              <w:tc>
                <w:tcPr>
                  <w:tcW w:w="3406"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人口数（城市选项时）</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59" w:type="dxa"/>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最高环境温度/℃</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lang w:val="en-US" w:eastAsia="zh-CN"/>
                      <w14:textFill>
                        <w14:solidFill>
                          <w14:schemeClr w14:val="tx1"/>
                        </w14:solidFill>
                      </w14:textFill>
                    </w:rPr>
                    <w:t>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59" w:type="dxa"/>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最低环境温度/℃</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59" w:type="dxa"/>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土地利用类型</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lang w:eastAsia="zh-CN"/>
                      <w14:textFill>
                        <w14:solidFill>
                          <w14:schemeClr w14:val="tx1"/>
                        </w14:solidFill>
                      </w14:textFill>
                    </w:rPr>
                    <w:t>阔叶林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959" w:type="dxa"/>
                  <w:gridSpan w:val="2"/>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区域湿度条件</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3" w:type="dxa"/>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是否考虑地形</w:t>
                  </w:r>
                </w:p>
              </w:tc>
              <w:tc>
                <w:tcPr>
                  <w:tcW w:w="3406"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考虑地形</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3" w:type="dxa"/>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p>
              </w:tc>
              <w:tc>
                <w:tcPr>
                  <w:tcW w:w="3406"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地形数据分辨率</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3" w:type="dxa"/>
                  <w:vMerge w:val="restart"/>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是否考虑海岸线熏烟</w:t>
                  </w:r>
                </w:p>
              </w:tc>
              <w:tc>
                <w:tcPr>
                  <w:tcW w:w="3406"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考虑岸线熏烟</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3" w:type="dxa"/>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p>
              </w:tc>
              <w:tc>
                <w:tcPr>
                  <w:tcW w:w="3406"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海岸线距离/m</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3" w:type="dxa"/>
                  <w:vMerge w:val="continue"/>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p>
              </w:tc>
              <w:tc>
                <w:tcPr>
                  <w:tcW w:w="3406"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海岸线方向/°</w:t>
                  </w:r>
                </w:p>
              </w:tc>
              <w:tc>
                <w:tcPr>
                  <w:tcW w:w="322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u w:val="none"/>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both"/>
              <w:textAlignment w:val="auto"/>
              <w:outlineLvl w:val="9"/>
              <w:rPr>
                <w:rFonts w:hint="default" w:ascii="Times New Roman" w:hAnsi="Times New Roman" w:eastAsia="宋体" w:cs="Times New Roman"/>
                <w:b/>
                <w:color w:val="000000" w:themeColor="text1"/>
                <w:sz w:val="24"/>
                <w:szCs w:val="20"/>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8.2.1.3评价标准及评价等级</w:t>
            </w:r>
          </w:p>
          <w:p>
            <w:pPr>
              <w:spacing w:line="360" w:lineRule="auto"/>
              <w:ind w:firstLine="480" w:firstLineChars="200"/>
              <w:rPr>
                <w:rFonts w:hint="default" w:ascii="Times New Roman" w:hAnsi="Times New Roman" w:eastAsia="宋体" w:cs="Times New Roman"/>
                <w:color w:val="000000" w:themeColor="text1"/>
                <w:sz w:val="24"/>
                <w:szCs w:val="22"/>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根据《环境影响评价技术导则——大气环境》（HJ2.2－2018）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仅有8h平均质量浓度限值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日平均质量浓度限值或年平均质量浓度限值</w:t>
            </w:r>
            <w:r>
              <w:rPr>
                <w:rFonts w:hint="default" w:ascii="Times New Roman" w:hAnsi="Times New Roman" w:eastAsia="宋体" w:cs="Times New Roman"/>
                <w:color w:val="000000" w:themeColor="text1"/>
                <w:sz w:val="24"/>
                <w:szCs w:val="24"/>
                <w:highlight w:val="none"/>
                <w14:textFill>
                  <w14:solidFill>
                    <w14:schemeClr w14:val="tx1"/>
                  </w14:solidFill>
                </w14:textFill>
              </w:rPr>
              <w:t>的，可按2倍</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3倍、6倍</w:t>
            </w:r>
            <w:r>
              <w:rPr>
                <w:rFonts w:hint="default" w:ascii="Times New Roman" w:hAnsi="Times New Roman" w:eastAsia="宋体" w:cs="Times New Roman"/>
                <w:color w:val="000000" w:themeColor="text1"/>
                <w:sz w:val="24"/>
                <w:szCs w:val="24"/>
                <w:highlight w:val="none"/>
                <w14:textFill>
                  <w14:solidFill>
                    <w14:schemeClr w14:val="tx1"/>
                  </w14:solidFill>
                </w14:textFill>
              </w:rPr>
              <w:t>折算为1h小时平均质量浓度限值，</w:t>
            </w:r>
            <w:r>
              <w:rPr>
                <w:rFonts w:hint="default" w:ascii="Times New Roman" w:hAnsi="Times New Roman" w:eastAsia="宋体" w:cs="Times New Roman"/>
                <w:color w:val="000000" w:themeColor="text1"/>
                <w:sz w:val="24"/>
                <w:highlight w:val="none"/>
                <w14:textFill>
                  <w14:solidFill>
                    <w14:schemeClr w14:val="tx1"/>
                  </w14:solidFill>
                </w14:textFill>
              </w:rPr>
              <w:t>《环境空气质量标准》（GB3095-2012）</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二级标准中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二氧化硫小时平均浓度限值0.5</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、氮氧化物</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小时平均浓度限值0.25</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TSP日均浓度限值0.3</w:t>
            </w:r>
            <w:r>
              <w:rPr>
                <w:rFonts w:hint="default" w:ascii="Times New Roman" w:hAnsi="Times New Roman" w:eastAsia="宋体" w:cs="Times New Roman"/>
                <w:color w:val="000000" w:themeColor="text1"/>
                <w:sz w:val="24"/>
                <w:szCs w:val="24"/>
                <w:highlight w:val="none"/>
                <w14:textFill>
                  <w14:solidFill>
                    <w14:schemeClr w14:val="tx1"/>
                  </w14:solidFill>
                </w14:textFill>
              </w:rPr>
              <w:t>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二氧化硫、</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氮氧化物、</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TSP</w:t>
            </w:r>
            <w:r>
              <w:rPr>
                <w:rFonts w:hint="default" w:ascii="Times New Roman" w:hAnsi="Times New Roman" w:eastAsia="宋体" w:cs="Times New Roman"/>
                <w:color w:val="000000" w:themeColor="text1"/>
                <w:sz w:val="24"/>
                <w:szCs w:val="24"/>
                <w:highlight w:val="none"/>
                <w14:textFill>
                  <w14:solidFill>
                    <w14:schemeClr w14:val="tx1"/>
                  </w14:solidFill>
                </w14:textFill>
              </w:rPr>
              <w:t>的C</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0i</w:t>
            </w:r>
            <w:r>
              <w:rPr>
                <w:rFonts w:hint="default" w:ascii="Times New Roman" w:hAnsi="Times New Roman" w:eastAsia="宋体" w:cs="Times New Roman"/>
                <w:color w:val="000000" w:themeColor="text1"/>
                <w:sz w:val="24"/>
                <w:szCs w:val="24"/>
                <w:highlight w:val="none"/>
                <w14:textFill>
                  <w14:solidFill>
                    <w14:schemeClr w14:val="tx1"/>
                  </w14:solidFill>
                </w14:textFill>
              </w:rPr>
              <w:t>取值为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0.5</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0.25</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0.9</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mg/m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2"/>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u w:val="none"/>
                <w:lang w:eastAsia="zh-CN"/>
                <w14:textFill>
                  <w14:solidFill>
                    <w14:schemeClr w14:val="tx1"/>
                  </w14:solidFill>
                </w14:textFill>
              </w:rPr>
              <w:t>按照</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《环境影响评价技术导则</w:t>
            </w:r>
            <w:r>
              <w:rPr>
                <w:rFonts w:hint="default" w:ascii="Times New Roman" w:hAnsi="Times New Roman" w:eastAsia="宋体" w:cs="Times New Roman"/>
                <w:color w:val="000000" w:themeColor="text1"/>
                <w:sz w:val="24"/>
                <w:szCs w:val="22"/>
                <w:highlight w:val="none"/>
                <w:u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大气环境》（HJ2.2</w:t>
            </w:r>
            <w:r>
              <w:rPr>
                <w:rFonts w:hint="default" w:ascii="Times New Roman" w:hAnsi="Times New Roman" w:eastAsia="宋体" w:cs="Times New Roman"/>
                <w:color w:val="000000" w:themeColor="text1"/>
                <w:sz w:val="24"/>
                <w:szCs w:val="22"/>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2018）</w:t>
            </w:r>
            <w:r>
              <w:rPr>
                <w:rFonts w:hint="default" w:ascii="Times New Roman" w:hAnsi="Times New Roman" w:eastAsia="宋体" w:cs="Times New Roman"/>
                <w:color w:val="000000" w:themeColor="text1"/>
                <w:sz w:val="24"/>
                <w:szCs w:val="22"/>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根据项目污染源初步调查结果，分别计算项目排放主要污染物的最大地面空气质量浓度占标率P</w:t>
            </w:r>
            <w:r>
              <w:rPr>
                <w:rFonts w:hint="default" w:ascii="Times New Roman" w:hAnsi="Times New Roman" w:eastAsia="宋体" w:cs="Times New Roman"/>
                <w:color w:val="000000" w:themeColor="text1"/>
                <w:sz w:val="24"/>
                <w:szCs w:val="22"/>
                <w:highlight w:val="none"/>
                <w:u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（第i个污染物，简称“最大浓度占标率”），及第i个污染物的地面空气质量浓度达到标准值的10%时所对应的最远距离D</w:t>
            </w:r>
            <w:r>
              <w:rPr>
                <w:rFonts w:hint="default" w:ascii="Times New Roman" w:hAnsi="Times New Roman" w:eastAsia="宋体" w:cs="Times New Roman"/>
                <w:color w:val="000000" w:themeColor="text1"/>
                <w:sz w:val="24"/>
                <w:szCs w:val="22"/>
                <w:highlight w:val="none"/>
                <w:u w:val="none"/>
                <w:vertAlign w:val="subscript"/>
                <w14:textFill>
                  <w14:solidFill>
                    <w14:schemeClr w14:val="tx1"/>
                  </w14:solidFill>
                </w14:textFill>
              </w:rPr>
              <w:t>10%</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。其中P</w:t>
            </w:r>
            <w:r>
              <w:rPr>
                <w:rFonts w:hint="default" w:ascii="Times New Roman" w:hAnsi="Times New Roman" w:eastAsia="宋体" w:cs="Times New Roman"/>
                <w:color w:val="000000" w:themeColor="text1"/>
                <w:sz w:val="24"/>
                <w:szCs w:val="22"/>
                <w:highlight w:val="none"/>
                <w:u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定义为：</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sz w:val="24"/>
                <w:szCs w:val="22"/>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drawing>
                <wp:inline distT="0" distB="0" distL="114300" distR="114300">
                  <wp:extent cx="929005" cy="308610"/>
                  <wp:effectExtent l="0" t="0" r="4445" b="1524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9"/>
                          <a:srcRect t="14743" b="7372"/>
                          <a:stretch>
                            <a:fillRect/>
                          </a:stretch>
                        </pic:blipFill>
                        <pic:spPr>
                          <a:xfrm>
                            <a:off x="0" y="0"/>
                            <a:ext cx="929005" cy="308610"/>
                          </a:xfrm>
                          <a:prstGeom prst="rect">
                            <a:avLst/>
                          </a:prstGeom>
                          <a:noFill/>
                          <a:ln w="9525">
                            <a:noFill/>
                          </a:ln>
                        </pic:spPr>
                      </pic:pic>
                    </a:graphicData>
                  </a:graphic>
                </wp:inline>
              </w:drawing>
            </w:r>
          </w:p>
          <w:p>
            <w:pPr>
              <w:spacing w:line="360" w:lineRule="auto"/>
              <w:ind w:firstLine="480" w:firstLineChars="200"/>
              <w:rPr>
                <w:rFonts w:hint="default" w:ascii="Times New Roman" w:hAnsi="Times New Roman" w:eastAsia="宋体" w:cs="Times New Roman"/>
                <w:color w:val="000000" w:themeColor="text1"/>
                <w:sz w:val="24"/>
                <w:szCs w:val="22"/>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式中：</w:t>
            </w:r>
          </w:p>
          <w:p>
            <w:pPr>
              <w:spacing w:line="360" w:lineRule="auto"/>
              <w:ind w:firstLine="480" w:firstLineChars="200"/>
              <w:rPr>
                <w:rFonts w:hint="default" w:ascii="Times New Roman" w:hAnsi="Times New Roman" w:eastAsia="宋体" w:cs="Times New Roman"/>
                <w:color w:val="000000" w:themeColor="text1"/>
                <w:sz w:val="24"/>
                <w:szCs w:val="22"/>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P</w:t>
            </w:r>
            <w:r>
              <w:rPr>
                <w:rFonts w:hint="default" w:ascii="Times New Roman" w:hAnsi="Times New Roman" w:eastAsia="宋体" w:cs="Times New Roman"/>
                <w:color w:val="000000" w:themeColor="text1"/>
                <w:sz w:val="24"/>
                <w:szCs w:val="22"/>
                <w:highlight w:val="none"/>
                <w:u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——第i个污染物的最大地面空气质量浓度占标率，%；</w:t>
            </w:r>
          </w:p>
          <w:p>
            <w:pPr>
              <w:spacing w:line="360" w:lineRule="auto"/>
              <w:ind w:firstLine="480" w:firstLineChars="200"/>
              <w:rPr>
                <w:rFonts w:hint="default" w:ascii="Times New Roman" w:hAnsi="Times New Roman" w:eastAsia="宋体" w:cs="Times New Roman"/>
                <w:color w:val="000000" w:themeColor="text1"/>
                <w:sz w:val="24"/>
                <w:szCs w:val="22"/>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C</w:t>
            </w:r>
            <w:r>
              <w:rPr>
                <w:rFonts w:hint="default" w:ascii="Times New Roman" w:hAnsi="Times New Roman" w:eastAsia="宋体" w:cs="Times New Roman"/>
                <w:color w:val="000000" w:themeColor="text1"/>
                <w:sz w:val="24"/>
                <w:szCs w:val="22"/>
                <w:highlight w:val="none"/>
                <w:u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——采用估算模型计算出的第i个污染物的最大1h地面空气质量浓度，</w:t>
            </w:r>
            <w:r>
              <w:rPr>
                <w:rFonts w:hint="default" w:ascii="Times New Roman" w:hAnsi="Times New Roman" w:eastAsia="宋体" w:cs="Times New Roman"/>
                <w:color w:val="000000" w:themeColor="text1"/>
                <w:sz w:val="24"/>
                <w:szCs w:val="22"/>
                <w:highlight w:val="none"/>
                <w:u w:val="none"/>
                <w:lang w:eastAsia="zh-CN"/>
                <w14:textFill>
                  <w14:solidFill>
                    <w14:schemeClr w14:val="tx1"/>
                  </w14:solidFill>
                </w14:textFill>
              </w:rPr>
              <w:t>μ</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g/m</w:t>
            </w:r>
            <w:r>
              <w:rPr>
                <w:rFonts w:hint="default" w:ascii="Times New Roman" w:hAnsi="Times New Roman" w:eastAsia="宋体" w:cs="Times New Roman"/>
                <w:color w:val="000000" w:themeColor="text1"/>
                <w:sz w:val="24"/>
                <w:szCs w:val="22"/>
                <w:highlight w:val="none"/>
                <w:u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2"/>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C</w:t>
            </w:r>
            <w:r>
              <w:rPr>
                <w:rFonts w:hint="default" w:ascii="Times New Roman" w:hAnsi="Times New Roman" w:eastAsia="宋体" w:cs="Times New Roman"/>
                <w:color w:val="000000" w:themeColor="text1"/>
                <w:sz w:val="24"/>
                <w:szCs w:val="22"/>
                <w:highlight w:val="none"/>
                <w:u w:val="none"/>
                <w:vertAlign w:val="subscript"/>
                <w14:textFill>
                  <w14:solidFill>
                    <w14:schemeClr w14:val="tx1"/>
                  </w14:solidFill>
                </w14:textFill>
              </w:rPr>
              <w:t>0i</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——第i个污染物的环境空气质量浓度标准，</w:t>
            </w:r>
            <w:r>
              <w:rPr>
                <w:rFonts w:hint="default" w:ascii="Times New Roman" w:hAnsi="Times New Roman" w:eastAsia="宋体" w:cs="Times New Roman"/>
                <w:color w:val="000000" w:themeColor="text1"/>
                <w:sz w:val="24"/>
                <w:szCs w:val="22"/>
                <w:highlight w:val="none"/>
                <w:u w:val="none"/>
                <w:lang w:eastAsia="zh-CN"/>
                <w14:textFill>
                  <w14:solidFill>
                    <w14:schemeClr w14:val="tx1"/>
                  </w14:solidFill>
                </w14:textFill>
              </w:rPr>
              <w:t>μ</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g/m</w:t>
            </w:r>
            <w:r>
              <w:rPr>
                <w:rFonts w:hint="default" w:ascii="Times New Roman" w:hAnsi="Times New Roman" w:eastAsia="宋体" w:cs="Times New Roman"/>
                <w:color w:val="000000" w:themeColor="text1"/>
                <w:sz w:val="24"/>
                <w:szCs w:val="22"/>
                <w:highlight w:val="none"/>
                <w:u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w:t>
            </w:r>
          </w:p>
          <w:p>
            <w:pPr>
              <w:spacing w:line="360" w:lineRule="auto"/>
              <w:ind w:firstLine="480" w:firstLineChars="200"/>
              <w:rPr>
                <w:rFonts w:hint="default" w:ascii="Times New Roman" w:hAnsi="Times New Roman" w:eastAsia="宋体" w:cs="Times New Roman"/>
                <w:color w:val="000000" w:themeColor="text1"/>
                <w:sz w:val="24"/>
                <w:szCs w:val="22"/>
                <w:highlight w:val="none"/>
                <w:u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大气评价工作等级按下表的分级判据进行划分，最大地面浓度占标率P</w:t>
            </w:r>
            <w:r>
              <w:rPr>
                <w:rFonts w:hint="default" w:ascii="Times New Roman" w:hAnsi="Times New Roman" w:eastAsia="宋体" w:cs="Times New Roman"/>
                <w:color w:val="000000" w:themeColor="text1"/>
                <w:sz w:val="24"/>
                <w:szCs w:val="22"/>
                <w:highlight w:val="none"/>
                <w:u w:val="none"/>
                <w:vertAlign w:val="subscript"/>
                <w14:textFill>
                  <w14:solidFill>
                    <w14:schemeClr w14:val="tx1"/>
                  </w14:solidFill>
                </w14:textFill>
              </w:rPr>
              <w:t>i</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按上述公式计算，如果污染物数i大于1，取P值中最大者（P</w:t>
            </w:r>
            <w:r>
              <w:rPr>
                <w:rFonts w:hint="default" w:ascii="Times New Roman" w:hAnsi="Times New Roman" w:eastAsia="宋体" w:cs="Times New Roman"/>
                <w:color w:val="000000" w:themeColor="text1"/>
                <w:sz w:val="24"/>
                <w:szCs w:val="22"/>
                <w:highlight w:val="none"/>
                <w:u w:val="none"/>
                <w:vertAlign w:val="subscript"/>
                <w14:textFill>
                  <w14:solidFill>
                    <w14:schemeClr w14:val="tx1"/>
                  </w14:solidFill>
                </w14:textFill>
              </w:rPr>
              <w:t>max</w:t>
            </w:r>
            <w:r>
              <w:rPr>
                <w:rFonts w:hint="default" w:ascii="Times New Roman" w:hAnsi="Times New Roman" w:eastAsia="宋体" w:cs="Times New Roman"/>
                <w:color w:val="000000" w:themeColor="text1"/>
                <w:sz w:val="24"/>
                <w:szCs w:val="22"/>
                <w:highlight w:val="none"/>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9"/>
              <w:rPr>
                <w:rFonts w:hint="default" w:ascii="Times New Roman" w:hAnsi="Times New Roman" w:eastAsia="宋体" w:cs="Times New Roman"/>
                <w:b/>
                <w:color w:val="000000" w:themeColor="text1"/>
                <w:sz w:val="24"/>
                <w:highlight w:val="none"/>
                <w:u w:val="none"/>
                <w14:textFill>
                  <w14:solidFill>
                    <w14:schemeClr w14:val="tx1"/>
                  </w14:solidFill>
                </w14:textFill>
              </w:rPr>
            </w:pPr>
            <w:r>
              <w:rPr>
                <w:rFonts w:hint="default" w:ascii="Times New Roman" w:hAnsi="Times New Roman" w:eastAsia="宋体" w:cs="Times New Roman"/>
                <w:b/>
                <w:color w:val="000000" w:themeColor="text1"/>
                <w:sz w:val="24"/>
                <w:highlight w:val="none"/>
                <w:u w:val="none"/>
                <w14:textFill>
                  <w14:solidFill>
                    <w14:schemeClr w14:val="tx1"/>
                  </w14:solidFill>
                </w14:textFill>
              </w:rPr>
              <w:t>表</w:t>
            </w:r>
            <w:r>
              <w:rPr>
                <w:rFonts w:hint="default" w:ascii="Times New Roman" w:hAnsi="Times New Roman" w:eastAsia="宋体" w:cs="Times New Roman"/>
                <w:b/>
                <w:color w:val="000000" w:themeColor="text1"/>
                <w:sz w:val="24"/>
                <w:highlight w:val="none"/>
                <w:u w:val="none"/>
                <w:lang w:val="en-US" w:eastAsia="zh-CN"/>
                <w14:textFill>
                  <w14:solidFill>
                    <w14:schemeClr w14:val="tx1"/>
                  </w14:solidFill>
                </w14:textFill>
              </w:rPr>
              <w:t>8.2-4</w:t>
            </w:r>
            <w:r>
              <w:rPr>
                <w:rFonts w:hint="default" w:ascii="Times New Roman" w:hAnsi="Times New Roman" w:eastAsia="宋体" w:cs="Times New Roman"/>
                <w:b/>
                <w:color w:val="000000" w:themeColor="text1"/>
                <w:sz w:val="24"/>
                <w:highlight w:val="none"/>
                <w:u w:val="none"/>
                <w14:textFill>
                  <w14:solidFill>
                    <w14:schemeClr w14:val="tx1"/>
                  </w14:solidFill>
                </w14:textFill>
              </w:rPr>
              <w:t xml:space="preserve">  评价等级判别表</w:t>
            </w:r>
          </w:p>
          <w:tbl>
            <w:tblPr>
              <w:tblStyle w:val="26"/>
              <w:tblpPr w:leftFromText="180" w:rightFromText="180" w:vertAnchor="text" w:tblpXSpec="center" w:tblpY="1"/>
              <w:tblOverlap w:val="never"/>
              <w:tblW w:w="9184"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021"/>
              <w:gridCol w:w="5163"/>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021" w:type="dxa"/>
                  <w:noWrap w:val="0"/>
                  <w:vAlign w:val="center"/>
                </w:tcPr>
                <w:p>
                  <w:pPr>
                    <w:keepNext w:val="0"/>
                    <w:keepLines w:val="0"/>
                    <w:pageBreakBefore w:val="0"/>
                    <w:widowControl w:val="0"/>
                    <w:kinsoku/>
                    <w:wordWrap w:val="0"/>
                    <w:overflowPunct w:val="0"/>
                    <w:topLinePunct/>
                    <w:autoSpaceDE/>
                    <w:autoSpaceDN/>
                    <w:bidi w:val="0"/>
                    <w:adjustRightInd/>
                    <w:snapToGrid/>
                    <w:jc w:val="center"/>
                    <w:textAlignment w:val="auto"/>
                    <w:outlineLvl w:val="9"/>
                    <w:rPr>
                      <w:rFonts w:hint="default" w:ascii="Times New Roman" w:hAnsi="Times New Roman" w:eastAsia="宋体" w:cs="Times New Roman"/>
                      <w:b/>
                      <w:bCs/>
                      <w:snapToGrid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u w:val="none"/>
                      <w14:textFill>
                        <w14:solidFill>
                          <w14:schemeClr w14:val="tx1"/>
                        </w14:solidFill>
                      </w14:textFill>
                    </w:rPr>
                    <w:t>评价工作等级</w:t>
                  </w:r>
                </w:p>
              </w:tc>
              <w:tc>
                <w:tcPr>
                  <w:tcW w:w="5163" w:type="dxa"/>
                  <w:noWrap w:val="0"/>
                  <w:vAlign w:val="center"/>
                </w:tcPr>
                <w:p>
                  <w:pPr>
                    <w:keepNext w:val="0"/>
                    <w:keepLines w:val="0"/>
                    <w:pageBreakBefore w:val="0"/>
                    <w:widowControl w:val="0"/>
                    <w:kinsoku/>
                    <w:wordWrap w:val="0"/>
                    <w:overflowPunct w:val="0"/>
                    <w:topLinePunct/>
                    <w:autoSpaceDE/>
                    <w:autoSpaceDN/>
                    <w:bidi w:val="0"/>
                    <w:adjustRightInd/>
                    <w:snapToGrid/>
                    <w:jc w:val="center"/>
                    <w:textAlignment w:val="auto"/>
                    <w:outlineLvl w:val="9"/>
                    <w:rPr>
                      <w:rFonts w:hint="default" w:ascii="Times New Roman" w:hAnsi="Times New Roman" w:eastAsia="宋体" w:cs="Times New Roman"/>
                      <w:b/>
                      <w:bCs/>
                      <w:snapToGrid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snapToGrid w:val="0"/>
                      <w:color w:val="000000" w:themeColor="text1"/>
                      <w:sz w:val="21"/>
                      <w:szCs w:val="21"/>
                      <w:highlight w:val="none"/>
                      <w:u w:val="none"/>
                      <w14:textFill>
                        <w14:solidFill>
                          <w14:schemeClr w14:val="tx1"/>
                        </w14:solidFill>
                      </w14:textFill>
                    </w:rPr>
                    <w:t>评价工作分级判据</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021" w:type="dxa"/>
                  <w:noWrap w:val="0"/>
                  <w:vAlign w:val="center"/>
                </w:tcPr>
                <w:p>
                  <w:pPr>
                    <w:keepNext w:val="0"/>
                    <w:keepLines w:val="0"/>
                    <w:pageBreakBefore w:val="0"/>
                    <w:widowControl w:val="0"/>
                    <w:kinsoku/>
                    <w:wordWrap w:val="0"/>
                    <w:overflowPunct w:val="0"/>
                    <w:topLinePunct/>
                    <w:autoSpaceDE/>
                    <w:autoSpaceDN/>
                    <w:bidi w:val="0"/>
                    <w:adjustRightInd/>
                    <w:snapToGrid/>
                    <w:jc w:val="center"/>
                    <w:textAlignment w:val="auto"/>
                    <w:outlineLvl w:val="9"/>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t>一级</w:t>
                  </w:r>
                </w:p>
              </w:tc>
              <w:tc>
                <w:tcPr>
                  <w:tcW w:w="5163" w:type="dxa"/>
                  <w:noWrap w:val="0"/>
                  <w:vAlign w:val="center"/>
                </w:tcPr>
                <w:p>
                  <w:pPr>
                    <w:keepNext w:val="0"/>
                    <w:keepLines w:val="0"/>
                    <w:pageBreakBefore w:val="0"/>
                    <w:widowControl w:val="0"/>
                    <w:kinsoku/>
                    <w:wordWrap w:val="0"/>
                    <w:overflowPunct w:val="0"/>
                    <w:topLinePunct/>
                    <w:autoSpaceDE/>
                    <w:autoSpaceDN/>
                    <w:bidi w:val="0"/>
                    <w:adjustRightInd/>
                    <w:snapToGrid/>
                    <w:jc w:val="center"/>
                    <w:textAlignment w:val="auto"/>
                    <w:outlineLvl w:val="9"/>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t>P</w:t>
                  </w:r>
                  <w:r>
                    <w:rPr>
                      <w:rFonts w:hint="default" w:ascii="Times New Roman" w:hAnsi="Times New Roman" w:eastAsia="宋体" w:cs="Times New Roman"/>
                      <w:snapToGrid w:val="0"/>
                      <w:color w:val="000000" w:themeColor="text1"/>
                      <w:sz w:val="21"/>
                      <w:szCs w:val="21"/>
                      <w:highlight w:val="none"/>
                      <w:u w:val="none"/>
                      <w:vertAlign w:val="subscript"/>
                      <w14:textFill>
                        <w14:solidFill>
                          <w14:schemeClr w14:val="tx1"/>
                        </w14:solidFill>
                      </w14:textFill>
                    </w:rPr>
                    <w:t>max</w:t>
                  </w:r>
                  <w:r>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021" w:type="dxa"/>
                  <w:noWrap w:val="0"/>
                  <w:vAlign w:val="center"/>
                </w:tcPr>
                <w:p>
                  <w:pPr>
                    <w:keepNext w:val="0"/>
                    <w:keepLines w:val="0"/>
                    <w:pageBreakBefore w:val="0"/>
                    <w:widowControl w:val="0"/>
                    <w:kinsoku/>
                    <w:wordWrap w:val="0"/>
                    <w:overflowPunct w:val="0"/>
                    <w:topLinePunct/>
                    <w:autoSpaceDE/>
                    <w:autoSpaceDN/>
                    <w:bidi w:val="0"/>
                    <w:adjustRightInd/>
                    <w:snapToGrid/>
                    <w:jc w:val="center"/>
                    <w:textAlignment w:val="auto"/>
                    <w:outlineLvl w:val="9"/>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t>二级</w:t>
                  </w:r>
                </w:p>
              </w:tc>
              <w:tc>
                <w:tcPr>
                  <w:tcW w:w="5163" w:type="dxa"/>
                  <w:noWrap w:val="0"/>
                  <w:vAlign w:val="center"/>
                </w:tcPr>
                <w:p>
                  <w:pPr>
                    <w:keepNext w:val="0"/>
                    <w:keepLines w:val="0"/>
                    <w:pageBreakBefore w:val="0"/>
                    <w:widowControl w:val="0"/>
                    <w:kinsoku/>
                    <w:wordWrap w:val="0"/>
                    <w:overflowPunct w:val="0"/>
                    <w:topLinePunct/>
                    <w:autoSpaceDE/>
                    <w:autoSpaceDN/>
                    <w:bidi w:val="0"/>
                    <w:adjustRightInd/>
                    <w:snapToGrid/>
                    <w:jc w:val="center"/>
                    <w:textAlignment w:val="auto"/>
                    <w:outlineLvl w:val="9"/>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t>1%≤P</w:t>
                  </w:r>
                  <w:r>
                    <w:rPr>
                      <w:rFonts w:hint="default" w:ascii="Times New Roman" w:hAnsi="Times New Roman" w:eastAsia="宋体" w:cs="Times New Roman"/>
                      <w:snapToGrid w:val="0"/>
                      <w:color w:val="000000" w:themeColor="text1"/>
                      <w:sz w:val="21"/>
                      <w:szCs w:val="21"/>
                      <w:highlight w:val="none"/>
                      <w:u w:val="none"/>
                      <w:vertAlign w:val="subscript"/>
                      <w14:textFill>
                        <w14:solidFill>
                          <w14:schemeClr w14:val="tx1"/>
                        </w14:solidFill>
                      </w14:textFill>
                    </w:rPr>
                    <w:t>max</w:t>
                  </w:r>
                  <w:r>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4021" w:type="dxa"/>
                  <w:noWrap w:val="0"/>
                  <w:vAlign w:val="center"/>
                </w:tcPr>
                <w:p>
                  <w:pPr>
                    <w:keepNext w:val="0"/>
                    <w:keepLines w:val="0"/>
                    <w:pageBreakBefore w:val="0"/>
                    <w:widowControl w:val="0"/>
                    <w:kinsoku/>
                    <w:wordWrap w:val="0"/>
                    <w:overflowPunct w:val="0"/>
                    <w:topLinePunct/>
                    <w:autoSpaceDE/>
                    <w:autoSpaceDN/>
                    <w:bidi w:val="0"/>
                    <w:adjustRightInd/>
                    <w:snapToGrid/>
                    <w:jc w:val="center"/>
                    <w:textAlignment w:val="auto"/>
                    <w:outlineLvl w:val="9"/>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t>三级</w:t>
                  </w:r>
                </w:p>
              </w:tc>
              <w:tc>
                <w:tcPr>
                  <w:tcW w:w="5163" w:type="dxa"/>
                  <w:noWrap w:val="0"/>
                  <w:vAlign w:val="center"/>
                </w:tcPr>
                <w:p>
                  <w:pPr>
                    <w:keepNext w:val="0"/>
                    <w:keepLines w:val="0"/>
                    <w:pageBreakBefore w:val="0"/>
                    <w:widowControl w:val="0"/>
                    <w:kinsoku/>
                    <w:wordWrap w:val="0"/>
                    <w:overflowPunct w:val="0"/>
                    <w:topLinePunct/>
                    <w:autoSpaceDE/>
                    <w:autoSpaceDN/>
                    <w:bidi w:val="0"/>
                    <w:adjustRightInd/>
                    <w:snapToGrid/>
                    <w:jc w:val="center"/>
                    <w:textAlignment w:val="auto"/>
                    <w:outlineLvl w:val="9"/>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t>P</w:t>
                  </w:r>
                  <w:r>
                    <w:rPr>
                      <w:rFonts w:hint="default" w:ascii="Times New Roman" w:hAnsi="Times New Roman" w:eastAsia="宋体" w:cs="Times New Roman"/>
                      <w:snapToGrid w:val="0"/>
                      <w:color w:val="000000" w:themeColor="text1"/>
                      <w:sz w:val="21"/>
                      <w:szCs w:val="21"/>
                      <w:highlight w:val="none"/>
                      <w:u w:val="none"/>
                      <w:vertAlign w:val="subscript"/>
                      <w14:textFill>
                        <w14:solidFill>
                          <w14:schemeClr w14:val="tx1"/>
                        </w14:solidFill>
                      </w14:textFill>
                    </w:rPr>
                    <w:t>max</w:t>
                  </w:r>
                  <w:r>
                    <w:rPr>
                      <w:rFonts w:hint="default" w:ascii="Times New Roman" w:hAnsi="Times New Roman" w:eastAsia="宋体" w:cs="Times New Roman"/>
                      <w:snapToGrid w:val="0"/>
                      <w:color w:val="000000" w:themeColor="text1"/>
                      <w:sz w:val="21"/>
                      <w:szCs w:val="21"/>
                      <w:highlight w:val="none"/>
                      <w:u w:val="none"/>
                      <w14:textFill>
                        <w14:solidFill>
                          <w14:schemeClr w14:val="tx1"/>
                        </w14:solidFill>
                      </w14:textFill>
                    </w:rPr>
                    <w:t>＜1%</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241" w:firstLineChars="100"/>
              <w:textAlignment w:val="auto"/>
              <w:outlineLvl w:val="9"/>
              <w:rPr>
                <w:rFonts w:hint="default" w:ascii="Times New Roman" w:hAnsi="Times New Roman" w:eastAsia="宋体" w:cs="Times New Roman"/>
                <w:b/>
                <w:bCs/>
                <w:color w:val="000000" w:themeColor="text1"/>
                <w:spacing w:val="1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8.2.1.4</w:t>
            </w:r>
            <w:r>
              <w:rPr>
                <w:rFonts w:hint="default" w:ascii="Times New Roman" w:hAnsi="Times New Roman" w:eastAsia="宋体" w:cs="Times New Roman"/>
                <w:b/>
                <w:bCs/>
                <w:color w:val="000000" w:themeColor="text1"/>
                <w:spacing w:val="10"/>
                <w:sz w:val="24"/>
                <w:highlight w:val="none"/>
                <w:lang w:val="en-US" w:eastAsia="zh-CN"/>
                <w14:textFill>
                  <w14:solidFill>
                    <w14:schemeClr w14:val="tx1"/>
                  </w14:solidFill>
                </w14:textFill>
              </w:rPr>
              <w:t>估算模型预测结果</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4"/>
                <w:highlight w:val="none"/>
                <w:lang w:eastAsia="zh-CN"/>
                <w14:textFill>
                  <w14:solidFill>
                    <w14:schemeClr w14:val="tx1"/>
                  </w14:solidFill>
                </w14:textFill>
              </w:rPr>
              <w:t>根据《环境影响评价技术导则 大气环境》（HJ2.2-2018）推荐模式中估算模型AERSCREEN进行计算，结果如下表</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w:t>
            </w:r>
          </w:p>
          <w:p>
            <w:pPr>
              <w:pStyle w:val="2"/>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pPr>
              <w:pStyle w:val="2"/>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表8.2-5估算模型计算结果表</w:t>
            </w:r>
          </w:p>
          <w:tbl>
            <w:tblPr>
              <w:tblStyle w:val="27"/>
              <w:tblW w:w="924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9"/>
              <w:gridCol w:w="1091"/>
              <w:gridCol w:w="1320"/>
              <w:gridCol w:w="1320"/>
              <w:gridCol w:w="1321"/>
              <w:gridCol w:w="1322"/>
              <w:gridCol w:w="13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549"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污染源</w:t>
                  </w:r>
                </w:p>
              </w:tc>
              <w:tc>
                <w:tcPr>
                  <w:tcW w:w="10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最大占标率的污染物</w:t>
                  </w:r>
                </w:p>
              </w:tc>
              <w:tc>
                <w:tcPr>
                  <w:tcW w:w="132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最大落地浓度出现距离（m）</w:t>
                  </w:r>
                </w:p>
              </w:tc>
              <w:tc>
                <w:tcPr>
                  <w:tcW w:w="132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最大占标率%</w:t>
                  </w:r>
                </w:p>
              </w:tc>
              <w:tc>
                <w:tcPr>
                  <w:tcW w:w="132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D10%</w:t>
                  </w:r>
                </w:p>
              </w:tc>
              <w:tc>
                <w:tcPr>
                  <w:tcW w:w="132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评价等级</w:t>
                  </w:r>
                </w:p>
              </w:tc>
              <w:tc>
                <w:tcPr>
                  <w:tcW w:w="132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549" w:type="dxa"/>
                  <w:vMerge w:val="restart"/>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排气筒</w:t>
                  </w:r>
                </w:p>
              </w:tc>
              <w:tc>
                <w:tcPr>
                  <w:tcW w:w="10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二氧化硫</w:t>
                  </w:r>
                </w:p>
              </w:tc>
              <w:tc>
                <w:tcPr>
                  <w:tcW w:w="132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50</w:t>
                  </w:r>
                </w:p>
              </w:tc>
              <w:tc>
                <w:tcPr>
                  <w:tcW w:w="132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0.89</w:t>
                  </w:r>
                </w:p>
              </w:tc>
              <w:tc>
                <w:tcPr>
                  <w:tcW w:w="132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0</w:t>
                  </w:r>
                </w:p>
              </w:tc>
              <w:tc>
                <w:tcPr>
                  <w:tcW w:w="1322"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二级</w:t>
                  </w:r>
                </w:p>
              </w:tc>
              <w:tc>
                <w:tcPr>
                  <w:tcW w:w="1321"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点源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549"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0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TSP</w:t>
                  </w:r>
                </w:p>
              </w:tc>
              <w:tc>
                <w:tcPr>
                  <w:tcW w:w="132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50</w:t>
                  </w:r>
                </w:p>
              </w:tc>
              <w:tc>
                <w:tcPr>
                  <w:tcW w:w="132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0.17</w:t>
                  </w:r>
                </w:p>
              </w:tc>
              <w:tc>
                <w:tcPr>
                  <w:tcW w:w="132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0</w:t>
                  </w:r>
                </w:p>
              </w:tc>
              <w:tc>
                <w:tcPr>
                  <w:tcW w:w="1322"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p>
              </w:tc>
              <w:tc>
                <w:tcPr>
                  <w:tcW w:w="1321"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549"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10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氮氧化物</w:t>
                  </w:r>
                </w:p>
              </w:tc>
              <w:tc>
                <w:tcPr>
                  <w:tcW w:w="132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50</w:t>
                  </w:r>
                </w:p>
              </w:tc>
              <w:tc>
                <w:tcPr>
                  <w:tcW w:w="132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8.32</w:t>
                  </w:r>
                </w:p>
              </w:tc>
              <w:tc>
                <w:tcPr>
                  <w:tcW w:w="132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0</w:t>
                  </w:r>
                </w:p>
              </w:tc>
              <w:tc>
                <w:tcPr>
                  <w:tcW w:w="1322"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p>
              </w:tc>
              <w:tc>
                <w:tcPr>
                  <w:tcW w:w="1321"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549"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default" w:ascii="Times New Roman" w:hAnsi="Times New Roman" w:eastAsia="宋体" w:cs="Times New Roman"/>
                      <w:caps w:val="0"/>
                      <w:snapToGrid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M1</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酸洗烘干筛分车间</w:t>
                  </w:r>
                </w:p>
              </w:tc>
              <w:tc>
                <w:tcPr>
                  <w:tcW w:w="109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snapToGrid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TSP</w:t>
                  </w:r>
                </w:p>
              </w:tc>
              <w:tc>
                <w:tcPr>
                  <w:tcW w:w="132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snapToGrid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89</w:t>
                  </w:r>
                </w:p>
              </w:tc>
              <w:tc>
                <w:tcPr>
                  <w:tcW w:w="1320"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snapToGrid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9.70</w:t>
                  </w:r>
                </w:p>
              </w:tc>
              <w:tc>
                <w:tcPr>
                  <w:tcW w:w="132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snapToGrid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0</w:t>
                  </w:r>
                </w:p>
              </w:tc>
              <w:tc>
                <w:tcPr>
                  <w:tcW w:w="1322"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u w:val="none"/>
                      <w:lang w:val="en-US" w:eastAsia="zh-CN" w:bidi="ar-SA"/>
                      <w14:textFill>
                        <w14:solidFill>
                          <w14:schemeClr w14:val="tx1"/>
                        </w14:solidFill>
                      </w14:textFill>
                    </w:rPr>
                    <w:t>二级</w:t>
                  </w:r>
                </w:p>
              </w:tc>
              <w:tc>
                <w:tcPr>
                  <w:tcW w:w="1321"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pPr>
                  <w:r>
                    <w:rPr>
                      <w:rFonts w:hint="eastAsia" w:cs="Times New Roman"/>
                      <w:caps w:val="0"/>
                      <w:color w:val="000000" w:themeColor="text1"/>
                      <w:kern w:val="2"/>
                      <w:sz w:val="21"/>
                      <w:szCs w:val="21"/>
                      <w:highlight w:val="none"/>
                      <w:u w:val="none"/>
                      <w:lang w:val="en-US" w:eastAsia="zh-CN" w:bidi="ar-SA"/>
                      <w14:textFill>
                        <w14:solidFill>
                          <w14:schemeClr w14:val="tx1"/>
                        </w14:solidFill>
                      </w14:textFill>
                    </w:rPr>
                    <w:t>面</w:t>
                  </w:r>
                  <w:r>
                    <w:rPr>
                      <w:rFonts w:hint="default" w:ascii="Times New Roman" w:hAnsi="Times New Roman" w:eastAsia="宋体" w:cs="Times New Roman"/>
                      <w:caps w:val="0"/>
                      <w:color w:val="000000" w:themeColor="text1"/>
                      <w:kern w:val="2"/>
                      <w:sz w:val="21"/>
                      <w:szCs w:val="21"/>
                      <w:highlight w:val="none"/>
                      <w:u w:val="none"/>
                      <w:lang w:val="en-US" w:eastAsia="zh-CN" w:bidi="ar-SA"/>
                      <w14:textFill>
                        <w14:solidFill>
                          <w14:schemeClr w14:val="tx1"/>
                        </w14:solidFill>
                      </w14:textFill>
                    </w:rPr>
                    <w:t>源</w:t>
                  </w:r>
                </w:p>
              </w:tc>
            </w:tr>
          </w:tbl>
          <w:p>
            <w:pPr>
              <w:pStyle w:val="6"/>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outlineLvl w:val="9"/>
              <w:rPr>
                <w:rFonts w:hint="default" w:ascii="Times New Roman" w:hAnsi="Times New Roman" w:eastAsia="宋体" w:cs="Times New Roman"/>
                <w:color w:val="000000" w:themeColor="text1"/>
                <w:spacing w:val="1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863590" cy="3387725"/>
                  <wp:effectExtent l="0" t="0" r="3810" b="317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20"/>
                          <a:stretch>
                            <a:fillRect/>
                          </a:stretch>
                        </pic:blipFill>
                        <pic:spPr>
                          <a:xfrm>
                            <a:off x="0" y="0"/>
                            <a:ext cx="5863590" cy="3387725"/>
                          </a:xfrm>
                          <a:prstGeom prst="rect">
                            <a:avLst/>
                          </a:prstGeom>
                          <a:noFill/>
                          <a:ln>
                            <a:noFill/>
                          </a:ln>
                        </pic:spPr>
                      </pic:pic>
                    </a:graphicData>
                  </a:graphic>
                </wp:inline>
              </w:drawing>
            </w:r>
          </w:p>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图8.2-1  1#排气筒大气评价等级预测结果</w:t>
            </w:r>
          </w:p>
          <w:p>
            <w:pPr>
              <w:pStyle w:val="6"/>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outlineLvl w:val="9"/>
              <w:rPr>
                <w:rFonts w:hint="default" w:ascii="Times New Roman" w:hAnsi="Times New Roman" w:eastAsia="宋体" w:cs="Times New Roman"/>
                <w:color w:val="000000" w:themeColor="text1"/>
                <w:spacing w:val="10"/>
                <w:sz w:val="24"/>
                <w:highlight w:val="none"/>
                <w:lang w:eastAsia="zh-CN"/>
                <w14:textFill>
                  <w14:solidFill>
                    <w14:schemeClr w14:val="tx1"/>
                  </w14:solidFill>
                </w14:textFill>
              </w:rPr>
            </w:pPr>
            <w:r>
              <w:drawing>
                <wp:inline distT="0" distB="0" distL="114300" distR="114300">
                  <wp:extent cx="5869305" cy="3484880"/>
                  <wp:effectExtent l="0" t="0" r="17145" b="127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21"/>
                          <a:stretch>
                            <a:fillRect/>
                          </a:stretch>
                        </pic:blipFill>
                        <pic:spPr>
                          <a:xfrm>
                            <a:off x="0" y="0"/>
                            <a:ext cx="5869305" cy="3484880"/>
                          </a:xfrm>
                          <a:prstGeom prst="rect">
                            <a:avLst/>
                          </a:prstGeom>
                          <a:noFill/>
                          <a:ln>
                            <a:noFill/>
                          </a:ln>
                        </pic:spPr>
                      </pic:pic>
                    </a:graphicData>
                  </a:graphic>
                </wp:inline>
              </w:drawing>
            </w:r>
          </w:p>
          <w:p>
            <w:pP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图8.2-2  M1大气评价等级预测结果</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由上表可知，</w:t>
            </w:r>
            <w:r>
              <w:rPr>
                <w:rFonts w:hint="default" w:ascii="Times New Roman" w:hAnsi="Times New Roman" w:eastAsia="宋体" w:cs="Times New Roman"/>
                <w:color w:val="000000" w:themeColor="text1"/>
                <w:spacing w:val="10"/>
                <w:sz w:val="24"/>
                <w:highlight w:val="none"/>
                <w:lang w:val="en-US" w:eastAsia="zh-CN"/>
                <w14:textFill>
                  <w14:solidFill>
                    <w14:schemeClr w14:val="tx1"/>
                  </w14:solidFill>
                </w14:textFill>
              </w:rPr>
              <w:t>本项目排放的大气污染物最大浓度占标率1%≤P</w:t>
            </w:r>
            <w:r>
              <w:rPr>
                <w:rFonts w:hint="default" w:ascii="Times New Roman" w:hAnsi="Times New Roman" w:eastAsia="宋体" w:cs="Times New Roman"/>
                <w:color w:val="000000" w:themeColor="text1"/>
                <w:spacing w:val="10"/>
                <w:sz w:val="24"/>
                <w:highlight w:val="none"/>
                <w:vertAlign w:val="subscript"/>
                <w:lang w:val="en-US" w:eastAsia="zh-CN"/>
                <w14:textFill>
                  <w14:solidFill>
                    <w14:schemeClr w14:val="tx1"/>
                  </w14:solidFill>
                </w14:textFill>
              </w:rPr>
              <w:t>max</w:t>
            </w:r>
            <w:r>
              <w:rPr>
                <w:rFonts w:hint="default" w:ascii="Times New Roman" w:hAnsi="Times New Roman" w:eastAsia="宋体" w:cs="Times New Roman"/>
                <w:color w:val="000000" w:themeColor="text1"/>
                <w:spacing w:val="10"/>
                <w:sz w:val="24"/>
                <w:highlight w:val="none"/>
                <w:vertAlign w:val="baseline"/>
                <w:lang w:val="en-US" w:eastAsia="zh-CN"/>
                <w14:textFill>
                  <w14:solidFill>
                    <w14:schemeClr w14:val="tx1"/>
                  </w14:solidFill>
                </w14:textFill>
              </w:rPr>
              <w:t>≤10%，其中</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本项目正常排放情况下废气最大占标率（</w:t>
            </w:r>
            <w:r>
              <w:rPr>
                <w:rFonts w:hint="default" w:ascii="Times New Roman" w:hAnsi="Times New Roman" w:eastAsia="宋体" w:cs="Times New Roman"/>
                <w:snapToGrid w:val="0"/>
                <w:color w:val="000000" w:themeColor="text1"/>
                <w:szCs w:val="21"/>
                <w:highlight w:val="none"/>
                <w14:textFill>
                  <w14:solidFill>
                    <w14:schemeClr w14:val="tx1"/>
                  </w14:solidFill>
                </w14:textFill>
              </w:rPr>
              <w:t>P</w:t>
            </w:r>
            <w:r>
              <w:rPr>
                <w:rFonts w:hint="default" w:ascii="Times New Roman" w:hAnsi="Times New Roman" w:eastAsia="宋体" w:cs="Times New Roman"/>
                <w:snapToGrid w:val="0"/>
                <w:color w:val="000000" w:themeColor="text1"/>
                <w:szCs w:val="21"/>
                <w:highlight w:val="none"/>
                <w:vertAlign w:val="subscript"/>
                <w14:textFill>
                  <w14:solidFill>
                    <w14:schemeClr w14:val="tx1"/>
                  </w14:solidFill>
                </w14:textFill>
              </w:rPr>
              <w:t>max</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）为9.70%，是由</w:t>
            </w:r>
            <w:r>
              <w:rPr>
                <w:rFonts w:hint="eastAsia"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酸洗烘干筛分车间</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无组织粉尘所产生</w:t>
            </w:r>
            <w:r>
              <w:rPr>
                <w:rFonts w:hint="default" w:ascii="Times New Roman" w:hAnsi="Times New Roman" w:eastAsia="宋体" w:cs="Times New Roman"/>
                <w:color w:val="000000" w:themeColor="text1"/>
                <w:spacing w:val="10"/>
                <w:sz w:val="24"/>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根据《环境影响评价技术导则——大气环境》（HJ2.2－2018）大气评价工作等级分级判据，本项目大气评价为二级评价。又根据《环境影响评价技术导则——大气环境》（HJ2.2－2018）大气环境影响预测与评价的要求“8.1.2二级评价项目不进行进一步预测与评价，只对污染物排放量进行核算；8.1.3三级评价项目不进行进一步预测与评价。”，因此本次评价只需对本项目的大气污染物排放量进行核算即可，无需进一步预测和评价。</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pacing w:val="10"/>
                <w:sz w:val="24"/>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本项目排放的氮氧化物、二氧化硫、烟尘的对周边环境的浓度贡献值很小</w:t>
            </w:r>
            <w:r>
              <w:rPr>
                <w:rFonts w:hint="eastAsia" w:cs="Times New Roman"/>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大占标率（</w:t>
            </w:r>
            <w:r>
              <w:rPr>
                <w:rFonts w:hint="default" w:ascii="Times New Roman" w:hAnsi="Times New Roman" w:eastAsia="宋体" w:cs="Times New Roman"/>
                <w:snapToGrid w:val="0"/>
                <w:color w:val="000000" w:themeColor="text1"/>
                <w:szCs w:val="21"/>
                <w:highlight w:val="none"/>
                <w14:textFill>
                  <w14:solidFill>
                    <w14:schemeClr w14:val="tx1"/>
                  </w14:solidFill>
                </w14:textFill>
              </w:rPr>
              <w:t>P</w:t>
            </w:r>
            <w:r>
              <w:rPr>
                <w:rFonts w:hint="default" w:ascii="Times New Roman" w:hAnsi="Times New Roman" w:eastAsia="宋体" w:cs="Times New Roman"/>
                <w:snapToGrid w:val="0"/>
                <w:color w:val="000000" w:themeColor="text1"/>
                <w:szCs w:val="21"/>
                <w:highlight w:val="none"/>
                <w:vertAlign w:val="subscript"/>
                <w14:textFill>
                  <w14:solidFill>
                    <w14:schemeClr w14:val="tx1"/>
                  </w14:solidFill>
                </w14:textFill>
              </w:rPr>
              <w:t>max</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w:t>
            </w:r>
            <w:r>
              <w:rPr>
                <w:rFonts w:hint="eastAsia" w:cs="Times New Roman"/>
                <w:color w:val="000000" w:themeColor="text1"/>
                <w:sz w:val="24"/>
                <w:szCs w:val="24"/>
                <w:highlight w:val="none"/>
                <w:u w:val="none"/>
                <w:lang w:val="en-US" w:eastAsia="zh-CN"/>
                <w14:textFill>
                  <w14:solidFill>
                    <w14:schemeClr w14:val="tx1"/>
                  </w14:solidFill>
                </w14:textFill>
              </w:rPr>
              <w:t>小于10%</w:t>
            </w:r>
            <w:r>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t>，因此项目产生的废气对周边环境影响较小，不需要设置大气环境防护距离</w:t>
            </w:r>
            <w:r>
              <w:rPr>
                <w:rFonts w:hint="default" w:ascii="Times New Roman" w:hAnsi="Times New Roman" w:eastAsia="宋体" w:cs="Times New Roman"/>
                <w:color w:val="000000" w:themeColor="text1"/>
                <w:spacing w:val="10"/>
                <w:sz w:val="24"/>
                <w:highlight w:val="none"/>
                <w:vertAlign w:val="baseline"/>
                <w:lang w:val="en-US" w:eastAsia="zh-CN"/>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eastAsia="宋体" w:cs="Times New Roman"/>
                <w:b/>
                <w:bCs w:val="0"/>
                <w:color w:val="000000" w:themeColor="text1"/>
                <w:spacing w:val="10"/>
                <w:sz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8.2.1.5</w:t>
            </w:r>
            <w:r>
              <w:rPr>
                <w:rFonts w:hint="default" w:ascii="Times New Roman" w:hAnsi="Times New Roman" w:eastAsia="宋体" w:cs="Times New Roman"/>
                <w:b/>
                <w:bCs w:val="0"/>
                <w:color w:val="000000" w:themeColor="text1"/>
                <w:spacing w:val="10"/>
                <w:sz w:val="24"/>
                <w:highlight w:val="none"/>
                <w:vertAlign w:val="baseline"/>
                <w:lang w:val="en-US" w:eastAsia="zh-CN"/>
                <w14:textFill>
                  <w14:solidFill>
                    <w14:schemeClr w14:val="tx1"/>
                  </w14:solidFill>
                </w14:textFill>
              </w:rPr>
              <w:t>污染物排放量核算</w:t>
            </w:r>
          </w:p>
          <w:p>
            <w:pPr>
              <w:pStyle w:val="6"/>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outlineLvl w:val="9"/>
              <w:rPr>
                <w:rFonts w:hint="default" w:ascii="Times New Roman" w:hAnsi="Times New Roman" w:eastAsia="宋体" w:cs="Times New Roman"/>
                <w:b/>
                <w:bCs w:val="0"/>
                <w:color w:val="000000" w:themeColor="text1"/>
                <w:spacing w:val="10"/>
                <w:sz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highlight w:val="none"/>
                <w:vertAlign w:val="baseline"/>
                <w:lang w:val="en-US" w:eastAsia="zh-CN"/>
                <w14:textFill>
                  <w14:solidFill>
                    <w14:schemeClr w14:val="tx1"/>
                  </w14:solidFill>
                </w14:textFill>
              </w:rPr>
              <w:t>表8.2-6 大气污染物有组织排放量核算表</w:t>
            </w:r>
          </w:p>
          <w:tbl>
            <w:tblPr>
              <w:tblStyle w:val="139"/>
              <w:tblW w:w="9244" w:type="dxa"/>
              <w:jc w:val="center"/>
              <w:tblInd w:w="0" w:type="dxa"/>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shd w:val="clear" w:color="auto" w:fill="auto"/>
              <w:tblLayout w:type="fixed"/>
              <w:tblCellMar>
                <w:top w:w="0" w:type="dxa"/>
                <w:left w:w="108" w:type="dxa"/>
                <w:bottom w:w="0" w:type="dxa"/>
                <w:right w:w="108" w:type="dxa"/>
              </w:tblCellMar>
            </w:tblPr>
            <w:tblGrid>
              <w:gridCol w:w="541"/>
              <w:gridCol w:w="1102"/>
              <w:gridCol w:w="995"/>
              <w:gridCol w:w="2496"/>
              <w:gridCol w:w="2127"/>
              <w:gridCol w:w="1983"/>
            </w:tblGrid>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shd w:val="clear" w:color="auto" w:fill="auto"/>
                <w:tblLayout w:type="fixed"/>
                <w:tblCellMar>
                  <w:top w:w="0" w:type="dxa"/>
                  <w:left w:w="108" w:type="dxa"/>
                  <w:bottom w:w="0" w:type="dxa"/>
                  <w:right w:w="108" w:type="dxa"/>
                </w:tblCellMar>
              </w:tblPrEx>
              <w:trPr>
                <w:trHeight w:val="340" w:hRule="atLeast"/>
                <w:jc w:val="center"/>
              </w:trPr>
              <w:tc>
                <w:tcPr>
                  <w:tcW w:w="541" w:type="dxa"/>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1102" w:type="dxa"/>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排放口编号</w:t>
                  </w:r>
                </w:p>
              </w:tc>
              <w:tc>
                <w:tcPr>
                  <w:tcW w:w="995" w:type="dxa"/>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2496" w:type="dxa"/>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核算排放浓度（</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2127" w:type="dxa"/>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核算排放速率（kg/h）</w:t>
                  </w:r>
                </w:p>
              </w:tc>
              <w:tc>
                <w:tcPr>
                  <w:tcW w:w="1983" w:type="dxa"/>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240" w:lineRule="auto"/>
                    <w:ind w:left="-105" w:leftChars="-50" w:right="-105" w:rightChars="-5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核算年排放量（t/a）</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40" w:hRule="atLeast"/>
                <w:jc w:val="center"/>
              </w:trPr>
              <w:tc>
                <w:tcPr>
                  <w:tcW w:w="9244" w:type="dxa"/>
                  <w:gridSpan w:val="6"/>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主要排放口</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40" w:hRule="atLeast"/>
                <w:jc w:val="center"/>
              </w:trPr>
              <w:tc>
                <w:tcPr>
                  <w:tcW w:w="541" w:type="dxa"/>
                  <w:vMerge w:val="restart"/>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102" w:type="dxa"/>
                  <w:vMerge w:val="restart"/>
                  <w:tcBorders>
                    <w:tl2br w:val="nil"/>
                    <w:tr2bl w:val="nil"/>
                  </w:tcBorders>
                  <w:shd w:val="clear" w:color="auto" w:fill="auto"/>
                  <w:vAlign w:val="center"/>
                </w:tcPr>
                <w:p>
                  <w:pPr>
                    <w:spacing w:before="74"/>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排气筒</w:t>
                  </w:r>
                </w:p>
              </w:tc>
              <w:tc>
                <w:tcPr>
                  <w:tcW w:w="995" w:type="dxa"/>
                  <w:tcBorders>
                    <w:tl2br w:val="nil"/>
                    <w:tr2bl w:val="nil"/>
                  </w:tcBorders>
                  <w:shd w:val="clear" w:color="auto" w:fill="auto"/>
                  <w:vAlign w:val="center"/>
                </w:tcPr>
                <w:p>
                  <w:pPr>
                    <w:snapToGrid w:val="0"/>
                    <w:spacing w:before="74"/>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颗粒物</w:t>
                  </w:r>
                </w:p>
              </w:tc>
              <w:tc>
                <w:tcPr>
                  <w:tcW w:w="2496"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1.60 </w:t>
                  </w:r>
                </w:p>
              </w:tc>
              <w:tc>
                <w:tcPr>
                  <w:tcW w:w="2127"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0.024 </w:t>
                  </w:r>
                </w:p>
              </w:tc>
              <w:tc>
                <w:tcPr>
                  <w:tcW w:w="1983"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0.058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40" w:hRule="atLeast"/>
                <w:jc w:val="center"/>
              </w:trPr>
              <w:tc>
                <w:tcPr>
                  <w:tcW w:w="541" w:type="dxa"/>
                  <w:vMerge w:val="continue"/>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2" w:type="dxa"/>
                  <w:vMerge w:val="continue"/>
                  <w:tcBorders>
                    <w:tl2br w:val="nil"/>
                    <w:tr2bl w:val="nil"/>
                  </w:tcBorders>
                  <w:shd w:val="clear" w:color="auto" w:fill="auto"/>
                  <w:vAlign w:val="center"/>
                </w:tcPr>
                <w:p>
                  <w:pPr>
                    <w:spacing w:before="74"/>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5" w:type="dxa"/>
                  <w:tcBorders>
                    <w:tl2br w:val="nil"/>
                    <w:tr2bl w:val="nil"/>
                  </w:tcBorders>
                  <w:shd w:val="clear" w:color="auto" w:fill="auto"/>
                  <w:vAlign w:val="center"/>
                </w:tcPr>
                <w:p>
                  <w:pPr>
                    <w:snapToGrid w:val="0"/>
                    <w:spacing w:before="74"/>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SO</w:t>
                  </w:r>
                  <w:r>
                    <w:rPr>
                      <w:rFonts w:hint="default" w:ascii="Times New Roman" w:hAnsi="Times New Roman" w:eastAsia="宋体" w:cs="Times New Roman"/>
                      <w:color w:val="000000" w:themeColor="text1"/>
                      <w:szCs w:val="21"/>
                      <w:vertAlign w:val="subscript"/>
                      <w14:textFill>
                        <w14:solidFill>
                          <w14:schemeClr w14:val="tx1"/>
                        </w14:solidFill>
                      </w14:textFill>
                    </w:rPr>
                    <w:t>2</w:t>
                  </w:r>
                </w:p>
              </w:tc>
              <w:tc>
                <w:tcPr>
                  <w:tcW w:w="2496"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4.36 </w:t>
                  </w:r>
                </w:p>
              </w:tc>
              <w:tc>
                <w:tcPr>
                  <w:tcW w:w="2127"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0.065 </w:t>
                  </w:r>
                </w:p>
              </w:tc>
              <w:tc>
                <w:tcPr>
                  <w:tcW w:w="1983"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0.157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40" w:hRule="atLeast"/>
                <w:jc w:val="center"/>
              </w:trPr>
              <w:tc>
                <w:tcPr>
                  <w:tcW w:w="541" w:type="dxa"/>
                  <w:vMerge w:val="continue"/>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102" w:type="dxa"/>
                  <w:vMerge w:val="continue"/>
                  <w:tcBorders>
                    <w:tl2br w:val="nil"/>
                    <w:tr2bl w:val="nil"/>
                  </w:tcBorders>
                  <w:shd w:val="clear" w:color="auto" w:fill="auto"/>
                  <w:vAlign w:val="center"/>
                </w:tcPr>
                <w:p>
                  <w:pPr>
                    <w:spacing w:before="74"/>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5" w:type="dxa"/>
                  <w:tcBorders>
                    <w:tl2br w:val="nil"/>
                    <w:tr2bl w:val="nil"/>
                  </w:tcBorders>
                  <w:shd w:val="clear" w:color="auto" w:fill="auto"/>
                  <w:vAlign w:val="center"/>
                </w:tcPr>
                <w:p>
                  <w:pPr>
                    <w:snapToGrid w:val="0"/>
                    <w:spacing w:before="74"/>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NO</w:t>
                  </w:r>
                  <w:r>
                    <w:rPr>
                      <w:rFonts w:hint="default" w:ascii="Times New Roman" w:hAnsi="Times New Roman" w:eastAsia="宋体" w:cs="Times New Roman"/>
                      <w:color w:val="000000" w:themeColor="text1"/>
                      <w:szCs w:val="21"/>
                      <w:vertAlign w:val="subscript"/>
                      <w14:textFill>
                        <w14:solidFill>
                          <w14:schemeClr w14:val="tx1"/>
                        </w14:solidFill>
                      </w14:textFill>
                    </w:rPr>
                    <w:t>x</w:t>
                  </w:r>
                </w:p>
              </w:tc>
              <w:tc>
                <w:tcPr>
                  <w:tcW w:w="2496"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20.39 </w:t>
                  </w:r>
                </w:p>
              </w:tc>
              <w:tc>
                <w:tcPr>
                  <w:tcW w:w="2127"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0.306 </w:t>
                  </w:r>
                </w:p>
              </w:tc>
              <w:tc>
                <w:tcPr>
                  <w:tcW w:w="1983"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snapToGrid/>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0.734</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40" w:hRule="atLeast"/>
                <w:jc w:val="center"/>
              </w:trPr>
              <w:tc>
                <w:tcPr>
                  <w:tcW w:w="1643" w:type="dxa"/>
                  <w:gridSpan w:val="2"/>
                  <w:vMerge w:val="restart"/>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主要排放口合计</w:t>
                  </w:r>
                </w:p>
              </w:tc>
              <w:tc>
                <w:tcPr>
                  <w:tcW w:w="5618" w:type="dxa"/>
                  <w:gridSpan w:val="3"/>
                  <w:tcBorders>
                    <w:tl2br w:val="nil"/>
                    <w:tr2bl w:val="nil"/>
                  </w:tcBorders>
                  <w:shd w:val="clear" w:color="auto" w:fill="auto"/>
                  <w:vAlign w:val="center"/>
                </w:tcPr>
                <w:p>
                  <w:pPr>
                    <w:snapToGrid w:val="0"/>
                    <w:spacing w:before="74"/>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颗粒物</w:t>
                  </w:r>
                </w:p>
              </w:tc>
              <w:tc>
                <w:tcPr>
                  <w:tcW w:w="1983"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0.058</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40" w:hRule="atLeast"/>
                <w:jc w:val="center"/>
              </w:trPr>
              <w:tc>
                <w:tcPr>
                  <w:tcW w:w="1643" w:type="dxa"/>
                  <w:gridSpan w:val="2"/>
                  <w:vMerge w:val="continue"/>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18" w:type="dxa"/>
                  <w:gridSpan w:val="3"/>
                  <w:tcBorders>
                    <w:tl2br w:val="nil"/>
                    <w:tr2bl w:val="nil"/>
                  </w:tcBorders>
                  <w:shd w:val="clear" w:color="auto" w:fill="auto"/>
                  <w:vAlign w:val="center"/>
                </w:tcPr>
                <w:p>
                  <w:pPr>
                    <w:snapToGrid w:val="0"/>
                    <w:spacing w:before="74"/>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SO</w:t>
                  </w:r>
                  <w:r>
                    <w:rPr>
                      <w:rFonts w:hint="default" w:ascii="Times New Roman" w:hAnsi="Times New Roman" w:eastAsia="宋体" w:cs="Times New Roman"/>
                      <w:color w:val="000000" w:themeColor="text1"/>
                      <w:szCs w:val="21"/>
                      <w:vertAlign w:val="subscript"/>
                      <w14:textFill>
                        <w14:solidFill>
                          <w14:schemeClr w14:val="tx1"/>
                        </w14:solidFill>
                      </w14:textFill>
                    </w:rPr>
                    <w:t>2</w:t>
                  </w:r>
                </w:p>
              </w:tc>
              <w:tc>
                <w:tcPr>
                  <w:tcW w:w="1983"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0.157</w:t>
                  </w:r>
                </w:p>
              </w:tc>
            </w:tr>
            <w:tr>
              <w:tblPrEx>
                <w:tblBorders>
                  <w:top w:val="single" w:color="000000" w:themeColor="text1" w:sz="12" w:space="0"/>
                  <w:left w:val="none" w:color="auto" w:sz="0" w:space="0"/>
                  <w:bottom w:val="single" w:color="000000" w:themeColor="text1" w:sz="12" w:space="0"/>
                  <w:right w:val="none" w:color="auto" w:sz="0" w:space="0"/>
                  <w:insideH w:val="single" w:color="000000" w:themeColor="text1" w:sz="6" w:space="0"/>
                  <w:insideV w:val="single" w:color="000000" w:themeColor="text1" w:sz="6" w:space="0"/>
                </w:tblBorders>
                <w:tblLayout w:type="fixed"/>
                <w:tblCellMar>
                  <w:top w:w="0" w:type="dxa"/>
                  <w:left w:w="108" w:type="dxa"/>
                  <w:bottom w:w="0" w:type="dxa"/>
                  <w:right w:w="108" w:type="dxa"/>
                </w:tblCellMar>
              </w:tblPrEx>
              <w:trPr>
                <w:trHeight w:val="340" w:hRule="atLeast"/>
                <w:jc w:val="center"/>
              </w:trPr>
              <w:tc>
                <w:tcPr>
                  <w:tcW w:w="1643" w:type="dxa"/>
                  <w:gridSpan w:val="2"/>
                  <w:vMerge w:val="continue"/>
                  <w:tcBorders>
                    <w:tl2br w:val="nil"/>
                    <w:tr2bl w:val="nil"/>
                  </w:tcBorders>
                  <w:shd w:val="clear" w:color="auto" w:fill="auto"/>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618" w:type="dxa"/>
                  <w:gridSpan w:val="3"/>
                  <w:tcBorders>
                    <w:tl2br w:val="nil"/>
                    <w:tr2bl w:val="nil"/>
                  </w:tcBorders>
                  <w:shd w:val="clear" w:color="auto" w:fill="auto"/>
                  <w:vAlign w:val="center"/>
                </w:tcPr>
                <w:p>
                  <w:pPr>
                    <w:snapToGrid w:val="0"/>
                    <w:spacing w:before="74"/>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NO</w:t>
                  </w:r>
                  <w:r>
                    <w:rPr>
                      <w:rFonts w:hint="default" w:ascii="Times New Roman" w:hAnsi="Times New Roman" w:eastAsia="宋体" w:cs="Times New Roman"/>
                      <w:color w:val="000000" w:themeColor="text1"/>
                      <w:szCs w:val="21"/>
                      <w:vertAlign w:val="subscript"/>
                      <w14:textFill>
                        <w14:solidFill>
                          <w14:schemeClr w14:val="tx1"/>
                        </w14:solidFill>
                      </w14:textFill>
                    </w:rPr>
                    <w:t>x</w:t>
                  </w:r>
                </w:p>
              </w:tc>
              <w:tc>
                <w:tcPr>
                  <w:tcW w:w="1983" w:type="dxa"/>
                  <w:tcBorders>
                    <w:tl2br w:val="nil"/>
                    <w:tr2bl w:val="nil"/>
                  </w:tcBorders>
                  <w:shd w:val="clear" w:color="auto" w:fill="auto"/>
                  <w:vAlign w:val="center"/>
                </w:tcPr>
                <w:p>
                  <w:pPr>
                    <w:keepNext w:val="0"/>
                    <w:keepLines w:val="0"/>
                    <w:widowControl/>
                    <w:suppressLineNumbers w:val="0"/>
                    <w:spacing w:before="74"/>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0.734</w:t>
                  </w:r>
                </w:p>
              </w:tc>
            </w:tr>
          </w:tbl>
          <w:p>
            <w:pPr>
              <w:pStyle w:val="6"/>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outlineLvl w:val="9"/>
              <w:rPr>
                <w:rFonts w:hint="default" w:ascii="Times New Roman" w:hAnsi="Times New Roman" w:eastAsia="宋体" w:cs="Times New Roman"/>
                <w:b/>
                <w:bCs w:val="0"/>
                <w:color w:val="000000" w:themeColor="text1"/>
                <w:spacing w:val="10"/>
                <w:sz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highlight w:val="none"/>
                <w:vertAlign w:val="baseline"/>
                <w:lang w:val="en-US" w:eastAsia="zh-CN"/>
                <w14:textFill>
                  <w14:solidFill>
                    <w14:schemeClr w14:val="tx1"/>
                  </w14:solidFill>
                </w14:textFill>
              </w:rPr>
              <w:t>表8.2-7 大气污染物无组织排放量核算表</w:t>
            </w:r>
          </w:p>
          <w:tbl>
            <w:tblPr>
              <w:tblStyle w:val="26"/>
              <w:tblW w:w="92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1"/>
              <w:gridCol w:w="885"/>
              <w:gridCol w:w="829"/>
              <w:gridCol w:w="832"/>
              <w:gridCol w:w="961"/>
              <w:gridCol w:w="2141"/>
              <w:gridCol w:w="1719"/>
              <w:gridCol w:w="13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1" w:type="dxa"/>
                  <w:vMerge w:val="restart"/>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885" w:type="dxa"/>
                  <w:vMerge w:val="restart"/>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排放口</w:t>
                  </w:r>
                </w:p>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编号</w:t>
                  </w:r>
                </w:p>
              </w:tc>
              <w:tc>
                <w:tcPr>
                  <w:tcW w:w="829" w:type="dxa"/>
                  <w:vMerge w:val="restart"/>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产污</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br w:type="textWrapping"/>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环节</w:t>
                  </w:r>
                </w:p>
              </w:tc>
              <w:tc>
                <w:tcPr>
                  <w:tcW w:w="832" w:type="dxa"/>
                  <w:vMerge w:val="restart"/>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961" w:type="dxa"/>
                  <w:vMerge w:val="restart"/>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主要污染防治措施</w:t>
                  </w:r>
                </w:p>
              </w:tc>
              <w:tc>
                <w:tcPr>
                  <w:tcW w:w="3860" w:type="dxa"/>
                  <w:gridSpan w:val="2"/>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国家或地方污染物排放标准</w:t>
                  </w:r>
                </w:p>
              </w:tc>
              <w:tc>
                <w:tcPr>
                  <w:tcW w:w="1396" w:type="dxa"/>
                  <w:vMerge w:val="restart"/>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1" w:type="dxa"/>
                  <w:vMerge w:val="continue"/>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85" w:type="dxa"/>
                  <w:vMerge w:val="continue"/>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29" w:type="dxa"/>
                  <w:vMerge w:val="continue"/>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32" w:type="dxa"/>
                  <w:vMerge w:val="continue"/>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61" w:type="dxa"/>
                  <w:vMerge w:val="continue"/>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2141"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标准名称</w:t>
                  </w:r>
                </w:p>
              </w:tc>
              <w:tc>
                <w:tcPr>
                  <w:tcW w:w="1719"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浓度限值（</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g/m</w:t>
                  </w:r>
                  <w:r>
                    <w:rPr>
                      <w:rFonts w:hint="default" w:ascii="Times New Roman" w:hAnsi="Times New Roman" w:eastAsia="宋体"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p>
              </w:tc>
              <w:tc>
                <w:tcPr>
                  <w:tcW w:w="1396" w:type="dxa"/>
                  <w:vMerge w:val="continue"/>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1"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885"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M1</w:t>
                  </w:r>
                </w:p>
              </w:tc>
              <w:tc>
                <w:tcPr>
                  <w:tcW w:w="829"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烘干筛分</w:t>
                  </w:r>
                </w:p>
              </w:tc>
              <w:tc>
                <w:tcPr>
                  <w:tcW w:w="832"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颗粒物</w:t>
                  </w:r>
                </w:p>
              </w:tc>
              <w:tc>
                <w:tcPr>
                  <w:tcW w:w="961"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141"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《大气污染物排放限值》（DB44/27-2001）</w:t>
                  </w:r>
                </w:p>
              </w:tc>
              <w:tc>
                <w:tcPr>
                  <w:tcW w:w="1719"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396"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44" w:type="dxa"/>
                  <w:gridSpan w:val="8"/>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无组织排放总计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27" w:type="dxa"/>
                  <w:gridSpan w:val="4"/>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无组织排放总计</w:t>
                  </w:r>
                </w:p>
              </w:tc>
              <w:tc>
                <w:tcPr>
                  <w:tcW w:w="3102" w:type="dxa"/>
                  <w:gridSpan w:val="2"/>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3115" w:type="dxa"/>
                  <w:gridSpan w:val="2"/>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w:t>
                  </w:r>
                </w:p>
              </w:tc>
            </w:tr>
          </w:tbl>
          <w:p>
            <w:pPr>
              <w:pStyle w:val="6"/>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outlineLvl w:val="9"/>
              <w:rPr>
                <w:rFonts w:hint="default" w:ascii="Times New Roman" w:hAnsi="Times New Roman" w:eastAsia="宋体" w:cs="Times New Roman"/>
                <w:b/>
                <w:bCs w:val="0"/>
                <w:color w:val="000000" w:themeColor="text1"/>
                <w:spacing w:val="10"/>
                <w:sz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highlight w:val="none"/>
                <w:vertAlign w:val="baseline"/>
                <w:lang w:val="en-US" w:eastAsia="zh-CN"/>
                <w14:textFill>
                  <w14:solidFill>
                    <w14:schemeClr w14:val="tx1"/>
                  </w14:solidFill>
                </w14:textFill>
              </w:rPr>
              <w:t>表8.2-8 大气污染物年排放量核算</w:t>
            </w:r>
          </w:p>
          <w:tbl>
            <w:tblPr>
              <w:tblStyle w:val="26"/>
              <w:tblW w:w="9214" w:type="dxa"/>
              <w:jc w:val="center"/>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4529"/>
              <w:gridCol w:w="3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35"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序号</w:t>
                  </w:r>
                </w:p>
              </w:tc>
              <w:tc>
                <w:tcPr>
                  <w:tcW w:w="4529"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w:t>
                  </w:r>
                </w:p>
              </w:tc>
              <w:tc>
                <w:tcPr>
                  <w:tcW w:w="3650"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35"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4529" w:type="dxa"/>
                  <w:tcBorders>
                    <w:tl2br w:val="nil"/>
                    <w:tr2bl w:val="nil"/>
                  </w:tcBorders>
                  <w:vAlign w:val="center"/>
                </w:tcPr>
                <w:p>
                  <w:pPr>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烟尘</w:t>
                  </w:r>
                </w:p>
              </w:tc>
              <w:tc>
                <w:tcPr>
                  <w:tcW w:w="3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 xml:space="preserve">0.358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35"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4529" w:type="dxa"/>
                  <w:tcBorders>
                    <w:tl2br w:val="nil"/>
                    <w:tr2bl w:val="nil"/>
                  </w:tcBorders>
                  <w:vAlign w:val="center"/>
                </w:tcPr>
                <w:p>
                  <w:pPr>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SO</w:t>
                  </w:r>
                  <w:r>
                    <w:rPr>
                      <w:rFonts w:hint="default" w:ascii="Times New Roman" w:hAnsi="Times New Roman" w:eastAsia="宋体" w:cs="Times New Roman"/>
                      <w:color w:val="000000" w:themeColor="text1"/>
                      <w:szCs w:val="21"/>
                      <w:vertAlign w:val="subscript"/>
                      <w14:textFill>
                        <w14:solidFill>
                          <w14:schemeClr w14:val="tx1"/>
                        </w14:solidFill>
                      </w14:textFill>
                    </w:rPr>
                    <w:t>2</w:t>
                  </w:r>
                </w:p>
              </w:tc>
              <w:tc>
                <w:tcPr>
                  <w:tcW w:w="3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0.157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35" w:type="dxa"/>
                  <w:tcBorders>
                    <w:tl2br w:val="nil"/>
                    <w:tr2bl w:val="nil"/>
                  </w:tcBorders>
                  <w:vAlign w:val="center"/>
                </w:tcPr>
                <w:p>
                  <w:pPr>
                    <w:pStyle w:val="138"/>
                    <w:keepNext w:val="0"/>
                    <w:keepLines w:val="0"/>
                    <w:pageBreakBefore w:val="0"/>
                    <w:widowControl/>
                    <w:kinsoku/>
                    <w:wordWrap/>
                    <w:overflowPunct/>
                    <w:topLinePunct w:val="0"/>
                    <w:autoSpaceDE/>
                    <w:autoSpaceDN/>
                    <w:bidi w:val="0"/>
                    <w:adjustRightInd/>
                    <w:snapToGrid/>
                    <w:spacing w:before="0" w:beforeLines="0" w:after="0" w:afterLines="0" w:line="240" w:lineRule="auto"/>
                    <w:ind w:left="-105" w:leftChars="-50" w:right="-105" w:rightChars="-50"/>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4529" w:type="dxa"/>
                  <w:tcBorders>
                    <w:tl2br w:val="nil"/>
                    <w:tr2bl w:val="nil"/>
                  </w:tcBorders>
                  <w:vAlign w:val="center"/>
                </w:tcPr>
                <w:p>
                  <w:pPr>
                    <w:snapToGrid w:val="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NO</w:t>
                  </w:r>
                  <w:r>
                    <w:rPr>
                      <w:rFonts w:hint="default" w:ascii="Times New Roman" w:hAnsi="Times New Roman" w:eastAsia="宋体" w:cs="Times New Roman"/>
                      <w:color w:val="000000" w:themeColor="text1"/>
                      <w:szCs w:val="21"/>
                      <w:vertAlign w:val="subscript"/>
                      <w14:textFill>
                        <w14:solidFill>
                          <w14:schemeClr w14:val="tx1"/>
                        </w14:solidFill>
                      </w14:textFill>
                    </w:rPr>
                    <w:t>x</w:t>
                  </w:r>
                </w:p>
              </w:tc>
              <w:tc>
                <w:tcPr>
                  <w:tcW w:w="365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0.734</w:t>
                  </w:r>
                </w:p>
              </w:tc>
            </w:tr>
          </w:tbl>
          <w:p>
            <w:pPr>
              <w:pStyle w:val="6"/>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textAlignment w:val="auto"/>
              <w:outlineLvl w:val="9"/>
              <w:rPr>
                <w:rFonts w:hint="default" w:ascii="Times New Roman" w:hAnsi="Times New Roman" w:eastAsia="宋体" w:cs="Times New Roman"/>
                <w:b/>
                <w:bCs w:val="0"/>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4"/>
                <w:szCs w:val="24"/>
                <w:highlight w:val="none"/>
                <w:lang w:val="en-US" w:eastAsia="zh-CN" w:bidi="ar-SA"/>
                <w14:textFill>
                  <w14:solidFill>
                    <w14:schemeClr w14:val="tx1"/>
                  </w14:solidFill>
                </w14:textFill>
              </w:rPr>
              <w:t>8.2.1.6大气环境影响评价自查</w:t>
            </w:r>
          </w:p>
          <w:p>
            <w:pPr>
              <w:keepNext w:val="0"/>
              <w:keepLines w:val="0"/>
              <w:pageBreakBefore w:val="0"/>
              <w:widowControl w:val="0"/>
              <w:kinsoku/>
              <w:wordWrap/>
              <w:overflowPunct/>
              <w:topLinePunct w:val="0"/>
              <w:autoSpaceDE/>
              <w:autoSpaceDN/>
              <w:bidi w:val="0"/>
              <w:adjustRightInd/>
              <w:snapToGrid/>
              <w:spacing w:line="360" w:lineRule="auto"/>
              <w:ind w:firstLine="520" w:firstLineChars="200"/>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4"/>
                <w:lang w:val="en-US" w:eastAsia="zh-CN"/>
                <w14:textFill>
                  <w14:solidFill>
                    <w14:schemeClr w14:val="tx1"/>
                  </w14:solidFill>
                </w14:textFill>
              </w:rPr>
              <w:t>正常工况下，本项目排放的大气污染物贡献值较小，最大浓度占标率1%≤P</w:t>
            </w:r>
            <w:r>
              <w:rPr>
                <w:rFonts w:hint="default" w:ascii="Times New Roman" w:hAnsi="Times New Roman" w:eastAsia="宋体" w:cs="Times New Roman"/>
                <w:color w:val="000000" w:themeColor="text1"/>
                <w:spacing w:val="10"/>
                <w:sz w:val="24"/>
                <w:vertAlign w:val="subscript"/>
                <w:lang w:val="en-US" w:eastAsia="zh-CN"/>
                <w14:textFill>
                  <w14:solidFill>
                    <w14:schemeClr w14:val="tx1"/>
                  </w14:solidFill>
                </w14:textFill>
              </w:rPr>
              <w:t>max</w:t>
            </w:r>
            <w:r>
              <w:rPr>
                <w:rFonts w:hint="default" w:ascii="Times New Roman" w:hAnsi="Times New Roman" w:eastAsia="宋体" w:cs="Times New Roman"/>
                <w:color w:val="000000" w:themeColor="text1"/>
                <w:spacing w:val="10"/>
                <w:sz w:val="24"/>
                <w:vertAlign w:val="baseline"/>
                <w:lang w:val="en-US" w:eastAsia="zh-CN"/>
                <w14:textFill>
                  <w14:solidFill>
                    <w14:schemeClr w14:val="tx1"/>
                  </w14:solidFill>
                </w14:textFill>
              </w:rPr>
              <w:t>≤10%，大气评价等级为二级，不需进行进一步预测与评价。本项目无组织排放污染物下风向最大浓度小于标准要求，说明在正常工况下，废气的无组织排放对环境基本无影响，不需要设置大气环境防护距离。</w:t>
            </w:r>
          </w:p>
          <w:p>
            <w:pPr>
              <w:keepNext w:val="0"/>
              <w:keepLines w:val="0"/>
              <w:pageBreakBefore w:val="0"/>
              <w:widowControl w:val="0"/>
              <w:tabs>
                <w:tab w:val="right" w:pos="9069"/>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highlight w:val="none"/>
                <w:u w:val="none"/>
                <w14:textFill>
                  <w14:solidFill>
                    <w14:schemeClr w14:val="tx1"/>
                  </w14:solidFill>
                </w14:textFill>
              </w:rPr>
            </w:pPr>
            <w:r>
              <w:rPr>
                <w:rFonts w:hint="default" w:ascii="Times New Roman" w:hAnsi="Times New Roman" w:eastAsia="宋体" w:cs="Times New Roman"/>
                <w:color w:val="000000" w:themeColor="text1"/>
                <w:sz w:val="24"/>
                <w:highlight w:val="none"/>
                <w:u w:val="none"/>
                <w14:textFill>
                  <w14:solidFill>
                    <w14:schemeClr w14:val="tx1"/>
                  </w14:solidFill>
                </w14:textFill>
              </w:rPr>
              <w:t>大气环境影响评价完成后，对主要内容与结论进行自查，如下表所示。</w:t>
            </w:r>
          </w:p>
          <w:p>
            <w:pPr>
              <w:keepNext w:val="0"/>
              <w:keepLines w:val="0"/>
              <w:pageBreakBefore w:val="0"/>
              <w:widowControl w:val="0"/>
              <w:tabs>
                <w:tab w:val="right" w:pos="9069"/>
              </w:tabs>
              <w:kinsoku/>
              <w:wordWrap/>
              <w:overflowPunct/>
              <w:topLinePunct w:val="0"/>
              <w:autoSpaceDE/>
              <w:autoSpaceDN/>
              <w:bidi w:val="0"/>
              <w:adjustRightInd/>
              <w:snapToGrid/>
              <w:spacing w:line="240" w:lineRule="auto"/>
              <w:ind w:left="105" w:leftChars="50"/>
              <w:jc w:val="center"/>
              <w:textAlignment w:val="auto"/>
              <w:outlineLvl w:val="9"/>
              <w:rPr>
                <w:rFonts w:hint="default" w:ascii="Times New Roman" w:hAnsi="Times New Roman" w:eastAsia="宋体" w:cs="Times New Roman"/>
                <w:b/>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u w:val="none"/>
                <w14:textFill>
                  <w14:solidFill>
                    <w14:schemeClr w14:val="tx1"/>
                  </w14:solidFill>
                </w14:textFill>
              </w:rPr>
              <w:t>表</w:t>
            </w:r>
            <w:r>
              <w:rPr>
                <w:rFonts w:hint="default" w:ascii="Times New Roman" w:hAnsi="Times New Roman" w:eastAsia="宋体" w:cs="Times New Roman"/>
                <w:b/>
                <w:color w:val="000000" w:themeColor="text1"/>
                <w:sz w:val="24"/>
                <w:szCs w:val="24"/>
                <w:highlight w:val="none"/>
                <w:u w:val="none"/>
                <w:lang w:val="en-US" w:eastAsia="zh-CN"/>
                <w14:textFill>
                  <w14:solidFill>
                    <w14:schemeClr w14:val="tx1"/>
                  </w14:solidFill>
                </w14:textFill>
              </w:rPr>
              <w:t xml:space="preserve">8.2-9 </w:t>
            </w:r>
            <w:r>
              <w:rPr>
                <w:rFonts w:hint="default" w:ascii="Times New Roman" w:hAnsi="Times New Roman" w:eastAsia="宋体" w:cs="Times New Roman"/>
                <w:b/>
                <w:color w:val="000000" w:themeColor="text1"/>
                <w:sz w:val="24"/>
                <w:szCs w:val="24"/>
                <w:highlight w:val="none"/>
                <w:u w:val="none"/>
                <w14:textFill>
                  <w14:solidFill>
                    <w14:schemeClr w14:val="tx1"/>
                  </w14:solidFill>
                </w14:textFill>
              </w:rPr>
              <w:t>大气环境影响评价自查表</w:t>
            </w:r>
          </w:p>
          <w:tbl>
            <w:tblPr>
              <w:tblStyle w:val="26"/>
              <w:tblW w:w="92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851"/>
              <w:gridCol w:w="859"/>
              <w:gridCol w:w="122"/>
              <w:gridCol w:w="313"/>
              <w:gridCol w:w="165"/>
              <w:gridCol w:w="245"/>
              <w:gridCol w:w="423"/>
              <w:gridCol w:w="191"/>
              <w:gridCol w:w="804"/>
              <w:gridCol w:w="355"/>
              <w:gridCol w:w="487"/>
              <w:gridCol w:w="740"/>
              <w:gridCol w:w="300"/>
              <w:gridCol w:w="805"/>
              <w:gridCol w:w="7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0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none"/>
                      <w14:textFill>
                        <w14:solidFill>
                          <w14:schemeClr w14:val="tx1"/>
                        </w14:solidFill>
                      </w14:textFill>
                    </w:rPr>
                    <w:t>工作内容</w:t>
                  </w:r>
                </w:p>
              </w:tc>
              <w:tc>
                <w:tcPr>
                  <w:tcW w:w="6537" w:type="dxa"/>
                  <w:gridSpan w:val="1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val="0"/>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u w:val="none"/>
                      <w14:textFill>
                        <w14:solidFill>
                          <w14:schemeClr w14:val="tx1"/>
                        </w14:solidFill>
                      </w14:textFill>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评价等级与范围</w:t>
                  </w: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评价等级</w:t>
                  </w:r>
                </w:p>
              </w:tc>
              <w:tc>
                <w:tcPr>
                  <w:tcW w:w="2127"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一级□</w:t>
                  </w:r>
                </w:p>
              </w:tc>
              <w:tc>
                <w:tcPr>
                  <w:tcW w:w="257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二级</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p>
              </w:tc>
              <w:tc>
                <w:tcPr>
                  <w:tcW w:w="183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评价范围</w:t>
                  </w:r>
                </w:p>
              </w:tc>
              <w:tc>
                <w:tcPr>
                  <w:tcW w:w="2127"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边长=50km□</w:t>
                  </w:r>
                </w:p>
              </w:tc>
              <w:tc>
                <w:tcPr>
                  <w:tcW w:w="257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边长5～50km</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A3"/>
                  </w:r>
                </w:p>
              </w:tc>
              <w:tc>
                <w:tcPr>
                  <w:tcW w:w="183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边长=5km</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评价因子</w:t>
                  </w: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SO</w:t>
                  </w:r>
                  <w:r>
                    <w:rPr>
                      <w:rFonts w:hint="default" w:ascii="Times New Roman" w:hAnsi="Times New Roman" w:eastAsia="宋体" w:cs="Times New Roman"/>
                      <w:bCs/>
                      <w:color w:val="000000" w:themeColor="text1"/>
                      <w:sz w:val="21"/>
                      <w:szCs w:val="21"/>
                      <w:highlight w:val="none"/>
                      <w:u w:val="none"/>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+NO</w:t>
                  </w:r>
                  <w:r>
                    <w:rPr>
                      <w:rFonts w:hint="default" w:ascii="Times New Roman" w:hAnsi="Times New Roman" w:eastAsia="宋体" w:cs="Times New Roman"/>
                      <w:bCs/>
                      <w:color w:val="000000" w:themeColor="text1"/>
                      <w:sz w:val="21"/>
                      <w:szCs w:val="21"/>
                      <w:highlight w:val="none"/>
                      <w:u w:val="none"/>
                      <w:vertAlign w:val="subscript"/>
                      <w14:textFill>
                        <w14:solidFill>
                          <w14:schemeClr w14:val="tx1"/>
                        </w14:solidFill>
                      </w14:textFill>
                    </w:rPr>
                    <w:t>X</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排放量</w:t>
                  </w:r>
                </w:p>
              </w:tc>
              <w:tc>
                <w:tcPr>
                  <w:tcW w:w="2127"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≥2000t/a□</w:t>
                  </w:r>
                </w:p>
              </w:tc>
              <w:tc>
                <w:tcPr>
                  <w:tcW w:w="257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500~2000t/a□</w:t>
                  </w:r>
                </w:p>
              </w:tc>
              <w:tc>
                <w:tcPr>
                  <w:tcW w:w="183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＜500t/a</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评价因子</w:t>
                  </w:r>
                </w:p>
              </w:tc>
              <w:tc>
                <w:tcPr>
                  <w:tcW w:w="3477"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基本污染物（）</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其他污染物（</w:t>
                  </w:r>
                  <w:r>
                    <w:rPr>
                      <w:rFonts w:hint="default" w:ascii="Times New Roman" w:hAnsi="Times New Roman" w:eastAsia="宋体" w:cs="Times New Roman"/>
                      <w:bCs/>
                      <w:color w:val="000000" w:themeColor="text1"/>
                      <w:sz w:val="21"/>
                      <w:szCs w:val="21"/>
                      <w:highlight w:val="none"/>
                      <w:u w:val="none"/>
                      <w:vertAlign w:val="baseline"/>
                      <w:lang w:val="en-US" w:eastAsia="zh-CN"/>
                      <w14:textFill>
                        <w14:solidFill>
                          <w14:schemeClr w14:val="tx1"/>
                        </w14:solidFill>
                      </w14:textFill>
                    </w:rPr>
                    <w:t>TSP</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c>
                <w:tcPr>
                  <w:tcW w:w="306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包括二次 PM</w:t>
                  </w:r>
                  <w:r>
                    <w:rPr>
                      <w:rFonts w:hint="default" w:ascii="Times New Roman" w:hAnsi="Times New Roman" w:eastAsia="宋体" w:cs="Times New Roman"/>
                      <w:bCs/>
                      <w:color w:val="000000" w:themeColor="text1"/>
                      <w:sz w:val="21"/>
                      <w:szCs w:val="21"/>
                      <w:highlight w:val="none"/>
                      <w:u w:val="none"/>
                      <w:vertAlign w:val="subscript"/>
                      <w14:textFill>
                        <w14:solidFill>
                          <w14:schemeClr w14:val="tx1"/>
                        </w14:solidFill>
                      </w14:textFill>
                    </w:rPr>
                    <w:t>2.5</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不包括二次 PM</w:t>
                  </w:r>
                  <w:r>
                    <w:rPr>
                      <w:rFonts w:hint="default" w:ascii="Times New Roman" w:hAnsi="Times New Roman" w:eastAsia="宋体" w:cs="Times New Roman"/>
                      <w:bCs/>
                      <w:color w:val="000000" w:themeColor="text1"/>
                      <w:sz w:val="21"/>
                      <w:szCs w:val="21"/>
                      <w:highlight w:val="none"/>
                      <w:u w:val="none"/>
                      <w:vertAlign w:val="subscript"/>
                      <w14:textFill>
                        <w14:solidFill>
                          <w14:schemeClr w14:val="tx1"/>
                        </w14:solidFill>
                      </w14:textFill>
                    </w:rPr>
                    <w:t>2.5</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评价标准</w:t>
                  </w: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评价标准</w:t>
                  </w:r>
                </w:p>
              </w:tc>
              <w:tc>
                <w:tcPr>
                  <w:tcW w:w="2127"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国家标准</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c>
                <w:tcPr>
                  <w:tcW w:w="135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地方标准</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p>
              </w:tc>
              <w:tc>
                <w:tcPr>
                  <w:tcW w:w="12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附录D</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A3"/>
                  </w:r>
                </w:p>
              </w:tc>
              <w:tc>
                <w:tcPr>
                  <w:tcW w:w="183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其他标准</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现状评价</w:t>
                  </w: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环境功能区</w:t>
                  </w:r>
                </w:p>
              </w:tc>
              <w:tc>
                <w:tcPr>
                  <w:tcW w:w="2127"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一类区□</w:t>
                  </w:r>
                </w:p>
              </w:tc>
              <w:tc>
                <w:tcPr>
                  <w:tcW w:w="257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二类区</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c>
                <w:tcPr>
                  <w:tcW w:w="183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一类区和二类区□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评价基准年</w:t>
                  </w:r>
                </w:p>
              </w:tc>
              <w:tc>
                <w:tcPr>
                  <w:tcW w:w="6537" w:type="dxa"/>
                  <w:gridSpan w:val="1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（201</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8</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环境空气质量现状调查数据来源</w:t>
                  </w:r>
                </w:p>
              </w:tc>
              <w:tc>
                <w:tcPr>
                  <w:tcW w:w="2127"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长期例行监测数据□</w:t>
                  </w:r>
                </w:p>
              </w:tc>
              <w:tc>
                <w:tcPr>
                  <w:tcW w:w="2577"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主管部门发布的数据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c>
                <w:tcPr>
                  <w:tcW w:w="183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现状补充监测</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A3"/>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现状评价</w:t>
                  </w:r>
                </w:p>
              </w:tc>
              <w:tc>
                <w:tcPr>
                  <w:tcW w:w="3477"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达标区</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p>
              </w:tc>
              <w:tc>
                <w:tcPr>
                  <w:tcW w:w="306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不达标区</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污染源</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调查</w:t>
                  </w: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调查内容</w:t>
                  </w:r>
                </w:p>
              </w:tc>
              <w:tc>
                <w:tcPr>
                  <w:tcW w:w="2127"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本项目正常排放源</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本项目非正常排放源□</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现有污染源□</w:t>
                  </w:r>
                </w:p>
              </w:tc>
              <w:tc>
                <w:tcPr>
                  <w:tcW w:w="135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拟替代的污染源□</w:t>
                  </w:r>
                </w:p>
              </w:tc>
              <w:tc>
                <w:tcPr>
                  <w:tcW w:w="1527"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其他在建、拟建项目污染源□</w:t>
                  </w:r>
                </w:p>
              </w:tc>
              <w:tc>
                <w:tcPr>
                  <w:tcW w:w="153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区域污染源</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大气环境影响预测与评价</w:t>
                  </w:r>
                </w:p>
              </w:tc>
              <w:tc>
                <w:tcPr>
                  <w:tcW w:w="5328" w:type="dxa"/>
                  <w:gridSpan w:val="10"/>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是否进行进一步预测与评价</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A3"/>
                  </w:r>
                </w:p>
              </w:tc>
              <w:tc>
                <w:tcPr>
                  <w:tcW w:w="1227"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是□</w:t>
                  </w:r>
                </w:p>
              </w:tc>
              <w:tc>
                <w:tcPr>
                  <w:tcW w:w="183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否</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预测模型</w:t>
                  </w:r>
                </w:p>
              </w:tc>
              <w:tc>
                <w:tcPr>
                  <w:tcW w:w="8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AERMOD</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A3"/>
                  </w:r>
                </w:p>
              </w:tc>
              <w:tc>
                <w:tcPr>
                  <w:tcW w:w="845"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ADMS□</w:t>
                  </w:r>
                </w:p>
              </w:tc>
              <w:tc>
                <w:tcPr>
                  <w:tcW w:w="1418"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AUSTAL2000□</w:t>
                  </w:r>
                </w:p>
              </w:tc>
              <w:tc>
                <w:tcPr>
                  <w:tcW w:w="84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EDMS/AEDT□</w:t>
                  </w:r>
                </w:p>
              </w:tc>
              <w:tc>
                <w:tcPr>
                  <w:tcW w:w="74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CALPUFF□</w:t>
                  </w:r>
                </w:p>
              </w:tc>
              <w:tc>
                <w:tcPr>
                  <w:tcW w:w="1105"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网格模型□</w:t>
                  </w:r>
                </w:p>
              </w:tc>
              <w:tc>
                <w:tcPr>
                  <w:tcW w:w="7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其他</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预测范围</w:t>
                  </w:r>
                </w:p>
              </w:tc>
              <w:tc>
                <w:tcPr>
                  <w:tcW w:w="1294"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边长≥50km□</w:t>
                  </w:r>
                </w:p>
              </w:tc>
              <w:tc>
                <w:tcPr>
                  <w:tcW w:w="3410" w:type="dxa"/>
                  <w:gridSpan w:val="8"/>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边长 5～50km□</w:t>
                  </w:r>
                </w:p>
              </w:tc>
              <w:tc>
                <w:tcPr>
                  <w:tcW w:w="183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边长= 5km</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预测因子</w:t>
                  </w:r>
                </w:p>
              </w:tc>
              <w:tc>
                <w:tcPr>
                  <w:tcW w:w="3477" w:type="dxa"/>
                  <w:gridSpan w:val="9"/>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预测因子（）</w:t>
                  </w:r>
                </w:p>
              </w:tc>
              <w:tc>
                <w:tcPr>
                  <w:tcW w:w="306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包括二次PM2.5□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3477" w:type="dxa"/>
                  <w:gridSpan w:val="9"/>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306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不包括二次PM2.5□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正常排放短期浓度贡献值</w:t>
                  </w:r>
                </w:p>
              </w:tc>
              <w:tc>
                <w:tcPr>
                  <w:tcW w:w="3477"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i/>
                      <w:color w:val="000000" w:themeColor="text1"/>
                      <w:sz w:val="21"/>
                      <w:szCs w:val="21"/>
                      <w:highlight w:val="none"/>
                      <w:u w:val="none"/>
                      <w14:textFill>
                        <w14:solidFill>
                          <w14:schemeClr w14:val="tx1"/>
                        </w14:solidFill>
                      </w14:textFill>
                    </w:rPr>
                    <w:t>C</w:t>
                  </w:r>
                  <w:r>
                    <w:rPr>
                      <w:rFonts w:hint="default" w:ascii="Times New Roman" w:hAnsi="Times New Roman" w:eastAsia="宋体" w:cs="Times New Roman"/>
                      <w:bCs/>
                      <w:i/>
                      <w:color w:val="000000" w:themeColor="text1"/>
                      <w:sz w:val="21"/>
                      <w:szCs w:val="21"/>
                      <w:highlight w:val="none"/>
                      <w:u w:val="none"/>
                      <w:vertAlign w:val="subscript"/>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最大占标率≤100%□</w:t>
                  </w:r>
                </w:p>
              </w:tc>
              <w:tc>
                <w:tcPr>
                  <w:tcW w:w="306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i/>
                      <w:color w:val="000000" w:themeColor="text1"/>
                      <w:sz w:val="21"/>
                      <w:szCs w:val="21"/>
                      <w:highlight w:val="none"/>
                      <w:u w:val="none"/>
                      <w14:textFill>
                        <w14:solidFill>
                          <w14:schemeClr w14:val="tx1"/>
                        </w14:solidFill>
                      </w14:textFill>
                    </w:rPr>
                    <w:t>C</w:t>
                  </w:r>
                  <w:r>
                    <w:rPr>
                      <w:rFonts w:hint="default" w:ascii="Times New Roman" w:hAnsi="Times New Roman" w:eastAsia="宋体" w:cs="Times New Roman"/>
                      <w:bCs/>
                      <w:i/>
                      <w:color w:val="000000" w:themeColor="text1"/>
                      <w:sz w:val="21"/>
                      <w:szCs w:val="21"/>
                      <w:highlight w:val="none"/>
                      <w:u w:val="none"/>
                      <w:vertAlign w:val="subscript"/>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最大占标率＞100%□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正常排放年均浓度贡献值</w:t>
                  </w:r>
                </w:p>
              </w:tc>
              <w:tc>
                <w:tcPr>
                  <w:tcW w:w="98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一类区</w:t>
                  </w:r>
                </w:p>
              </w:tc>
              <w:tc>
                <w:tcPr>
                  <w:tcW w:w="2496"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i/>
                      <w:color w:val="000000" w:themeColor="text1"/>
                      <w:sz w:val="21"/>
                      <w:szCs w:val="21"/>
                      <w:highlight w:val="none"/>
                      <w:u w:val="none"/>
                      <w14:textFill>
                        <w14:solidFill>
                          <w14:schemeClr w14:val="tx1"/>
                        </w14:solidFill>
                      </w14:textFill>
                    </w:rPr>
                    <w:t>C</w:t>
                  </w:r>
                  <w:r>
                    <w:rPr>
                      <w:rFonts w:hint="default" w:ascii="Times New Roman" w:hAnsi="Times New Roman" w:eastAsia="宋体" w:cs="Times New Roman"/>
                      <w:bCs/>
                      <w:i/>
                      <w:color w:val="000000" w:themeColor="text1"/>
                      <w:sz w:val="21"/>
                      <w:szCs w:val="21"/>
                      <w:highlight w:val="none"/>
                      <w:u w:val="none"/>
                      <w:vertAlign w:val="subscript"/>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本项目最大占标率≤10%□</w:t>
                  </w:r>
                </w:p>
              </w:tc>
              <w:tc>
                <w:tcPr>
                  <w:tcW w:w="306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i/>
                      <w:color w:val="000000" w:themeColor="text1"/>
                      <w:sz w:val="21"/>
                      <w:szCs w:val="21"/>
                      <w:highlight w:val="none"/>
                      <w:u w:val="none"/>
                      <w14:textFill>
                        <w14:solidFill>
                          <w14:schemeClr w14:val="tx1"/>
                        </w14:solidFill>
                      </w14:textFill>
                    </w:rPr>
                    <w:t>C</w:t>
                  </w:r>
                  <w:r>
                    <w:rPr>
                      <w:rFonts w:hint="default" w:ascii="Times New Roman" w:hAnsi="Times New Roman" w:eastAsia="宋体" w:cs="Times New Roman"/>
                      <w:bCs/>
                      <w:i/>
                      <w:color w:val="000000" w:themeColor="text1"/>
                      <w:sz w:val="21"/>
                      <w:szCs w:val="21"/>
                      <w:highlight w:val="none"/>
                      <w:u w:val="none"/>
                      <w:vertAlign w:val="subscript"/>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本项目最大标率＞10%□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98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二类区</w:t>
                  </w:r>
                </w:p>
              </w:tc>
              <w:tc>
                <w:tcPr>
                  <w:tcW w:w="2496"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i/>
                      <w:color w:val="000000" w:themeColor="text1"/>
                      <w:sz w:val="21"/>
                      <w:szCs w:val="21"/>
                      <w:highlight w:val="none"/>
                      <w:u w:val="none"/>
                      <w14:textFill>
                        <w14:solidFill>
                          <w14:schemeClr w14:val="tx1"/>
                        </w14:solidFill>
                      </w14:textFill>
                    </w:rPr>
                    <w:t>C</w:t>
                  </w:r>
                  <w:r>
                    <w:rPr>
                      <w:rFonts w:hint="default" w:ascii="Times New Roman" w:hAnsi="Times New Roman" w:eastAsia="宋体" w:cs="Times New Roman"/>
                      <w:bCs/>
                      <w:i/>
                      <w:color w:val="000000" w:themeColor="text1"/>
                      <w:sz w:val="21"/>
                      <w:szCs w:val="21"/>
                      <w:highlight w:val="none"/>
                      <w:u w:val="none"/>
                      <w:vertAlign w:val="subscript"/>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最大占标率≤30%□</w:t>
                  </w:r>
                </w:p>
              </w:tc>
              <w:tc>
                <w:tcPr>
                  <w:tcW w:w="306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i/>
                      <w:color w:val="000000" w:themeColor="text1"/>
                      <w:sz w:val="21"/>
                      <w:szCs w:val="21"/>
                      <w:highlight w:val="none"/>
                      <w:u w:val="none"/>
                      <w14:textFill>
                        <w14:solidFill>
                          <w14:schemeClr w14:val="tx1"/>
                        </w14:solidFill>
                      </w14:textFill>
                    </w:rPr>
                    <w:t>C</w:t>
                  </w:r>
                  <w:r>
                    <w:rPr>
                      <w:rFonts w:hint="default" w:ascii="Times New Roman" w:hAnsi="Times New Roman" w:eastAsia="宋体" w:cs="Times New Roman"/>
                      <w:bCs/>
                      <w:i/>
                      <w:color w:val="000000" w:themeColor="text1"/>
                      <w:sz w:val="21"/>
                      <w:szCs w:val="21"/>
                      <w:highlight w:val="none"/>
                      <w:u w:val="none"/>
                      <w:vertAlign w:val="subscript"/>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最大标率＞30%□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非正常排放 1h浓度贡献值</w:t>
                  </w:r>
                </w:p>
              </w:tc>
              <w:tc>
                <w:tcPr>
                  <w:tcW w:w="98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非正常持续时长</w:t>
                  </w:r>
                </w:p>
              </w:tc>
              <w:tc>
                <w:tcPr>
                  <w:tcW w:w="2496" w:type="dxa"/>
                  <w:gridSpan w:val="7"/>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i/>
                      <w:color w:val="000000" w:themeColor="text1"/>
                      <w:sz w:val="21"/>
                      <w:szCs w:val="21"/>
                      <w:highlight w:val="none"/>
                      <w:u w:val="none"/>
                      <w14:textFill>
                        <w14:solidFill>
                          <w14:schemeClr w14:val="tx1"/>
                        </w14:solidFill>
                      </w14:textFill>
                    </w:rPr>
                    <w:t>C</w:t>
                  </w:r>
                  <w:r>
                    <w:rPr>
                      <w:rFonts w:hint="default" w:ascii="Times New Roman" w:hAnsi="Times New Roman" w:eastAsia="宋体" w:cs="Times New Roman"/>
                      <w:bCs/>
                      <w:i/>
                      <w:color w:val="000000" w:themeColor="text1"/>
                      <w:sz w:val="21"/>
                      <w:szCs w:val="21"/>
                      <w:highlight w:val="none"/>
                      <w:u w:val="none"/>
                      <w:vertAlign w:val="subscript"/>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占标率≤100% □</w:t>
                  </w:r>
                </w:p>
              </w:tc>
              <w:tc>
                <w:tcPr>
                  <w:tcW w:w="3060" w:type="dxa"/>
                  <w:gridSpan w:val="5"/>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i/>
                      <w:color w:val="000000" w:themeColor="text1"/>
                      <w:sz w:val="21"/>
                      <w:szCs w:val="21"/>
                      <w:highlight w:val="none"/>
                      <w:u w:val="none"/>
                      <w14:textFill>
                        <w14:solidFill>
                          <w14:schemeClr w14:val="tx1"/>
                        </w14:solidFill>
                      </w14:textFill>
                    </w:rPr>
                    <w:t>C</w:t>
                  </w:r>
                  <w:r>
                    <w:rPr>
                      <w:rFonts w:hint="default" w:ascii="Times New Roman" w:hAnsi="Times New Roman" w:eastAsia="宋体" w:cs="Times New Roman"/>
                      <w:bCs/>
                      <w:i/>
                      <w:color w:val="000000" w:themeColor="text1"/>
                      <w:sz w:val="21"/>
                      <w:szCs w:val="21"/>
                      <w:highlight w:val="none"/>
                      <w:u w:val="none"/>
                      <w:vertAlign w:val="subscript"/>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占标率＞100%□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98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  ）h</w:t>
                  </w:r>
                </w:p>
              </w:tc>
              <w:tc>
                <w:tcPr>
                  <w:tcW w:w="2496" w:type="dxa"/>
                  <w:gridSpan w:val="7"/>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3060" w:type="dxa"/>
                  <w:gridSpan w:val="5"/>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保证率日平均浓度年平均浓度叠加值</w:t>
                  </w:r>
                </w:p>
              </w:tc>
              <w:tc>
                <w:tcPr>
                  <w:tcW w:w="3477"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i/>
                      <w:color w:val="000000" w:themeColor="text1"/>
                      <w:sz w:val="21"/>
                      <w:szCs w:val="21"/>
                      <w:highlight w:val="none"/>
                      <w:u w:val="none"/>
                      <w14:textFill>
                        <w14:solidFill>
                          <w14:schemeClr w14:val="tx1"/>
                        </w14:solidFill>
                      </w14:textFill>
                    </w:rPr>
                    <w:t>C</w:t>
                  </w:r>
                  <w:r>
                    <w:rPr>
                      <w:rFonts w:hint="default" w:ascii="Times New Roman" w:hAnsi="Times New Roman" w:eastAsia="宋体" w:cs="Times New Roman"/>
                      <w:bCs/>
                      <w:i/>
                      <w:color w:val="000000" w:themeColor="text1"/>
                      <w:sz w:val="21"/>
                      <w:szCs w:val="21"/>
                      <w:highlight w:val="none"/>
                      <w:u w:val="none"/>
                      <w:vertAlign w:val="subscript"/>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达标□</w:t>
                  </w:r>
                </w:p>
              </w:tc>
              <w:tc>
                <w:tcPr>
                  <w:tcW w:w="306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i/>
                      <w:color w:val="000000" w:themeColor="text1"/>
                      <w:sz w:val="21"/>
                      <w:szCs w:val="21"/>
                      <w:highlight w:val="none"/>
                      <w:u w:val="none"/>
                      <w14:textFill>
                        <w14:solidFill>
                          <w14:schemeClr w14:val="tx1"/>
                        </w14:solidFill>
                      </w14:textFill>
                    </w:rPr>
                    <w:t>C</w:t>
                  </w:r>
                  <w:r>
                    <w:rPr>
                      <w:rFonts w:hint="default" w:ascii="Times New Roman" w:hAnsi="Times New Roman" w:eastAsia="宋体" w:cs="Times New Roman"/>
                      <w:bCs/>
                      <w:i/>
                      <w:color w:val="000000" w:themeColor="text1"/>
                      <w:sz w:val="21"/>
                      <w:szCs w:val="21"/>
                      <w:highlight w:val="none"/>
                      <w:u w:val="none"/>
                      <w:vertAlign w:val="subscript"/>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区域环境质量的整体变化情况</w:t>
                  </w:r>
                </w:p>
              </w:tc>
              <w:tc>
                <w:tcPr>
                  <w:tcW w:w="3477" w:type="dxa"/>
                  <w:gridSpan w:val="9"/>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k≤-20%□</w:t>
                  </w:r>
                </w:p>
              </w:tc>
              <w:tc>
                <w:tcPr>
                  <w:tcW w:w="3060" w:type="dxa"/>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k＞-20%□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环境监测计划</w:t>
                  </w:r>
                </w:p>
              </w:tc>
              <w:tc>
                <w:tcPr>
                  <w:tcW w:w="1851"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污染源监测</w:t>
                  </w:r>
                </w:p>
              </w:tc>
              <w:tc>
                <w:tcPr>
                  <w:tcW w:w="2318" w:type="dxa"/>
                  <w:gridSpan w:val="7"/>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监测因子：（NO</w:t>
                  </w:r>
                  <w:r>
                    <w:rPr>
                      <w:rFonts w:hint="default" w:ascii="Times New Roman" w:hAnsi="Times New Roman" w:eastAsia="宋体" w:cs="Times New Roman"/>
                      <w:bCs/>
                      <w:color w:val="000000" w:themeColor="text1"/>
                      <w:sz w:val="21"/>
                      <w:szCs w:val="21"/>
                      <w:highlight w:val="none"/>
                      <w:u w:val="none"/>
                      <w:vertAlign w:val="subscript"/>
                      <w14:textFill>
                        <w14:solidFill>
                          <w14:schemeClr w14:val="tx1"/>
                        </w14:solidFill>
                      </w14:textFill>
                    </w:rPr>
                    <w:t>X</w:t>
                  </w:r>
                  <w:r>
                    <w:rPr>
                      <w:rFonts w:hint="default" w:ascii="Times New Roman" w:hAnsi="Times New Roman" w:eastAsia="宋体" w:cs="Times New Roman"/>
                      <w:bCs/>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SO</w:t>
                  </w:r>
                  <w:r>
                    <w:rPr>
                      <w:rFonts w:hint="default" w:ascii="Times New Roman" w:hAnsi="Times New Roman" w:eastAsia="宋体" w:cs="Times New Roman"/>
                      <w:bCs/>
                      <w:color w:val="000000" w:themeColor="text1"/>
                      <w:sz w:val="21"/>
                      <w:szCs w:val="21"/>
                      <w:highlight w:val="none"/>
                      <w:u w:val="none"/>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TSP</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c>
                <w:tcPr>
                  <w:tcW w:w="2386"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有组织废气监测</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p>
              </w:tc>
              <w:tc>
                <w:tcPr>
                  <w:tcW w:w="1833" w:type="dxa"/>
                  <w:gridSpan w:val="3"/>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无监测□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2318" w:type="dxa"/>
                  <w:gridSpan w:val="7"/>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2386"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无组织废气监测</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p>
              </w:tc>
              <w:tc>
                <w:tcPr>
                  <w:tcW w:w="1833" w:type="dxa"/>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环境质量监测</w:t>
                  </w:r>
                </w:p>
              </w:tc>
              <w:tc>
                <w:tcPr>
                  <w:tcW w:w="2318" w:type="dxa"/>
                  <w:gridSpan w:val="7"/>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监测因子：（</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c>
                <w:tcPr>
                  <w:tcW w:w="2386"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监测点位数（</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c>
                <w:tcPr>
                  <w:tcW w:w="1833"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无监测</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评价结论</w:t>
                  </w: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环境影响</w:t>
                  </w:r>
                </w:p>
              </w:tc>
              <w:tc>
                <w:tcPr>
                  <w:tcW w:w="6537" w:type="dxa"/>
                  <w:gridSpan w:val="1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可以接受</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  不可以接受□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大气环境防护距离</w:t>
                  </w:r>
                </w:p>
              </w:tc>
              <w:tc>
                <w:tcPr>
                  <w:tcW w:w="6537" w:type="dxa"/>
                  <w:gridSpan w:val="1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p>
              </w:tc>
              <w:tc>
                <w:tcPr>
                  <w:tcW w:w="18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污染源年排放量</w:t>
                  </w:r>
                </w:p>
              </w:tc>
              <w:tc>
                <w:tcPr>
                  <w:tcW w:w="1459"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SO</w:t>
                  </w:r>
                  <w:r>
                    <w:rPr>
                      <w:rFonts w:hint="default" w:ascii="Times New Roman" w:hAnsi="Times New Roman" w:eastAsia="宋体" w:cs="Times New Roman"/>
                      <w:bCs/>
                      <w:color w:val="000000" w:themeColor="text1"/>
                      <w:sz w:val="21"/>
                      <w:szCs w:val="21"/>
                      <w:highlight w:val="none"/>
                      <w:u w:val="none"/>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u w:val="none"/>
                      <w:vertAlign w:val="baseli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none"/>
                      <w:vertAlign w:val="baseli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0.157)</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t/a</w:t>
                  </w:r>
                </w:p>
              </w:tc>
              <w:tc>
                <w:tcPr>
                  <w:tcW w:w="1663"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NO</w:t>
                  </w:r>
                  <w:r>
                    <w:rPr>
                      <w:rFonts w:hint="default" w:ascii="Times New Roman" w:hAnsi="Times New Roman" w:eastAsia="宋体" w:cs="Times New Roman"/>
                      <w:bCs/>
                      <w:color w:val="000000" w:themeColor="text1"/>
                      <w:sz w:val="21"/>
                      <w:szCs w:val="21"/>
                      <w:highlight w:val="none"/>
                      <w:u w:val="none"/>
                      <w:vertAlign w:val="subscript"/>
                      <w14:textFill>
                        <w14:solidFill>
                          <w14:schemeClr w14:val="tx1"/>
                        </w14:solidFill>
                      </w14:textFill>
                    </w:rPr>
                    <w:t>X</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(0.734)</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t/a</w:t>
                  </w:r>
                </w:p>
              </w:tc>
              <w:tc>
                <w:tcPr>
                  <w:tcW w:w="1882"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颗粒物：</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0.358</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)t/a</w:t>
                  </w:r>
                </w:p>
              </w:tc>
              <w:tc>
                <w:tcPr>
                  <w:tcW w:w="153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VOCs</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u w:val="none"/>
                      <w:lang w:val="en-US" w:eastAsia="zh-CN"/>
                      <w14:textFill>
                        <w14:solidFill>
                          <w14:schemeClr w14:val="tx1"/>
                        </w14:solidFill>
                      </w14:textFill>
                    </w:rPr>
                    <w:t>(0)</w:t>
                  </w:r>
                  <w:r>
                    <w:rPr>
                      <w:rFonts w:hint="default" w:ascii="Times New Roman" w:hAnsi="Times New Roman" w:eastAsia="宋体" w:cs="Times New Roman"/>
                      <w:bCs/>
                      <w:color w:val="000000" w:themeColor="text1"/>
                      <w:sz w:val="21"/>
                      <w:szCs w:val="21"/>
                      <w:highlight w:val="none"/>
                      <w:u w:val="none"/>
                      <w14:textFill>
                        <w14:solidFill>
                          <w14:schemeClr w14:val="tx1"/>
                        </w14:solidFill>
                      </w14:textFill>
                    </w:rPr>
                    <w:t>t/a</w:t>
                  </w:r>
                </w:p>
              </w:tc>
            </w:tr>
          </w:tbl>
          <w:p>
            <w:pPr>
              <w:pStyle w:val="72"/>
              <w:adjustRightInd/>
              <w:ind w:firstLine="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highlight w:val="none"/>
                <w:lang w:val="en-US" w:eastAsia="zh-CN"/>
                <w14:textFill>
                  <w14:solidFill>
                    <w14:schemeClr w14:val="tx1"/>
                  </w14:solidFill>
                </w14:textFill>
              </w:rPr>
              <w:t>8.2.1.7</w:t>
            </w:r>
            <w:r>
              <w:rPr>
                <w:rFonts w:hint="default" w:ascii="Times New Roman" w:hAnsi="Times New Roman" w:eastAsia="宋体" w:cs="Times New Roman"/>
                <w:b/>
                <w:bCs w:val="0"/>
                <w:color w:val="000000" w:themeColor="text1"/>
                <w14:textFill>
                  <w14:solidFill>
                    <w14:schemeClr w14:val="tx1"/>
                  </w14:solidFill>
                </w14:textFill>
              </w:rPr>
              <w:t>营运期</w:t>
            </w:r>
            <w:r>
              <w:rPr>
                <w:rFonts w:hint="default" w:ascii="Times New Roman" w:hAnsi="Times New Roman" w:eastAsia="宋体" w:cs="Times New Roman"/>
                <w:b/>
                <w:bCs w:val="0"/>
                <w:color w:val="000000" w:themeColor="text1"/>
                <w:highlight w:val="none"/>
                <w:lang w:eastAsia="zh-CN"/>
                <w14:textFill>
                  <w14:solidFill>
                    <w14:schemeClr w14:val="tx1"/>
                  </w14:solidFill>
                </w14:textFill>
              </w:rPr>
              <w:t>达标排放分析</w:t>
            </w:r>
          </w:p>
          <w:p>
            <w:pPr>
              <w:pStyle w:val="6"/>
              <w:keepNext w:val="0"/>
              <w:keepLines w:val="0"/>
              <w:pageBreakBefore w:val="0"/>
              <w:widowControl w:val="0"/>
              <w:kinsoku/>
              <w:wordWrap/>
              <w:overflowPunct/>
              <w:topLinePunct w:val="0"/>
              <w:autoSpaceDE/>
              <w:autoSpaceDN/>
              <w:bidi w:val="0"/>
              <w:adjustRightInd/>
              <w:snapToGrid/>
              <w:spacing w:line="360" w:lineRule="auto"/>
              <w:ind w:firstLine="522" w:firstLineChars="200"/>
              <w:textAlignment w:val="auto"/>
              <w:outlineLvl w:val="9"/>
              <w:rPr>
                <w:rFonts w:hint="default" w:ascii="Times New Roman" w:hAnsi="Times New Roman" w:eastAsia="宋体" w:cs="Times New Roman"/>
                <w:b/>
                <w:bCs w:val="0"/>
                <w:color w:val="000000" w:themeColor="text1"/>
                <w:spacing w:val="10"/>
                <w:sz w:val="24"/>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4"/>
                <w:szCs w:val="22"/>
                <w:highlight w:val="none"/>
                <w:u w:val="none"/>
                <w:lang w:val="en-US" w:eastAsia="zh-CN"/>
                <w14:textFill>
                  <w14:solidFill>
                    <w14:schemeClr w14:val="tx1"/>
                  </w14:solidFill>
                </w14:textFill>
              </w:rPr>
              <w:t>有组织排放</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分析</w:t>
            </w:r>
          </w:p>
          <w:p>
            <w:pPr>
              <w:pStyle w:val="6"/>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2"/>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u w:val="none"/>
                <w:lang w:val="en-US" w:eastAsia="zh-CN"/>
                <w14:textFill>
                  <w14:solidFill>
                    <w14:schemeClr w14:val="tx1"/>
                  </w14:solidFill>
                </w14:textFill>
              </w:rPr>
              <w:t>由工程分析可知，本项目烘干筛分粉尘、热水炉燃烧废气、烘干炉燃烧废气收集处理后均通过1#排气筒排放，</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排气筒燃烧废气</w:t>
            </w:r>
            <w:r>
              <w:rPr>
                <w:rFonts w:hint="default" w:ascii="Times New Roman" w:hAnsi="Times New Roman" w:eastAsia="宋体" w:cs="Times New Roman"/>
                <w:color w:val="000000" w:themeColor="text1"/>
                <w:sz w:val="24"/>
                <w:szCs w:val="24"/>
                <w14:textFill>
                  <w14:solidFill>
                    <w14:schemeClr w14:val="tx1"/>
                  </w14:solidFill>
                </w14:textFill>
              </w:rPr>
              <w:t>中的SO</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x</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颗粒物</w:t>
            </w:r>
            <w:r>
              <w:rPr>
                <w:rFonts w:hint="default" w:ascii="Times New Roman" w:hAnsi="Times New Roman" w:eastAsia="宋体" w:cs="Times New Roman"/>
                <w:color w:val="000000" w:themeColor="text1"/>
                <w:sz w:val="24"/>
                <w:szCs w:val="24"/>
                <w14:textFill>
                  <w14:solidFill>
                    <w14:schemeClr w14:val="tx1"/>
                  </w14:solidFill>
                </w14:textFill>
              </w:rPr>
              <w:t>排放</w:t>
            </w:r>
            <w:r>
              <w:rPr>
                <w:rFonts w:hint="default" w:ascii="Times New Roman" w:hAnsi="Times New Roman" w:eastAsia="宋体" w:cs="Times New Roman"/>
                <w:color w:val="000000" w:themeColor="text1"/>
                <w:sz w:val="24"/>
                <w:szCs w:val="24"/>
                <w:lang w:eastAsia="zh-CN"/>
                <w14:textFill>
                  <w14:solidFill>
                    <w14:schemeClr w14:val="tx1"/>
                  </w14:solidFill>
                </w14:textFill>
              </w:rPr>
              <w:t>浓度分别</w:t>
            </w:r>
            <w:r>
              <w:rPr>
                <w:rFonts w:hint="default" w:ascii="Times New Roman" w:hAnsi="Times New Roman" w:eastAsia="宋体" w:cs="Times New Roman"/>
                <w:color w:val="000000" w:themeColor="text1"/>
                <w:sz w:val="24"/>
                <w:szCs w:val="24"/>
                <w14:textFill>
                  <w14:solidFill>
                    <w14:schemeClr w14:val="tx1"/>
                  </w14:solidFill>
                </w14:textFill>
              </w:rPr>
              <w:t>达到了</w:t>
            </w:r>
            <w:r>
              <w:rPr>
                <w:rFonts w:hint="default" w:ascii="Times New Roman" w:hAnsi="Times New Roman" w:eastAsia="宋体" w:cs="Times New Roman"/>
                <w:color w:val="000000" w:themeColor="text1"/>
                <w:sz w:val="24"/>
                <w:lang w:val="en-US" w:eastAsia="zh-CN"/>
                <w14:textFill>
                  <w14:solidFill>
                    <w14:schemeClr w14:val="tx1"/>
                  </w14:solidFill>
                </w14:textFill>
              </w:rPr>
              <w:t>广东省地方环境标准《锅炉大气污染物排放标准》（DB 44/765-2019）中表2 新建锅炉大气污染物排放浓度限值燃气锅炉标准</w:t>
            </w:r>
            <w:r>
              <w:rPr>
                <w:rFonts w:hint="default" w:ascii="Times New Roman" w:hAnsi="Times New Roman" w:eastAsia="宋体" w:cs="Times New Roman"/>
                <w:color w:val="000000" w:themeColor="text1"/>
                <w:sz w:val="24"/>
                <w:szCs w:val="24"/>
                <w14:textFill>
                  <w14:solidFill>
                    <w14:schemeClr w14:val="tx1"/>
                  </w14:solidFill>
                </w14:textFill>
              </w:rPr>
              <w:t>要求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属于达标排放</w:t>
            </w:r>
            <w:r>
              <w:rPr>
                <w:rFonts w:hint="default" w:ascii="Times New Roman" w:hAnsi="Times New Roman" w:eastAsia="宋体" w:cs="Times New Roman"/>
                <w:color w:val="000000" w:themeColor="text1"/>
                <w:sz w:val="24"/>
                <w:szCs w:val="22"/>
                <w:highlight w:val="none"/>
                <w:u w:val="none"/>
                <w:lang w:val="en-US" w:eastAsia="zh-CN"/>
                <w14:textFill>
                  <w14:solidFill>
                    <w14:schemeClr w14:val="tx1"/>
                  </w14:solidFill>
                </w14:textFill>
              </w:rPr>
              <w:t>。</w:t>
            </w:r>
          </w:p>
          <w:p>
            <w:pPr>
              <w:pStyle w:val="6"/>
              <w:keepNext w:val="0"/>
              <w:keepLines w:val="0"/>
              <w:pageBreakBefore w:val="0"/>
              <w:widowControl w:val="0"/>
              <w:kinsoku/>
              <w:wordWrap/>
              <w:overflowPunct/>
              <w:topLinePunct w:val="0"/>
              <w:autoSpaceDE/>
              <w:autoSpaceDN/>
              <w:bidi w:val="0"/>
              <w:adjustRightInd/>
              <w:snapToGrid/>
              <w:spacing w:line="360" w:lineRule="auto"/>
              <w:ind w:firstLine="522" w:firstLineChars="200"/>
              <w:textAlignment w:val="auto"/>
              <w:outlineLvl w:val="9"/>
              <w:rPr>
                <w:rFonts w:hint="default" w:ascii="Times New Roman" w:hAnsi="Times New Roman" w:eastAsia="宋体" w:cs="Times New Roman"/>
                <w:b/>
                <w:bCs w:val="0"/>
                <w:color w:val="000000" w:themeColor="text1"/>
                <w:spacing w:val="10"/>
                <w:sz w:val="24"/>
                <w:highlight w:val="none"/>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spacing w:val="10"/>
                <w:sz w:val="24"/>
                <w:highlight w:val="none"/>
                <w:vertAlign w:val="baseline"/>
                <w:lang w:val="en-US" w:eastAsia="zh-CN"/>
                <w14:textFill>
                  <w14:solidFill>
                    <w14:schemeClr w14:val="tx1"/>
                  </w14:solidFill>
                </w14:textFill>
              </w:rPr>
              <w:t>2、无组织排放</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分析</w:t>
            </w:r>
          </w:p>
          <w:p>
            <w:pPr>
              <w:pStyle w:val="143"/>
              <w:ind w:firstLine="480"/>
              <w:rPr>
                <w:rFonts w:hint="eastAsia"/>
                <w:color w:val="000000" w:themeColor="text1"/>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项目外购已经清洗好的、洁净的粒径范围在2.5cm~5cm之间的石英矿，该粒径的物料在装卸过程中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产生的粉尘是极其少量的，</w:t>
            </w:r>
            <w:r>
              <w:rPr>
                <w:rFonts w:hint="default" w:ascii="Times New Roman" w:hAnsi="Times New Roman" w:eastAsia="宋体" w:cs="Times New Roman"/>
                <w:color w:val="000000" w:themeColor="text1"/>
                <w:kern w:val="0"/>
                <w:sz w:val="24"/>
                <w14:textFill>
                  <w14:solidFill>
                    <w14:schemeClr w14:val="tx1"/>
                  </w14:solidFill>
                </w14:textFill>
              </w:rPr>
              <w:t>其</w:t>
            </w:r>
            <w:r>
              <w:rPr>
                <w:rFonts w:hint="default" w:ascii="Times New Roman" w:hAnsi="Times New Roman" w:eastAsia="宋体" w:cs="Times New Roman"/>
                <w:color w:val="000000" w:themeColor="text1"/>
                <w:kern w:val="0"/>
                <w:sz w:val="24"/>
                <w:lang w:eastAsia="zh-CN"/>
                <w14:textFill>
                  <w14:solidFill>
                    <w14:schemeClr w14:val="tx1"/>
                  </w14:solidFill>
                </w14:textFill>
              </w:rPr>
              <w:t>粉尘排放</w:t>
            </w:r>
            <w:r>
              <w:rPr>
                <w:rFonts w:hint="default" w:ascii="Times New Roman" w:hAnsi="Times New Roman" w:eastAsia="宋体" w:cs="Times New Roman"/>
                <w:color w:val="000000" w:themeColor="text1"/>
                <w:kern w:val="0"/>
                <w:sz w:val="24"/>
                <w14:textFill>
                  <w14:solidFill>
                    <w14:schemeClr w14:val="tx1"/>
                  </w14:solidFill>
                </w14:textFill>
              </w:rPr>
              <w:t>浓度低于广东省地方标准《大气污染物排放限值》(DB44/27-2001)中的无组织排放限值</w:t>
            </w:r>
            <w:r>
              <w:rPr>
                <w:rFonts w:hint="default" w:ascii="Times New Roman" w:hAnsi="Times New Roman" w:eastAsia="宋体" w:cs="Times New Roman"/>
                <w:color w:val="000000" w:themeColor="text1"/>
                <w:sz w:val="24"/>
                <w:szCs w:val="22"/>
                <w:highlight w:val="none"/>
                <w:u w:val="none"/>
                <w:lang w:val="en-US" w:eastAsia="zh-CN"/>
                <w14:textFill>
                  <w14:solidFill>
                    <w14:schemeClr w14:val="tx1"/>
                  </w14:solidFill>
                </w14:textFill>
              </w:rPr>
              <w:t>。</w:t>
            </w:r>
          </w:p>
          <w:p>
            <w:pPr>
              <w:pStyle w:val="143"/>
              <w:ind w:firstLine="480"/>
              <w:rPr>
                <w:rFonts w:hint="eastAsia" w:eastAsia="宋体"/>
                <w:bCs w:val="0"/>
                <w:color w:val="000000" w:themeColor="text1"/>
                <w:lang w:val="en-US" w:eastAsia="zh-CN"/>
                <w14:textFill>
                  <w14:solidFill>
                    <w14:schemeClr w14:val="tx1"/>
                  </w14:solidFill>
                </w14:textFill>
              </w:rPr>
            </w:pPr>
            <w:r>
              <w:rPr>
                <w:rFonts w:hint="eastAsia" w:eastAsia="宋体"/>
                <w:bCs w:val="0"/>
                <w:color w:val="000000" w:themeColor="text1"/>
                <w14:textFill>
                  <w14:solidFill>
                    <w14:schemeClr w14:val="tx1"/>
                  </w14:solidFill>
                </w14:textFill>
              </w:rPr>
              <w:t>项目</w:t>
            </w:r>
            <w:r>
              <w:rPr>
                <w:rFonts w:hint="eastAsia" w:eastAsia="宋体"/>
                <w:bCs w:val="0"/>
                <w:color w:val="000000" w:themeColor="text1"/>
                <w:lang w:eastAsia="zh-CN"/>
                <w14:textFill>
                  <w14:solidFill>
                    <w14:schemeClr w14:val="tx1"/>
                  </w14:solidFill>
                </w14:textFill>
              </w:rPr>
              <w:t>烘干</w:t>
            </w:r>
            <w:r>
              <w:rPr>
                <w:rFonts w:hint="eastAsia" w:eastAsia="宋体"/>
                <w:bCs w:val="0"/>
                <w:color w:val="000000" w:themeColor="text1"/>
                <w14:textFill>
                  <w14:solidFill>
                    <w14:schemeClr w14:val="tx1"/>
                  </w14:solidFill>
                </w14:textFill>
              </w:rPr>
              <w:t>筛分工序会产粉尘</w:t>
            </w:r>
            <w:r>
              <w:rPr>
                <w:rFonts w:hint="eastAsia" w:eastAsia="宋体"/>
                <w:bCs w:val="0"/>
                <w:color w:val="000000" w:themeColor="text1"/>
                <w:lang w:eastAsia="zh-CN"/>
                <w14:textFill>
                  <w14:solidFill>
                    <w14:schemeClr w14:val="tx1"/>
                  </w14:solidFill>
                </w14:textFill>
              </w:rPr>
              <w:t>未被收集处理的极少</w:t>
            </w:r>
            <w:r>
              <w:rPr>
                <w:rFonts w:hint="eastAsia" w:eastAsia="宋体"/>
                <w:bCs w:val="0"/>
                <w:color w:val="000000" w:themeColor="text1"/>
                <w14:textFill>
                  <w14:solidFill>
                    <w14:schemeClr w14:val="tx1"/>
                  </w14:solidFill>
                </w14:textFill>
              </w:rPr>
              <w:t>，无组织排放速率为0.</w:t>
            </w:r>
            <w:r>
              <w:rPr>
                <w:rFonts w:hint="eastAsia" w:eastAsia="宋体"/>
                <w:bCs w:val="0"/>
                <w:color w:val="000000" w:themeColor="text1"/>
                <w:lang w:val="en-US" w:eastAsia="zh-CN"/>
                <w14:textFill>
                  <w14:solidFill>
                    <w14:schemeClr w14:val="tx1"/>
                  </w14:solidFill>
                </w14:textFill>
              </w:rPr>
              <w:t>125</w:t>
            </w:r>
            <w:r>
              <w:rPr>
                <w:rFonts w:hint="eastAsia" w:eastAsia="宋体"/>
                <w:bCs w:val="0"/>
                <w:color w:val="000000" w:themeColor="text1"/>
                <w14:textFill>
                  <w14:solidFill>
                    <w14:schemeClr w14:val="tx1"/>
                  </w14:solidFill>
                </w14:textFill>
              </w:rPr>
              <w:t>kg/h，</w:t>
            </w:r>
            <w:r>
              <w:rPr>
                <w:rFonts w:hint="eastAsia" w:eastAsia="宋体"/>
                <w:bCs w:val="0"/>
                <w:color w:val="000000" w:themeColor="text1"/>
                <w:lang w:val="en-US" w:eastAsia="zh-CN"/>
                <w14:textFill>
                  <w14:solidFill>
                    <w14:schemeClr w14:val="tx1"/>
                  </w14:solidFill>
                </w14:textFill>
              </w:rPr>
              <w:t>通过加強车间通风措施，符合广东省《大气污染物排放限值》（DB4427-2001）第二时段二级标准无组织排放监控浓度限值要求。</w:t>
            </w:r>
          </w:p>
          <w:p>
            <w:pPr>
              <w:spacing w:line="360" w:lineRule="auto"/>
              <w:ind w:firstLine="480" w:firstLineChars="200"/>
              <w:rPr>
                <w:rFonts w:hint="default" w:ascii="Times New Roman" w:hAnsi="Times New Roman" w:eastAsia="宋体" w:cs="Times New Roman"/>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项目运输车辆</w:t>
            </w:r>
            <w:r>
              <w:rPr>
                <w:rFonts w:hint="default" w:ascii="Times New Roman" w:hAnsi="Times New Roman" w:eastAsia="宋体" w:cs="Times New Roman"/>
                <w:color w:val="000000" w:themeColor="text1"/>
                <w:spacing w:val="6"/>
                <w:sz w:val="24"/>
                <w:szCs w:val="24"/>
                <w14:textFill>
                  <w14:solidFill>
                    <w14:schemeClr w14:val="tx1"/>
                  </w14:solidFill>
                </w14:textFill>
              </w:rPr>
              <w:t>使用</w:t>
            </w:r>
            <w:r>
              <w:rPr>
                <w:rFonts w:hint="default" w:ascii="Times New Roman" w:hAnsi="Times New Roman" w:eastAsia="宋体" w:cs="Times New Roman"/>
                <w:bCs/>
                <w:color w:val="000000" w:themeColor="text1"/>
                <w:sz w:val="24"/>
                <w:szCs w:val="24"/>
                <w14:textFill>
                  <w14:solidFill>
                    <w14:schemeClr w14:val="tx1"/>
                  </w14:solidFill>
                </w14:textFill>
              </w:rPr>
              <w:t>轻质柴油，</w:t>
            </w:r>
            <w:r>
              <w:rPr>
                <w:rFonts w:hint="default" w:ascii="Times New Roman" w:hAnsi="Times New Roman" w:eastAsia="宋体" w:cs="Times New Roman"/>
                <w:color w:val="000000" w:themeColor="text1"/>
                <w:kern w:val="0"/>
                <w:sz w:val="24"/>
                <w:szCs w:val="24"/>
                <w14:textFill>
                  <w14:solidFill>
                    <w14:schemeClr w14:val="tx1"/>
                  </w14:solidFill>
                </w14:textFill>
              </w:rPr>
              <w:t>由于</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项目运输车辆</w:t>
            </w:r>
            <w:r>
              <w:rPr>
                <w:rFonts w:hint="default" w:ascii="Times New Roman" w:hAnsi="Times New Roman" w:eastAsia="宋体" w:cs="Times New Roman"/>
                <w:color w:val="000000" w:themeColor="text1"/>
                <w:kern w:val="0"/>
                <w:sz w:val="24"/>
                <w:szCs w:val="24"/>
                <w14:textFill>
                  <w14:solidFill>
                    <w14:schemeClr w14:val="tx1"/>
                  </w14:solidFill>
                </w14:textFill>
              </w:rPr>
              <w:t>数量较少，</w:t>
            </w:r>
            <w:r>
              <w:rPr>
                <w:rFonts w:hint="eastAsia" w:cs="Times New Roman"/>
                <w:color w:val="000000" w:themeColor="text1"/>
                <w:kern w:val="0"/>
                <w:sz w:val="24"/>
                <w:szCs w:val="24"/>
                <w:lang w:eastAsia="zh-CN"/>
                <w14:textFill>
                  <w14:solidFill>
                    <w14:schemeClr w14:val="tx1"/>
                  </w14:solidFill>
                </w14:textFill>
              </w:rPr>
              <w:t>车辆尾气</w:t>
            </w:r>
            <w:r>
              <w:rPr>
                <w:rFonts w:hint="default" w:ascii="Times New Roman" w:hAnsi="Times New Roman" w:eastAsia="宋体" w:cs="Times New Roman"/>
                <w:color w:val="000000" w:themeColor="text1"/>
                <w:kern w:val="0"/>
                <w:sz w:val="24"/>
                <w:szCs w:val="24"/>
                <w:lang w:eastAsia="zh-CN"/>
                <w14:textFill>
                  <w14:solidFill>
                    <w14:schemeClr w14:val="tx1"/>
                  </w14:solidFill>
                </w14:textFill>
              </w:rPr>
              <w:t>污染物产排量较小，对当地环境影响很小</w:t>
            </w:r>
            <w:r>
              <w:rPr>
                <w:rFonts w:hint="eastAsia" w:cs="Times New Roman"/>
                <w:color w:val="000000" w:themeColor="text1"/>
                <w:kern w:val="0"/>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草酸在100℃时开始升华，125℃时迅速升华，本项目在酸洗反应过程中，由于酸洗反应罐为密闭状态，反应8小时后酸洗反应罐内的草酸全部回收在酸液回收罐内，且酸洗过程中最高温度为80℃，所以草酸酸雾产生量较少，对环境影响较小。</w:t>
            </w:r>
          </w:p>
          <w:p>
            <w:pPr>
              <w:pStyle w:val="143"/>
              <w:ind w:firstLine="480"/>
              <w:rPr>
                <w:rFonts w:hint="eastAsia" w:eastAsia="宋体"/>
                <w:bCs w:val="0"/>
                <w:color w:val="000000" w:themeColor="text1"/>
                <w14:textFill>
                  <w14:solidFill>
                    <w14:schemeClr w14:val="tx1"/>
                  </w14:solidFill>
                </w14:textFill>
              </w:rPr>
            </w:pPr>
            <w:r>
              <w:rPr>
                <w:rFonts w:hint="eastAsia" w:ascii="Times New Roman" w:hAnsi="Times New Roman" w:eastAsia="宋体" w:cs="Times New Roman"/>
                <w:bCs/>
                <w:snapToGrid w:val="0"/>
                <w:color w:val="000000" w:themeColor="text1"/>
                <w:kern w:val="2"/>
                <w:sz w:val="24"/>
                <w:szCs w:val="22"/>
                <w:u w:val="none"/>
                <w:lang w:val="en-US" w:eastAsia="zh-CN" w:bidi="ar-SA"/>
                <w14:textFill>
                  <w14:solidFill>
                    <w14:schemeClr w14:val="tx1"/>
                  </w14:solidFill>
                </w14:textFill>
              </w:rPr>
              <w:t>综上，本项目无组织排放废气量较少，</w:t>
            </w:r>
            <w:r>
              <w:rPr>
                <w:rFonts w:hint="eastAsia"/>
                <w:bCs w:val="0"/>
                <w:color w:val="000000" w:themeColor="text1"/>
                <w14:textFill>
                  <w14:solidFill>
                    <w14:schemeClr w14:val="tx1"/>
                  </w14:solidFill>
                </w14:textFill>
              </w:rPr>
              <w:t>对周围环境空气影响不大。</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4"/>
                <w:szCs w:val="24"/>
                <w:lang w:val="en-US" w:eastAsia="zh-CN" w:bidi="ar-SA"/>
                <w14:textFill>
                  <w14:solidFill>
                    <w14:schemeClr w14:val="tx1"/>
                  </w14:solidFill>
                </w14:textFill>
              </w:rPr>
              <w:t>8.2.1.8大气环境影响评价结论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snapToGrid w:val="0"/>
                <w:color w:val="000000" w:themeColor="text1"/>
                <w:spacing w:val="10"/>
                <w:kern w:val="2"/>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b w:val="0"/>
                <w:bCs w:val="0"/>
                <w:snapToGrid w:val="0"/>
                <w:color w:val="000000" w:themeColor="text1"/>
                <w:kern w:val="2"/>
                <w:sz w:val="24"/>
                <w:szCs w:val="24"/>
                <w:lang w:val="en-US" w:eastAsia="zh-CN" w:bidi="ar-SA"/>
                <w14:textFill>
                  <w14:solidFill>
                    <w14:schemeClr w14:val="tx1"/>
                  </w14:solidFill>
                </w14:textFill>
              </w:rPr>
              <w:t>本项目运营期产生的</w:t>
            </w:r>
            <w:r>
              <w:rPr>
                <w:rFonts w:hint="eastAsia" w:ascii="Times New Roman" w:hAnsi="Times New Roman" w:eastAsia="宋体" w:cs="Times New Roman"/>
                <w:b w:val="0"/>
                <w:bCs w:val="0"/>
                <w:snapToGrid w:val="0"/>
                <w:color w:val="000000" w:themeColor="text1"/>
                <w:kern w:val="2"/>
                <w:sz w:val="24"/>
                <w:szCs w:val="24"/>
                <w:lang w:val="en-US" w:eastAsia="zh-CN" w:bidi="ar-SA"/>
                <w14:textFill>
                  <w14:solidFill>
                    <w14:schemeClr w14:val="tx1"/>
                  </w14:solidFill>
                </w14:textFill>
              </w:rPr>
              <w:t>废气</w:t>
            </w:r>
            <w:r>
              <w:rPr>
                <w:rFonts w:hint="default" w:ascii="Times New Roman" w:hAnsi="Times New Roman" w:eastAsia="宋体" w:cs="Times New Roman"/>
                <w:b w:val="0"/>
                <w:bCs w:val="0"/>
                <w:snapToGrid w:val="0"/>
                <w:color w:val="000000" w:themeColor="text1"/>
                <w:kern w:val="2"/>
                <w:sz w:val="24"/>
                <w:szCs w:val="24"/>
                <w:lang w:val="en-US" w:eastAsia="zh-CN" w:bidi="ar-SA"/>
                <w14:textFill>
                  <w14:solidFill>
                    <w14:schemeClr w14:val="tx1"/>
                  </w14:solidFill>
                </w14:textFill>
              </w:rPr>
              <w:t>在正常工况下，有组织及无组织排放对周边环境影响在可控范围，但需杜绝事故性排放。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8.2.2营运期水环境影响预测及评价</w:t>
            </w:r>
          </w:p>
          <w:p>
            <w:pPr>
              <w:pageBreakBefore w:val="0"/>
              <w:kinsoku/>
              <w:wordWrap/>
              <w:overflowPunct/>
              <w:topLinePunct w:val="0"/>
              <w:bidi w:val="0"/>
              <w:adjustRightInd/>
              <w:snapToGrid/>
              <w:spacing w:line="360" w:lineRule="auto"/>
              <w:ind w:firstLine="482"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8"/>
                <w14:textFill>
                  <w14:solidFill>
                    <w14:schemeClr w14:val="tx1"/>
                  </w14:solidFill>
                </w14:textFill>
              </w:rPr>
              <w:t>8.2.2.1</w:t>
            </w:r>
            <w:r>
              <w:rPr>
                <w:rFonts w:hint="default" w:ascii="Times New Roman" w:hAnsi="Times New Roman" w:eastAsia="宋体" w:cs="Times New Roman"/>
                <w:b/>
                <w:bCs/>
                <w:color w:val="000000" w:themeColor="text1"/>
                <w:sz w:val="24"/>
                <w:szCs w:val="28"/>
                <w:lang w:eastAsia="zh-CN"/>
                <w14:textFill>
                  <w14:solidFill>
                    <w14:schemeClr w14:val="tx1"/>
                  </w14:solidFill>
                </w14:textFill>
              </w:rPr>
              <w:t>地表水</w:t>
            </w:r>
            <w:r>
              <w:rPr>
                <w:rFonts w:hint="default" w:ascii="Times New Roman" w:hAnsi="Times New Roman" w:eastAsia="宋体" w:cs="Times New Roman"/>
                <w:b/>
                <w:bCs/>
                <w:color w:val="000000" w:themeColor="text1"/>
                <w:sz w:val="24"/>
                <w:highlight w:val="none"/>
                <w:u w:val="none"/>
                <w:lang w:eastAsia="zh-CN"/>
                <w14:textFill>
                  <w14:solidFill>
                    <w14:schemeClr w14:val="tx1"/>
                  </w14:solidFill>
                </w14:textFill>
              </w:rPr>
              <w:t>评价等级判定</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洗砂废水经处理后循环使用，</w:t>
            </w: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故本项目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没有生产废水排放，</w:t>
            </w:r>
            <w:r>
              <w:rPr>
                <w:rFonts w:hint="default" w:ascii="Times New Roman" w:hAnsi="Times New Roman" w:eastAsia="宋体" w:cs="Times New Roman"/>
                <w:color w:val="000000" w:themeColor="text1"/>
                <w:sz w:val="24"/>
                <w:szCs w:val="24"/>
                <w:highlight w:val="none"/>
                <w14:textFill>
                  <w14:solidFill>
                    <w14:schemeClr w14:val="tx1"/>
                  </w14:solidFill>
                </w14:textFill>
              </w:rPr>
              <w:t>不会对周围水环境产生不良影响</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snapToGrid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外排废水比较少，约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10.74</w:t>
            </w:r>
            <w:r>
              <w:rPr>
                <w:rFonts w:hint="default" w:ascii="Times New Roman" w:hAnsi="Times New Roman" w:eastAsia="宋体" w:cs="Times New Roman"/>
                <w:color w:val="000000" w:themeColor="text1"/>
                <w:spacing w:val="-4"/>
                <w:sz w:val="24"/>
                <w:szCs w:val="28"/>
                <w:highlight w:val="none"/>
                <w14:textFill>
                  <w14:solidFill>
                    <w14:schemeClr w14:val="tx1"/>
                  </w14:solidFill>
                </w14:textFill>
              </w:rPr>
              <w:t>m³</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3222</w:t>
            </w:r>
            <w:r>
              <w:rPr>
                <w:rFonts w:hint="default" w:ascii="Times New Roman" w:hAnsi="Times New Roman" w:eastAsia="宋体" w:cs="Times New Roman"/>
                <w:color w:val="000000" w:themeColor="text1"/>
                <w:spacing w:val="-4"/>
                <w:sz w:val="24"/>
                <w:szCs w:val="28"/>
                <w:highlight w:val="none"/>
                <w14:textFill>
                  <w14:solidFill>
                    <w14:schemeClr w14:val="tx1"/>
                  </w14:solidFill>
                </w14:textFill>
              </w:rPr>
              <w:t>m³/a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），生活污水经一体化污水处理设施处理达到广东省地方标准《水污染物排放限值》(DB44/26-2001)中第二时段一级标准后排到潖江；生产废水经</w:t>
            </w:r>
            <w:r>
              <w:rPr>
                <w:rFonts w:hint="eastAsia" w:cs="Times New Roman"/>
                <w:color w:val="000000" w:themeColor="text1"/>
                <w:sz w:val="24"/>
                <w:szCs w:val="24"/>
                <w:highlight w:val="none"/>
                <w:lang w:eastAsia="zh-CN"/>
                <w14:textFill>
                  <w14:solidFill>
                    <w14:schemeClr w14:val="tx1"/>
                  </w14:solidFill>
                </w14:textFill>
              </w:rPr>
              <w:t>生产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废水处理设施处理达到广东省地方标准《水污染物排放限值》(DB44/26-2001)中第二时段一级标准后排到潖江。</w:t>
            </w:r>
          </w:p>
          <w:p>
            <w:pPr>
              <w:pageBreakBefore w:val="0"/>
              <w:kinsoku/>
              <w:wordWrap/>
              <w:overflowPunct/>
              <w:topLinePunct w:val="0"/>
              <w:bidi w:val="0"/>
              <w:adjustRightInd/>
              <w:snapToGrid/>
              <w:spacing w:line="360" w:lineRule="auto"/>
              <w:ind w:firstLine="480"/>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根据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《环境影响评价技术导则</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地表水环境》（HJ2.3-2018），本项目</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废（污）水排放</w:t>
            </w:r>
            <w:r>
              <w:rPr>
                <w:rFonts w:hint="default" w:ascii="Times New Roman" w:hAnsi="Times New Roman" w:eastAsia="宋体" w:cs="Times New Roman"/>
                <w:color w:val="000000" w:themeColor="text1"/>
                <w:sz w:val="24"/>
                <w:highlight w:val="none"/>
                <w:u w:val="none"/>
                <w14:textFill>
                  <w14:solidFill>
                    <w14:schemeClr w14:val="tx1"/>
                  </w14:solidFill>
                </w14:textFill>
              </w:rPr>
              <w:t>量</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u w:val="none"/>
                <w14:textFill>
                  <w14:solidFill>
                    <w14:schemeClr w14:val="tx1"/>
                  </w14:solidFill>
                </w14:textFill>
              </w:rPr>
              <w:t>为</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10.74</w:t>
            </w:r>
            <w:r>
              <w:rPr>
                <w:rFonts w:hint="default" w:ascii="Times New Roman" w:hAnsi="Times New Roman" w:eastAsia="宋体" w:cs="Times New Roman"/>
                <w:color w:val="000000" w:themeColor="text1"/>
                <w:sz w:val="24"/>
                <w:highlight w:val="none"/>
                <w:u w:val="none"/>
                <w14:textFill>
                  <w14:solidFill>
                    <w14:schemeClr w14:val="tx1"/>
                  </w14:solidFill>
                </w14:textFill>
              </w:rPr>
              <w:t>m</w:t>
            </w:r>
            <w:r>
              <w:rPr>
                <w:rFonts w:hint="default" w:ascii="Times New Roman" w:hAnsi="Times New Roman" w:eastAsia="宋体" w:cs="Times New Roman"/>
                <w:color w:val="000000" w:themeColor="text1"/>
                <w:sz w:val="24"/>
                <w:highlight w:val="none"/>
                <w:u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u w:val="none"/>
                <w14:textFill>
                  <w14:solidFill>
                    <w14:schemeClr w14:val="tx1"/>
                  </w14:solidFill>
                </w14:textFill>
              </w:rPr>
              <w:t>/d，</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水污染物当量数</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W最大值为396.25（无量纲），即</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Q&lt;200m</w:t>
            </w:r>
            <w:r>
              <w:rPr>
                <w:rFonts w:hint="default" w:ascii="Times New Roman" w:hAnsi="Times New Roman" w:eastAsia="宋体" w:cs="Times New Roman"/>
                <w:color w:val="000000" w:themeColor="text1"/>
                <w:sz w:val="24"/>
                <w:highlight w:val="none"/>
                <w:u w:val="none"/>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/d且W&lt;6000，</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故本项目</w:t>
            </w:r>
            <w:r>
              <w:rPr>
                <w:rFonts w:hint="default" w:ascii="Times New Roman" w:hAnsi="Times New Roman" w:eastAsia="宋体" w:cs="Times New Roman"/>
                <w:color w:val="000000" w:themeColor="text1"/>
                <w:sz w:val="24"/>
                <w:highlight w:val="none"/>
                <w:u w:val="none"/>
                <w:lang w:eastAsia="zh-CN"/>
                <w14:textFill>
                  <w14:solidFill>
                    <w14:schemeClr w14:val="tx1"/>
                  </w14:solidFill>
                </w14:textFill>
              </w:rPr>
              <w:t>地表水影响评价等级为三级</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A。</w:t>
            </w:r>
          </w:p>
          <w:p>
            <w:pPr>
              <w:pStyle w:val="2"/>
              <w:jc w:val="cente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表8.2-9 水污染物污染当量值统计表</w:t>
            </w:r>
          </w:p>
          <w:tbl>
            <w:tblPr>
              <w:tblStyle w:val="27"/>
              <w:tblW w:w="923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240"/>
              <w:gridCol w:w="1267"/>
              <w:gridCol w:w="1920"/>
              <w:gridCol w:w="2120"/>
              <w:gridCol w:w="21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7" w:hRule="atLeast"/>
              </w:trPr>
              <w:tc>
                <w:tcPr>
                  <w:tcW w:w="566"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序号</w:t>
                  </w:r>
                </w:p>
              </w:tc>
              <w:tc>
                <w:tcPr>
                  <w:tcW w:w="124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污染物名称</w:t>
                  </w:r>
                </w:p>
              </w:tc>
              <w:tc>
                <w:tcPr>
                  <w:tcW w:w="1267"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污染当量值（kg）</w:t>
                  </w:r>
                </w:p>
              </w:tc>
              <w:tc>
                <w:tcPr>
                  <w:tcW w:w="192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本项目污染物排放量（kg）</w:t>
                  </w:r>
                </w:p>
              </w:tc>
              <w:tc>
                <w:tcPr>
                  <w:tcW w:w="212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本项目污染物的污染当量值（无量纲）</w:t>
                  </w:r>
                </w:p>
              </w:tc>
              <w:tc>
                <w:tcPr>
                  <w:tcW w:w="2121"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66"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240" w:type="dxa"/>
                  <w:tcBorders>
                    <w:tl2br w:val="nil"/>
                    <w:tr2bl w:val="nil"/>
                  </w:tcBorders>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CODc</w:t>
                  </w:r>
                  <w:r>
                    <w:rPr>
                      <w:rFonts w:hint="default" w:ascii="Times New Roman" w:hAnsi="Times New Roman" w:eastAsia="宋体" w:cs="Times New Roman"/>
                      <w:b w:val="0"/>
                      <w:color w:val="000000" w:themeColor="text1"/>
                      <w:szCs w:val="21"/>
                      <w:highlight w:val="none"/>
                      <w:vertAlign w:val="subscript"/>
                      <w14:textFill>
                        <w14:solidFill>
                          <w14:schemeClr w14:val="tx1"/>
                        </w14:solidFill>
                      </w14:textFill>
                    </w:rPr>
                    <w:t>r</w:t>
                  </w:r>
                </w:p>
              </w:tc>
              <w:tc>
                <w:tcPr>
                  <w:tcW w:w="1267"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w:t>
                  </w:r>
                </w:p>
              </w:tc>
              <w:tc>
                <w:tcPr>
                  <w:tcW w:w="192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290</w:t>
                  </w:r>
                </w:p>
              </w:tc>
              <w:tc>
                <w:tcPr>
                  <w:tcW w:w="2120" w:type="dxa"/>
                  <w:tcBorders>
                    <w:tl2br w:val="nil"/>
                    <w:tr2bl w:val="nil"/>
                  </w:tcBorders>
                  <w:vAlign w:val="top"/>
                </w:tcPr>
                <w:p>
                  <w:pPr>
                    <w:keepNext w:val="0"/>
                    <w:keepLines w:val="0"/>
                    <w:widowControl/>
                    <w:suppressLineNumbers w:val="0"/>
                    <w:jc w:val="center"/>
                    <w:textAlignment w:val="top"/>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290</w:t>
                  </w:r>
                </w:p>
              </w:tc>
              <w:tc>
                <w:tcPr>
                  <w:tcW w:w="2121"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66"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1240" w:type="dxa"/>
                  <w:tcBorders>
                    <w:tl2br w:val="nil"/>
                    <w:tr2bl w:val="nil"/>
                  </w:tcBorders>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BOD</w:t>
                  </w:r>
                  <w:r>
                    <w:rPr>
                      <w:rFonts w:hint="default" w:ascii="Times New Roman" w:hAnsi="Times New Roman" w:eastAsia="宋体" w:cs="Times New Roman"/>
                      <w:b w:val="0"/>
                      <w:color w:val="000000" w:themeColor="text1"/>
                      <w:szCs w:val="21"/>
                      <w:highlight w:val="none"/>
                      <w:vertAlign w:val="subscript"/>
                      <w14:textFill>
                        <w14:solidFill>
                          <w14:schemeClr w14:val="tx1"/>
                        </w14:solidFill>
                      </w14:textFill>
                    </w:rPr>
                    <w:t>5</w:t>
                  </w:r>
                </w:p>
              </w:tc>
              <w:tc>
                <w:tcPr>
                  <w:tcW w:w="1267"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0.5</w:t>
                  </w:r>
                </w:p>
              </w:tc>
              <w:tc>
                <w:tcPr>
                  <w:tcW w:w="192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9</w:t>
                  </w:r>
                </w:p>
              </w:tc>
              <w:tc>
                <w:tcPr>
                  <w:tcW w:w="2120" w:type="dxa"/>
                  <w:tcBorders>
                    <w:tl2br w:val="nil"/>
                    <w:tr2bl w:val="nil"/>
                  </w:tcBorders>
                  <w:vAlign w:val="top"/>
                </w:tcPr>
                <w:p>
                  <w:pPr>
                    <w:keepNext w:val="0"/>
                    <w:keepLines w:val="0"/>
                    <w:widowControl/>
                    <w:suppressLineNumbers w:val="0"/>
                    <w:jc w:val="center"/>
                    <w:textAlignment w:val="top"/>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w:t>
                  </w:r>
                </w:p>
              </w:tc>
              <w:tc>
                <w:tcPr>
                  <w:tcW w:w="2121"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66"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3</w:t>
                  </w:r>
                </w:p>
              </w:tc>
              <w:tc>
                <w:tcPr>
                  <w:tcW w:w="1240" w:type="dxa"/>
                  <w:tcBorders>
                    <w:tl2br w:val="nil"/>
                    <w:tr2bl w:val="nil"/>
                  </w:tcBorders>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SS</w:t>
                  </w:r>
                </w:p>
              </w:tc>
              <w:tc>
                <w:tcPr>
                  <w:tcW w:w="1267"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192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193</w:t>
                  </w:r>
                </w:p>
              </w:tc>
              <w:tc>
                <w:tcPr>
                  <w:tcW w:w="2120" w:type="dxa"/>
                  <w:tcBorders>
                    <w:tl2br w:val="nil"/>
                    <w:tr2bl w:val="nil"/>
                  </w:tcBorders>
                  <w:vAlign w:val="top"/>
                </w:tcPr>
                <w:p>
                  <w:pPr>
                    <w:keepNext w:val="0"/>
                    <w:keepLines w:val="0"/>
                    <w:widowControl/>
                    <w:suppressLineNumbers w:val="0"/>
                    <w:jc w:val="center"/>
                    <w:textAlignment w:val="top"/>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48.25</w:t>
                  </w:r>
                </w:p>
              </w:tc>
              <w:tc>
                <w:tcPr>
                  <w:tcW w:w="2121"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66"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1240" w:type="dxa"/>
                  <w:tcBorders>
                    <w:tl2br w:val="nil"/>
                    <w:tr2bl w:val="nil"/>
                  </w:tcBorders>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NH</w:t>
                  </w:r>
                  <w:r>
                    <w:rPr>
                      <w:rFonts w:hint="default" w:ascii="Times New Roman" w:hAnsi="Times New Roman" w:eastAsia="宋体" w:cs="Times New Roman"/>
                      <w:b w:val="0"/>
                      <w:color w:val="000000" w:themeColor="text1"/>
                      <w:szCs w:val="21"/>
                      <w:highlight w:val="none"/>
                      <w:vertAlign w:val="subscript"/>
                      <w14:textFill>
                        <w14:solidFill>
                          <w14:schemeClr w14:val="tx1"/>
                        </w14:solidFill>
                      </w14:textFill>
                    </w:rPr>
                    <w:t>3</w:t>
                  </w:r>
                  <w:r>
                    <w:rPr>
                      <w:rFonts w:hint="default" w:ascii="Times New Roman" w:hAnsi="Times New Roman" w:eastAsia="宋体" w:cs="Times New Roman"/>
                      <w:b w:val="0"/>
                      <w:color w:val="000000" w:themeColor="text1"/>
                      <w:szCs w:val="21"/>
                      <w:highlight w:val="none"/>
                      <w14:textFill>
                        <w14:solidFill>
                          <w14:schemeClr w14:val="tx1"/>
                        </w14:solidFill>
                      </w14:textFill>
                    </w:rPr>
                    <w:t>-N</w:t>
                  </w:r>
                </w:p>
              </w:tc>
              <w:tc>
                <w:tcPr>
                  <w:tcW w:w="1267"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0.8</w:t>
                  </w:r>
                </w:p>
              </w:tc>
              <w:tc>
                <w:tcPr>
                  <w:tcW w:w="192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2120" w:type="dxa"/>
                  <w:tcBorders>
                    <w:tl2br w:val="nil"/>
                    <w:tr2bl w:val="nil"/>
                  </w:tcBorders>
                  <w:vAlign w:val="top"/>
                </w:tcPr>
                <w:p>
                  <w:pPr>
                    <w:keepNext w:val="0"/>
                    <w:keepLines w:val="0"/>
                    <w:widowControl/>
                    <w:suppressLineNumbers w:val="0"/>
                    <w:jc w:val="center"/>
                    <w:textAlignment w:val="top"/>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5</w:t>
                  </w:r>
                </w:p>
              </w:tc>
              <w:tc>
                <w:tcPr>
                  <w:tcW w:w="2121"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66"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5</w:t>
                  </w:r>
                </w:p>
              </w:tc>
              <w:tc>
                <w:tcPr>
                  <w:tcW w:w="1240" w:type="dxa"/>
                  <w:tcBorders>
                    <w:tl2br w:val="nil"/>
                    <w:tr2bl w:val="nil"/>
                  </w:tcBorders>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lang w:eastAsia="zh-CN"/>
                      <w14:textFill>
                        <w14:solidFill>
                          <w14:schemeClr w14:val="tx1"/>
                        </w14:solidFill>
                      </w14:textFill>
                    </w:rPr>
                    <w:t>动植物油</w:t>
                  </w:r>
                </w:p>
              </w:tc>
              <w:tc>
                <w:tcPr>
                  <w:tcW w:w="1267"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0.16</w:t>
                  </w:r>
                </w:p>
              </w:tc>
              <w:tc>
                <w:tcPr>
                  <w:tcW w:w="192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4</w:t>
                  </w:r>
                </w:p>
              </w:tc>
              <w:tc>
                <w:tcPr>
                  <w:tcW w:w="2120" w:type="dxa"/>
                  <w:tcBorders>
                    <w:tl2br w:val="nil"/>
                    <w:tr2bl w:val="nil"/>
                  </w:tcBorders>
                  <w:vAlign w:val="top"/>
                </w:tcPr>
                <w:p>
                  <w:pPr>
                    <w:keepNext w:val="0"/>
                    <w:keepLines w:val="0"/>
                    <w:widowControl/>
                    <w:suppressLineNumbers w:val="0"/>
                    <w:jc w:val="center"/>
                    <w:textAlignment w:val="top"/>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25</w:t>
                  </w:r>
                </w:p>
              </w:tc>
              <w:tc>
                <w:tcPr>
                  <w:tcW w:w="2121"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66"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6</w:t>
                  </w:r>
                </w:p>
              </w:tc>
              <w:tc>
                <w:tcPr>
                  <w:tcW w:w="1240" w:type="dxa"/>
                  <w:tcBorders>
                    <w:tl2br w:val="nil"/>
                    <w:tr2bl w:val="nil"/>
                  </w:tcBorders>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lang w:val="en-US" w:eastAsia="zh-CN"/>
                      <w14:textFill>
                        <w14:solidFill>
                          <w14:schemeClr w14:val="tx1"/>
                        </w14:solidFill>
                      </w14:textFill>
                    </w:rPr>
                    <w:t>LAS</w:t>
                  </w:r>
                </w:p>
              </w:tc>
              <w:tc>
                <w:tcPr>
                  <w:tcW w:w="1267"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0.2</w:t>
                  </w:r>
                </w:p>
              </w:tc>
              <w:tc>
                <w:tcPr>
                  <w:tcW w:w="192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2</w:t>
                  </w:r>
                </w:p>
              </w:tc>
              <w:tc>
                <w:tcPr>
                  <w:tcW w:w="2120" w:type="dxa"/>
                  <w:tcBorders>
                    <w:tl2br w:val="nil"/>
                    <w:tr2bl w:val="nil"/>
                  </w:tcBorders>
                  <w:vAlign w:val="top"/>
                </w:tcPr>
                <w:p>
                  <w:pPr>
                    <w:keepNext w:val="0"/>
                    <w:keepLines w:val="0"/>
                    <w:widowControl/>
                    <w:suppressLineNumbers w:val="0"/>
                    <w:jc w:val="center"/>
                    <w:textAlignment w:val="top"/>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w:t>
                  </w:r>
                </w:p>
              </w:tc>
              <w:tc>
                <w:tcPr>
                  <w:tcW w:w="2121"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566"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7</w:t>
                  </w:r>
                </w:p>
              </w:tc>
              <w:tc>
                <w:tcPr>
                  <w:tcW w:w="124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合计</w:t>
                  </w:r>
                </w:p>
              </w:tc>
              <w:tc>
                <w:tcPr>
                  <w:tcW w:w="1267"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1920"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c>
                <w:tcPr>
                  <w:tcW w:w="2120" w:type="dxa"/>
                  <w:tcBorders>
                    <w:tl2br w:val="nil"/>
                    <w:tr2bl w:val="nil"/>
                  </w:tcBorders>
                  <w:vAlign w:val="top"/>
                </w:tcPr>
                <w:p>
                  <w:pPr>
                    <w:keepNext w:val="0"/>
                    <w:keepLines w:val="0"/>
                    <w:widowControl/>
                    <w:suppressLineNumbers w:val="0"/>
                    <w:jc w:val="center"/>
                    <w:textAlignment w:val="top"/>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396.25</w:t>
                  </w:r>
                </w:p>
              </w:tc>
              <w:tc>
                <w:tcPr>
                  <w:tcW w:w="2121"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p>
              </w:tc>
            </w:tr>
          </w:tbl>
          <w:p>
            <w:pPr>
              <w:pageBreakBefore w:val="0"/>
              <w:kinsoku/>
              <w:wordWrap/>
              <w:overflowPunct/>
              <w:topLinePunct w:val="0"/>
              <w:bidi w:val="0"/>
              <w:adjustRightInd/>
              <w:snapToGrid/>
              <w:spacing w:line="360" w:lineRule="auto"/>
              <w:ind w:firstLine="482" w:firstLineChars="200"/>
              <w:rPr>
                <w:rFonts w:hint="default" w:ascii="Times New Roman" w:hAnsi="Times New Roman" w:eastAsia="宋体" w:cs="Times New Roman"/>
                <w:i w:val="0"/>
                <w:iCs w:val="0"/>
                <w:color w:val="000000" w:themeColor="text1"/>
                <w:sz w:val="24"/>
                <w:highlight w:val="none"/>
                <w:u w:val="none"/>
                <w:lang w:val="en-US" w:eastAsia="zh-CN"/>
                <w14:textFill>
                  <w14:solidFill>
                    <w14:schemeClr w14:val="tx1"/>
                  </w14:solidFill>
                </w14:textFill>
              </w:rPr>
            </w:pPr>
            <w:bookmarkStart w:id="20" w:name="_Toc918141"/>
            <w:r>
              <w:rPr>
                <w:rFonts w:hint="default" w:ascii="Times New Roman" w:hAnsi="Times New Roman" w:eastAsia="宋体" w:cs="Times New Roman"/>
                <w:b/>
                <w:bCs/>
                <w:color w:val="000000" w:themeColor="text1"/>
                <w:sz w:val="24"/>
                <w:szCs w:val="28"/>
                <w14:textFill>
                  <w14:solidFill>
                    <w14:schemeClr w14:val="tx1"/>
                  </w14:solidFill>
                </w14:textFill>
              </w:rPr>
              <w:t>8.2.2.</w:t>
            </w:r>
            <w:r>
              <w:rPr>
                <w:rFonts w:hint="default" w:ascii="Times New Roman" w:hAnsi="Times New Roman" w:eastAsia="宋体" w:cs="Times New Roman"/>
                <w:b/>
                <w:bCs/>
                <w:color w:val="000000" w:themeColor="text1"/>
                <w:sz w:val="24"/>
                <w:szCs w:val="28"/>
                <w:lang w:val="en-US" w:eastAsia="zh-CN"/>
                <w14:textFill>
                  <w14:solidFill>
                    <w14:schemeClr w14:val="tx1"/>
                  </w14:solidFill>
                </w14:textFill>
              </w:rPr>
              <w:t>2</w:t>
            </w:r>
            <w:r>
              <w:rPr>
                <w:rFonts w:hint="default" w:ascii="Times New Roman" w:hAnsi="Times New Roman" w:eastAsia="宋体" w:cs="Times New Roman"/>
                <w:b/>
                <w:bCs/>
                <w:i w:val="0"/>
                <w:iCs w:val="0"/>
                <w:color w:val="000000" w:themeColor="text1"/>
                <w:sz w:val="24"/>
                <w:highlight w:val="none"/>
                <w:u w:val="none"/>
                <w:lang w:val="en-US" w:eastAsia="zh-CN"/>
                <w14:textFill>
                  <w14:solidFill>
                    <w14:schemeClr w14:val="tx1"/>
                  </w14:solidFill>
                </w14:textFill>
              </w:rPr>
              <w:t>地表水环境影响预测</w:t>
            </w:r>
            <w:bookmarkEnd w:id="20"/>
          </w:p>
          <w:p>
            <w:pPr>
              <w:pageBreakBefore w:val="0"/>
              <w:kinsoku/>
              <w:wordWrap/>
              <w:overflowPunct/>
              <w:topLinePunct w:val="0"/>
              <w:bidi w:val="0"/>
              <w:adjustRightInd/>
              <w:snapToGrid/>
              <w:spacing w:line="360" w:lineRule="auto"/>
              <w:ind w:firstLine="482" w:firstLineChars="200"/>
              <w:rPr>
                <w:rFonts w:hint="default" w:ascii="Times New Roman" w:hAnsi="Times New Roman" w:eastAsia="宋体" w:cs="Times New Roman"/>
                <w:b/>
                <w:bCs/>
                <w:i w:val="0"/>
                <w:iCs w:val="0"/>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i w:val="0"/>
                <w:iCs w:val="0"/>
                <w:color w:val="000000" w:themeColor="text1"/>
                <w:sz w:val="24"/>
                <w:highlight w:val="none"/>
                <w:u w:val="none"/>
                <w:lang w:val="en-US" w:eastAsia="zh-CN"/>
                <w14:textFill>
                  <w14:solidFill>
                    <w14:schemeClr w14:val="tx1"/>
                  </w14:solidFill>
                </w14:textFill>
              </w:rPr>
              <w:t>1、预测因子与预测范围</w: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i w:val="0"/>
                <w:iCs w:val="0"/>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sz w:val="24"/>
                <w:highlight w:val="none"/>
                <w:u w:val="none"/>
                <w:lang w:val="en-US" w:eastAsia="zh-CN"/>
                <w14:textFill>
                  <w14:solidFill>
                    <w14:schemeClr w14:val="tx1"/>
                  </w14:solidFill>
                </w14:textFill>
              </w:rPr>
              <w:t>本评价根据《环境影响评价技术导则地表水环境》（HJ/T2.3-2018）的规定以及本项目外排废水特点和受纳水体的水质特征，选择本项目特征污染物COD</w:t>
            </w:r>
            <w:r>
              <w:rPr>
                <w:rFonts w:hint="default" w:ascii="Times New Roman" w:hAnsi="Times New Roman" w:eastAsia="宋体" w:cs="Times New Roman"/>
                <w:i w:val="0"/>
                <w:iCs w:val="0"/>
                <w:color w:val="000000" w:themeColor="text1"/>
                <w:sz w:val="24"/>
                <w:highlight w:val="none"/>
                <w:u w:val="none"/>
                <w:vertAlign w:val="subscript"/>
                <w:lang w:val="en-US" w:eastAsia="zh-CN"/>
                <w14:textFill>
                  <w14:solidFill>
                    <w14:schemeClr w14:val="tx1"/>
                  </w14:solidFill>
                </w14:textFill>
              </w:rPr>
              <w:t>Cr</w:t>
            </w:r>
            <w:r>
              <w:rPr>
                <w:rFonts w:hint="default" w:ascii="Times New Roman" w:hAnsi="Times New Roman" w:eastAsia="宋体" w:cs="Times New Roman"/>
                <w:i w:val="0"/>
                <w:iCs w:val="0"/>
                <w:color w:val="000000" w:themeColor="text1"/>
                <w:sz w:val="24"/>
                <w:highlight w:val="none"/>
                <w:u w:val="none"/>
                <w:lang w:val="en-US" w:eastAsia="zh-CN"/>
                <w14:textFill>
                  <w14:solidFill>
                    <w14:schemeClr w14:val="tx1"/>
                  </w14:solidFill>
                </w14:textFill>
              </w:rPr>
              <w:t>、氨氮作为预测评价因子。本次水环境影响评价范围根据受纳水体情况设为以排污口为起点，至下游500m流域。</w:t>
            </w:r>
          </w:p>
          <w:p>
            <w:pPr>
              <w:pageBreakBefore w:val="0"/>
              <w:kinsoku/>
              <w:wordWrap/>
              <w:overflowPunct/>
              <w:topLinePunct w:val="0"/>
              <w:bidi w:val="0"/>
              <w:adjustRightInd/>
              <w:snapToGrid/>
              <w:spacing w:line="360" w:lineRule="auto"/>
              <w:ind w:firstLine="482" w:firstLineChars="200"/>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2、预测情景</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本项目选择</w:t>
            </w:r>
            <w:r>
              <w:rPr>
                <w:rFonts w:hint="eastAsia" w:cs="Times New Roman"/>
                <w:color w:val="000000" w:themeColor="text1"/>
                <w:sz w:val="24"/>
                <w:highlight w:val="none"/>
                <w:u w:val="none"/>
                <w:lang w:val="en-US" w:eastAsia="zh-CN"/>
                <w14:textFill>
                  <w14:solidFill>
                    <w14:schemeClr w14:val="tx1"/>
                  </w14:solidFill>
                </w14:textFill>
              </w:rPr>
              <w:t>外排废水</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的环评估算值进行预测。根据导则要求，如建设项目具有充足的调节容量，可只预测正常排放对水环境的影响。本项目生活污水排放量为1.44m</w:t>
            </w:r>
            <w:r>
              <w:rPr>
                <w:rFonts w:hint="default" w:ascii="Times New Roman" w:hAnsi="Times New Roman" w:eastAsia="宋体" w:cs="Times New Roman"/>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/d，项目设置的</w:t>
            </w:r>
            <w:r>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t>一体化污水处理</w:t>
            </w:r>
            <w:r>
              <w:rPr>
                <w:rFonts w:hint="default" w:ascii="Times New Roman" w:hAnsi="Times New Roman" w:eastAsia="宋体" w:cs="Times New Roman"/>
                <w:bCs/>
                <w:color w:val="000000" w:themeColor="text1"/>
                <w:sz w:val="24"/>
                <w:highlight w:val="none"/>
                <w:u w:val="none"/>
                <w14:textFill>
                  <w14:solidFill>
                    <w14:schemeClr w14:val="tx1"/>
                  </w14:solidFill>
                </w14:textFill>
              </w:rPr>
              <w:t>设施处理能力为</w:t>
            </w:r>
            <w:r>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4"/>
                <w:highlight w:val="none"/>
                <w:u w:val="none"/>
                <w14:textFill>
                  <w14:solidFill>
                    <w14:schemeClr w14:val="tx1"/>
                  </w14:solidFill>
                </w14:textFill>
              </w:rPr>
              <w:t>m</w:t>
            </w:r>
            <w:r>
              <w:rPr>
                <w:rFonts w:hint="default" w:ascii="Times New Roman" w:hAnsi="Times New Roman" w:eastAsia="宋体" w:cs="Times New Roman"/>
                <w:bCs/>
                <w:color w:val="000000" w:themeColor="text1"/>
                <w:sz w:val="24"/>
                <w:highlight w:val="none"/>
                <w:u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4"/>
                <w:highlight w:val="none"/>
                <w:u w:val="none"/>
                <w14:textFill>
                  <w14:solidFill>
                    <w14:schemeClr w14:val="tx1"/>
                  </w14:solidFill>
                </w14:textFill>
              </w:rPr>
              <w:t>/d</w:t>
            </w:r>
            <w:r>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本项目洗砂废水产生量约为</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62.26</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/h，项目设置处理能力为90</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/h的洗砂废水循环水处理设施，满足本项目洗砂废水回用处理能力要求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项目生产废水产生量约为</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11.62</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/h，项目设置处理能力为20</w:t>
            </w:r>
            <w:r>
              <w:rPr>
                <w:rFonts w:hint="default" w:ascii="Times New Roman" w:hAnsi="Times New Roman" w:eastAsia="宋体" w:cs="Times New Roman"/>
                <w:bCs/>
                <w:color w:val="000000" w:themeColor="text1"/>
                <w:kern w:val="0"/>
                <w:sz w:val="24"/>
                <w:szCs w:val="24"/>
                <w14:textFill>
                  <w14:solidFill>
                    <w14:schemeClr w14:val="tx1"/>
                  </w14:solidFill>
                </w14:textFill>
              </w:rPr>
              <w:t>m</w:t>
            </w:r>
            <w:r>
              <w:rPr>
                <w:rFonts w:hint="default" w:ascii="Times New Roman" w:hAnsi="Times New Roman" w:eastAsia="宋体" w:cs="Times New Roman"/>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kern w:val="0"/>
                <w:sz w:val="24"/>
                <w:szCs w:val="24"/>
                <w:lang w:val="en-US" w:eastAsia="zh-CN"/>
                <w14:textFill>
                  <w14:solidFill>
                    <w14:schemeClr w14:val="tx1"/>
                  </w14:solidFill>
                </w14:textFill>
              </w:rPr>
              <w:t>/h的生产废水处理水处理设施，满足本项目生产废水回用处理能力要求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；项目各类污水</w:t>
            </w:r>
            <w:r>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t>有充足的</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的调节容量，因此只预测正常排放对水环境的影响。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3、预测模型</w: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根据《环境影响评价技术导则地表水环境》（HJ/T2.3-2018）的要求，对潖江COD</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、NH</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-N因子采用“平面二维数学模型”进行预测。</w: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A、混合过程段的长度可由下式估算：</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position w:val="-36"/>
                <w:sz w:val="24"/>
                <w:highlight w:val="none"/>
                <w:u w:val="none"/>
                <w:lang w:val="en-US" w:eastAsia="zh-CN"/>
                <w14:textFill>
                  <w14:solidFill>
                    <w14:schemeClr w14:val="tx1"/>
                  </w14:solidFill>
                </w14:textFill>
              </w:rPr>
              <w:object>
                <v:shape id="_x0000_i1031" o:spt="75" type="#_x0000_t75" style="height:39.8pt;width:207.1pt;" o:ole="t" filled="f" o:preferrelative="t" stroked="f" coordsize="21600,21600">
                  <v:path/>
                  <v:fill on="f" focussize="0,0"/>
                  <v:stroke on="f"/>
                  <v:imagedata r:id="rId23" o:title=""/>
                  <o:lock v:ext="edit" aspectratio="t"/>
                  <w10:wrap type="none"/>
                  <w10:anchorlock/>
                </v:shape>
                <o:OLEObject Type="Embed" ProgID="Equation.KSEE3" ShapeID="_x0000_i1031" DrawAspect="Content" ObjectID="_1468075731" r:id="rId22">
                  <o:LockedField>false</o:LockedField>
                </o:OLEObject>
              </w:objec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 xml:space="preserve"> </w: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式中：L</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m</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——混合段长度，m；</w:t>
            </w:r>
          </w:p>
          <w:p>
            <w:pPr>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B——水面宽度，m；</w:t>
            </w:r>
          </w:p>
          <w:p>
            <w:pPr>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ɑ——排放口到岸边的距离，m；</w:t>
            </w:r>
          </w:p>
          <w:p>
            <w:pPr>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u——断面流速，m/s；</w:t>
            </w:r>
          </w:p>
          <w:p>
            <w:pPr>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E</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y</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——污染物横向扩散系数，m</w:t>
            </w:r>
            <w:r>
              <w:rPr>
                <w:rFonts w:hint="default" w:ascii="Times New Roman" w:hAnsi="Times New Roman" w:eastAsia="宋体" w:cs="Times New Roman"/>
                <w:color w:val="000000" w:themeColor="text1"/>
                <w:sz w:val="24"/>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/s。</w: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泰勒公式（适用于河流与河口）：</w:t>
            </w:r>
          </w:p>
          <w:p>
            <w:pPr>
              <w:pageBreakBefore w:val="0"/>
              <w:kinsoku/>
              <w:wordWrap/>
              <w:overflowPunct/>
              <w:topLinePunct w:val="0"/>
              <w:bidi w:val="0"/>
              <w:adjustRightInd/>
              <w:snapToGrid/>
              <w:spacing w:line="360" w:lineRule="auto"/>
              <w:jc w:val="cente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Ey=（0.058H+0.0065B）×（gHI）</w:t>
            </w:r>
            <w:r>
              <w:rPr>
                <w:rFonts w:hint="default" w:ascii="Times New Roman" w:hAnsi="Times New Roman" w:eastAsia="宋体" w:cs="Times New Roman"/>
                <w:color w:val="000000" w:themeColor="text1"/>
                <w:sz w:val="24"/>
                <w:highlight w:val="none"/>
                <w:u w:val="none"/>
                <w:vertAlign w:val="superscript"/>
                <w:lang w:val="en-US" w:eastAsia="zh-CN"/>
                <w14:textFill>
                  <w14:solidFill>
                    <w14:schemeClr w14:val="tx1"/>
                  </w14:solidFill>
                </w14:textFill>
              </w:rPr>
              <w:t>1/2</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 xml:space="preserve">    B/H≤100</w: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式中：H—平均水深，m；I—水力坡度，%；g—</w:t>
            </w:r>
            <w:r>
              <w:rPr>
                <w:rFonts w:hint="default" w:ascii="Times New Roman" w:hAnsi="Times New Roman" w:eastAsia="宋体" w:cs="Times New Roman"/>
                <w:color w:val="000000" w:themeColor="text1"/>
                <w:sz w:val="24"/>
                <w:szCs w:val="22"/>
                <w:highlight w:val="none"/>
                <w:u w:val="none"/>
                <w:lang w:val="en-US" w:eastAsia="zh-CN"/>
                <w14:textFill>
                  <w14:solidFill>
                    <w14:schemeClr w14:val="tx1"/>
                  </w14:solidFill>
                </w14:textFill>
              </w:rPr>
              <w:t>重力加速度，取9.8。</w: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B、污染物进入水体后，经过混合过程段后，在断面上达到完全均匀混合，此时水体中污染物的浓度可用河流均匀混合模型表示：</w:t>
            </w:r>
          </w:p>
          <w:p>
            <w:pPr>
              <w:pageBreakBefore w:val="0"/>
              <w:kinsoku/>
              <w:wordWrap/>
              <w:overflowPunct/>
              <w:topLinePunct w:val="0"/>
              <w:bidi w:val="0"/>
              <w:adjustRightInd/>
              <w:snapToGrid/>
              <w:spacing w:line="360" w:lineRule="auto"/>
              <w:jc w:val="cente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position w:val="-14"/>
                <w:sz w:val="24"/>
                <w:highlight w:val="none"/>
                <w:u w:val="none"/>
                <w:lang w:val="en-US" w:eastAsia="zh-CN"/>
                <w14:textFill>
                  <w14:solidFill>
                    <w14:schemeClr w14:val="tx1"/>
                  </w14:solidFill>
                </w14:textFill>
              </w:rPr>
              <w:object>
                <v:shape id="_x0000_i1032" o:spt="75" type="#_x0000_t75" style="height:19pt;width:143pt;" o:ole="t" filled="f" o:preferrelative="t" stroked="f" coordsize="21600,21600">
                  <v:path/>
                  <v:fill on="f" focussize="0,0"/>
                  <v:stroke on="f"/>
                  <v:imagedata r:id="rId25" o:title=""/>
                  <o:lock v:ext="edit" aspectratio="t"/>
                  <w10:wrap type="none"/>
                  <w10:anchorlock/>
                </v:shape>
                <o:OLEObject Type="Embed" ProgID="Equation.KSEE3" ShapeID="_x0000_i1032" DrawAspect="Content" ObjectID="_1468075732" r:id="rId24">
                  <o:LockedField>false</o:LockedField>
                </o:OLEObject>
              </w:objec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 xml:space="preserve">  式中：C——污染物浓度，mg/L； </w:t>
            </w:r>
          </w:p>
          <w:p>
            <w:pPr>
              <w:pageBreakBefore w:val="0"/>
              <w:kinsoku/>
              <w:wordWrap/>
              <w:overflowPunct/>
              <w:topLinePunct w:val="0"/>
              <w:bidi w:val="0"/>
              <w:adjustRightInd/>
              <w:snapToGrid/>
              <w:spacing w:line="360" w:lineRule="auto"/>
              <w:ind w:firstLine="1440" w:firstLineChars="6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C</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——污染物排放浓度，mg/L；</w:t>
            </w:r>
          </w:p>
          <w:p>
            <w:pPr>
              <w:pageBreakBefore w:val="0"/>
              <w:kinsoku/>
              <w:wordWrap/>
              <w:overflowPunct/>
              <w:topLinePunct w:val="0"/>
              <w:bidi w:val="0"/>
              <w:adjustRightInd/>
              <w:snapToGrid/>
              <w:spacing w:line="360" w:lineRule="auto"/>
              <w:ind w:firstLine="1440" w:firstLineChars="6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p</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——污水排放量，m</w:t>
            </w:r>
            <w:r>
              <w:rPr>
                <w:rFonts w:hint="default" w:ascii="Times New Roman" w:hAnsi="Times New Roman" w:eastAsia="宋体" w:cs="Times New Roman"/>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/s；</w:t>
            </w:r>
          </w:p>
          <w:p>
            <w:pPr>
              <w:pageBreakBefore w:val="0"/>
              <w:kinsoku/>
              <w:wordWrap/>
              <w:overflowPunct/>
              <w:topLinePunct w:val="0"/>
              <w:bidi w:val="0"/>
              <w:adjustRightInd/>
              <w:snapToGrid/>
              <w:spacing w:line="360" w:lineRule="auto"/>
              <w:ind w:firstLine="1440" w:firstLineChars="600"/>
              <w:rPr>
                <w:rFonts w:hint="default" w:ascii="Times New Roman" w:hAnsi="Times New Roman" w:eastAsia="宋体" w:cs="Times New Roman"/>
                <w:color w:val="000000" w:themeColor="text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C</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h</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——河流上游污染物浓度，mg/L；</w:t>
            </w:r>
          </w:p>
          <w:p>
            <w:pPr>
              <w:pageBreakBefore w:val="0"/>
              <w:kinsoku/>
              <w:wordWrap/>
              <w:overflowPunct/>
              <w:topLinePunct w:val="0"/>
              <w:bidi w:val="0"/>
              <w:adjustRightInd/>
              <w:snapToGrid/>
              <w:spacing w:line="360" w:lineRule="auto"/>
              <w:ind w:firstLine="1440" w:firstLineChars="6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h</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——河流流量，m</w:t>
            </w:r>
            <w:r>
              <w:rPr>
                <w:rFonts w:hint="default" w:ascii="Times New Roman" w:hAnsi="Times New Roman" w:eastAsia="宋体" w:cs="Times New Roman"/>
                <w:color w:val="000000" w:themeColor="text1"/>
                <w:sz w:val="24"/>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/s。</w: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C、平面二维数学模型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不考虑岸边反射影响的宽浅型平直恒定均匀河流，岸边点源稳定排放，浓度分布公式：</w:t>
            </w:r>
          </w:p>
          <w:p>
            <w:pPr>
              <w:pageBreakBefore w:val="0"/>
              <w:kinsoku/>
              <w:wordWrap/>
              <w:overflowPunct/>
              <w:topLinePunct w:val="0"/>
              <w:bidi w:val="0"/>
              <w:adjustRightInd/>
              <w:snapToGrid/>
              <w:spacing w:line="360" w:lineRule="auto"/>
              <w:jc w:val="cente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position w:val="-36"/>
                <w:sz w:val="24"/>
                <w:highlight w:val="none"/>
                <w:u w:val="none"/>
                <w:lang w:val="en-US" w:eastAsia="zh-CN"/>
                <w14:textFill>
                  <w14:solidFill>
                    <w14:schemeClr w14:val="tx1"/>
                  </w14:solidFill>
                </w14:textFill>
              </w:rPr>
              <w:object>
                <v:shape id="_x0000_i1033" o:spt="75" type="#_x0000_t75" style="height:38.15pt;width:222.35pt;" o:ole="t" filled="f" o:preferrelative="t" stroked="f" coordsize="21600,21600">
                  <v:path/>
                  <v:fill on="f" focussize="0,0"/>
                  <v:stroke on="f"/>
                  <v:imagedata r:id="rId27" o:title=""/>
                  <o:lock v:ext="edit" aspectratio="t"/>
                  <w10:wrap type="none"/>
                  <w10:anchorlock/>
                </v:shape>
                <o:OLEObject Type="Embed" ProgID="Equation.KSEE3" ShapeID="_x0000_i1033" DrawAspect="Content" ObjectID="_1468075733" r:id="rId26">
                  <o:LockedField>false</o:LockedField>
                </o:OLEObject>
              </w:objec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式中：</w:t>
            </w:r>
            <w:r>
              <w:rPr>
                <w:rFonts w:hint="default" w:ascii="Times New Roman" w:hAnsi="Times New Roman" w:eastAsia="宋体" w:cs="Times New Roman"/>
                <w:color w:val="000000" w:themeColor="text1"/>
                <w:position w:val="-10"/>
                <w:sz w:val="24"/>
                <w:highlight w:val="none"/>
                <w:u w:val="none"/>
                <w:lang w:val="en-US" w:eastAsia="zh-CN"/>
                <w14:textFill>
                  <w14:solidFill>
                    <w14:schemeClr w14:val="tx1"/>
                  </w14:solidFill>
                </w14:textFill>
              </w:rPr>
              <w:object>
                <v:shape id="_x0000_i1034" o:spt="75" type="#_x0000_t75" style="height:17pt;width:37pt;" o:ole="t" filled="f" o:preferrelative="t" stroked="f" coordsize="21600,21600">
                  <v:path/>
                  <v:fill on="f" focussize="0,0"/>
                  <v:stroke on="f"/>
                  <v:imagedata r:id="rId29" o:title=""/>
                  <o:lock v:ext="edit" aspectratio="t"/>
                  <w10:wrap type="none"/>
                  <w10:anchorlock/>
                </v:shape>
                <o:OLEObject Type="Embed" ProgID="Equation.KSEE3" ShapeID="_x0000_i1034" DrawAspect="Content" ObjectID="_1468075734" r:id="rId28">
                  <o:LockedField>false</o:LockedField>
                </o:OLEObject>
              </w:objec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——纵向距离</w:t>
            </w:r>
            <w:r>
              <w:rPr>
                <w:rFonts w:hint="default" w:ascii="Times New Roman" w:hAnsi="Times New Roman" w:eastAsia="宋体" w:cs="Times New Roman"/>
                <w:color w:val="000000" w:themeColor="text1"/>
                <w:position w:val="-6"/>
                <w:sz w:val="24"/>
                <w:highlight w:val="none"/>
                <w:u w:val="none"/>
                <w:lang w:val="en-US" w:eastAsia="zh-CN"/>
                <w14:textFill>
                  <w14:solidFill>
                    <w14:schemeClr w14:val="tx1"/>
                  </w14:solidFill>
                </w14:textFill>
              </w:rPr>
              <w:object>
                <v:shape id="_x0000_i1035" o:spt="75" type="#_x0000_t75" style="height:11pt;width:10pt;" o:ole="t" filled="f" o:preferrelative="t" stroked="f" coordsize="21600,21600">
                  <v:path/>
                  <v:fill on="f" focussize="0,0"/>
                  <v:stroke on="f"/>
                  <v:imagedata r:id="rId31" o:title=""/>
                  <o:lock v:ext="edit" aspectratio="t"/>
                  <w10:wrap type="none"/>
                  <w10:anchorlock/>
                </v:shape>
                <o:OLEObject Type="Embed" ProgID="Equation.KSEE3" ShapeID="_x0000_i1035" DrawAspect="Content" ObjectID="_1468075735" r:id="rId30">
                  <o:LockedField>false</o:LockedField>
                </o:OLEObject>
              </w:objec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、横向距离</w:t>
            </w:r>
            <w:r>
              <w:rPr>
                <w:rFonts w:hint="default" w:ascii="Times New Roman" w:hAnsi="Times New Roman" w:eastAsia="宋体" w:cs="Times New Roman"/>
                <w:color w:val="000000" w:themeColor="text1"/>
                <w:position w:val="-10"/>
                <w:sz w:val="24"/>
                <w:highlight w:val="none"/>
                <w:u w:val="none"/>
                <w:lang w:val="en-US" w:eastAsia="zh-CN"/>
                <w14:textFill>
                  <w14:solidFill>
                    <w14:schemeClr w14:val="tx1"/>
                  </w14:solidFill>
                </w14:textFill>
              </w:rPr>
              <w:object>
                <v:shape id="_x0000_i1036" o:spt="75" type="#_x0000_t75" style="height:13pt;width:11pt;" o:ole="t" filled="f" o:preferrelative="t" stroked="f" coordsize="21600,21600">
                  <v:path/>
                  <v:fill on="f" focussize="0,0"/>
                  <v:stroke on="f"/>
                  <v:imagedata r:id="rId33" o:title=""/>
                  <o:lock v:ext="edit" aspectratio="t"/>
                  <w10:wrap type="none"/>
                  <w10:anchorlock/>
                </v:shape>
                <o:OLEObject Type="Embed" ProgID="Equation.KSEE3" ShapeID="_x0000_i1036" DrawAspect="Content" ObjectID="_1468075736" r:id="rId32">
                  <o:LockedField>false</o:LockedField>
                </o:OLEObject>
              </w:objec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点的污染物浓度，mg/L；</w:t>
            </w:r>
          </w:p>
          <w:p>
            <w:pPr>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m——污染物排放速率，g/s；</w:t>
            </w:r>
          </w:p>
          <w:p>
            <w:pPr>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C</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h</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——河流上游污染物浓度，mg/L；</w:t>
            </w:r>
          </w:p>
          <w:p>
            <w:pPr>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u——对于</w:t>
            </w:r>
            <w:r>
              <w:rPr>
                <w:rFonts w:hint="default" w:ascii="Times New Roman" w:hAnsi="Times New Roman" w:eastAsia="宋体" w:cs="Times New Roman"/>
                <w:color w:val="000000" w:themeColor="text1"/>
                <w:position w:val="-6"/>
                <w:sz w:val="24"/>
                <w:highlight w:val="none"/>
                <w:u w:val="none"/>
                <w:lang w:val="en-US" w:eastAsia="zh-CN"/>
                <w14:textFill>
                  <w14:solidFill>
                    <w14:schemeClr w14:val="tx1"/>
                  </w14:solidFill>
                </w14:textFill>
              </w:rPr>
              <w:object>
                <v:shape id="_x0000_i1037" o:spt="75" type="#_x0000_t75" style="height:11pt;width:10pt;" o:ole="t" filled="f" o:preferrelative="t" stroked="f" coordsize="21600,21600">
                  <v:path/>
                  <v:fill on="f" focussize="0,0"/>
                  <v:stroke on="f"/>
                  <v:imagedata r:id="rId31" o:title=""/>
                  <o:lock v:ext="edit" aspectratio="t"/>
                  <w10:wrap type="none"/>
                  <w10:anchorlock/>
                </v:shape>
                <o:OLEObject Type="Embed" ProgID="Equation.KSEE3" ShapeID="_x0000_i1037" DrawAspect="Content" ObjectID="_1468075737" r:id="rId34">
                  <o:LockedField>false</o:LockedField>
                </o:OLEObject>
              </w:objec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轴的平均流速分量，m/s；</w:t>
            </w:r>
          </w:p>
          <w:p>
            <w:pPr>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E</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y</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——污染物横向扩散系数，m</w:t>
            </w:r>
            <w:r>
              <w:rPr>
                <w:rFonts w:hint="default" w:ascii="Times New Roman" w:hAnsi="Times New Roman" w:eastAsia="宋体" w:cs="Times New Roman"/>
                <w:color w:val="000000" w:themeColor="text1"/>
                <w:sz w:val="24"/>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/s</w:t>
            </w:r>
          </w:p>
          <w:p>
            <w:pPr>
              <w:pageBreakBefore w:val="0"/>
              <w:kinsoku/>
              <w:wordWrap/>
              <w:overflowPunct/>
              <w:topLinePunct w:val="0"/>
              <w:bidi w:val="0"/>
              <w:adjustRightInd/>
              <w:snapToGrid/>
              <w:spacing w:line="360" w:lineRule="auto"/>
              <w:ind w:firstLine="1200" w:firstLineChars="5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k——污染物综合衰减系数，1/s。</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4、源强和参数确定</w:t>
            </w:r>
          </w:p>
          <w:p>
            <w:pPr>
              <w:pageBreakBefore w:val="0"/>
              <w:kinsoku/>
              <w:wordWrap/>
              <w:overflowPunct/>
              <w:topLinePunct w:val="0"/>
              <w:bidi w:val="0"/>
              <w:adjustRightInd/>
              <w:snapToGrid/>
              <w:spacing w:line="360" w:lineRule="auto"/>
              <w:ind w:firstLine="480" w:firstLineChars="200"/>
              <w:jc w:val="both"/>
              <w:rPr>
                <w:rFonts w:hint="default" w:ascii="Times New Roman" w:hAnsi="Times New Roman" w:eastAsia="宋体" w:cs="Times New Roman"/>
                <w:color w:val="000000" w:themeColor="text1"/>
                <w:sz w:val="24"/>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污染物衰减系数k的确定：参考《河流中污染物衰减系数影响因素》（郭儒、李宇斌、富国，气象与环境学报2008年2月第24卷第1期），我国河流COD的衰减系数为0.009~0.470d</w:t>
            </w:r>
            <w:r>
              <w:rPr>
                <w:rFonts w:hint="default" w:ascii="Times New Roman" w:hAnsi="Times New Roman" w:eastAsia="宋体" w:cs="Times New Roman"/>
                <w:color w:val="000000" w:themeColor="text1"/>
                <w:sz w:val="24"/>
                <w:highlight w:val="none"/>
                <w:u w:val="none"/>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，氨氮的衰减系数为0.105~0.350d</w:t>
            </w:r>
            <w:r>
              <w:rPr>
                <w:rFonts w:hint="default" w:ascii="Times New Roman" w:hAnsi="Times New Roman" w:eastAsia="宋体" w:cs="Times New Roman"/>
                <w:color w:val="000000" w:themeColor="text1"/>
                <w:sz w:val="24"/>
                <w:highlight w:val="none"/>
                <w:u w:val="none"/>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，本项目取值为k</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CODCr</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=0.25d</w:t>
            </w:r>
            <w:r>
              <w:rPr>
                <w:rFonts w:hint="default" w:ascii="Times New Roman" w:hAnsi="Times New Roman" w:eastAsia="宋体" w:cs="Times New Roman"/>
                <w:color w:val="000000" w:themeColor="text1"/>
                <w:sz w:val="24"/>
                <w:highlight w:val="none"/>
                <w:u w:val="none"/>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，k</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氨氮</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=0.28d</w:t>
            </w:r>
            <w:r>
              <w:rPr>
                <w:rFonts w:hint="default" w:ascii="Times New Roman" w:hAnsi="Times New Roman" w:eastAsia="宋体" w:cs="Times New Roman"/>
                <w:color w:val="000000" w:themeColor="text1"/>
                <w:sz w:val="24"/>
                <w:highlight w:val="none"/>
                <w:u w:val="none"/>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sz w:val="24"/>
                <w:highlight w:val="none"/>
                <w:u w:val="none"/>
                <w:vertAlign w:val="baseline"/>
                <w:lang w:val="en-US" w:eastAsia="zh-CN"/>
                <w14:textFill>
                  <w14:solidFill>
                    <w14:schemeClr w14:val="tx1"/>
                  </w14:solidFill>
                </w14:textFill>
              </w:rPr>
              <w:t>。</w:t>
            </w:r>
          </w:p>
          <w:p>
            <w:pPr>
              <w:pageBreakBefore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对照导则，以及河流的水文特征确定预测模型的各项参数，具体见下表。</w:t>
            </w:r>
          </w:p>
          <w:p>
            <w:pPr>
              <w:pStyle w:val="36"/>
              <w:keepNext w:val="0"/>
              <w:keepLines w:val="0"/>
              <w:pageBreakBefore w:val="0"/>
              <w:widowControl w:val="0"/>
              <w:kinsoku/>
              <w:wordWrap/>
              <w:overflowPunct/>
              <w:topLinePunct w:val="0"/>
              <w:autoSpaceDE w:val="0"/>
              <w:autoSpaceDN w:val="0"/>
              <w:bidi w:val="0"/>
              <w:adjustRightInd/>
              <w:snapToGrid/>
              <w:spacing w:before="157" w:beforeLines="50"/>
              <w:jc w:val="center"/>
              <w:textAlignment w:val="auto"/>
              <w:outlineLvl w:val="9"/>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u w:val="none"/>
                <w:lang w:val="en-US" w:eastAsia="zh-CN" w:bidi="ar-SA"/>
                <w14:textFill>
                  <w14:solidFill>
                    <w14:schemeClr w14:val="tx1"/>
                  </w14:solidFill>
                </w14:textFill>
              </w:rPr>
              <w:t>表8.2-10 水污染影响型建设项目评价等级判定</w:t>
            </w:r>
          </w:p>
          <w:tbl>
            <w:tblPr>
              <w:tblStyle w:val="27"/>
              <w:tblW w:w="92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88"/>
              <w:gridCol w:w="2274"/>
              <w:gridCol w:w="30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参数类型</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取值</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河流平均流速u（m/s）</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0.64</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河流宽度B（m）</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35</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枯水期水深H（m）</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0.8</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排放口到岸边的距离ɑ（m）</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0</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岸边排放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枯水期河流流量Q</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p</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/s）</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17.92</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河流比降I（%）</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1.74</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污染物横向扩散系数E</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y</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/s）</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5.68</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污染物综合衰减系数k（1/d）</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0.25/0.28</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k</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CODCr</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=0.25d</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，k</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氨氮</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=0.28d</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污水排放量Q</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h</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/s）</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0.00037</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正常工况下，COD</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Cr</w:t>
                  </w: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排放量（mg/L)</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90</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正常工况下，氨氮排放量（mg/L)</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10</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COD</w:t>
                  </w:r>
                  <w:r>
                    <w:rPr>
                      <w:rFonts w:hint="default" w:ascii="Times New Roman" w:hAnsi="Times New Roman" w:eastAsia="宋体" w:cs="Times New Roman"/>
                      <w:b w:val="0"/>
                      <w:bCs w:val="0"/>
                      <w:color w:val="000000" w:themeColor="text1"/>
                      <w:sz w:val="21"/>
                      <w:szCs w:val="21"/>
                      <w:highlight w:val="none"/>
                      <w:u w:val="none"/>
                      <w:vertAlign w:val="subscript"/>
                      <w:lang w:val="en-US" w:eastAsia="zh-CN"/>
                      <w14:textFill>
                        <w14:solidFill>
                          <w14:schemeClr w14:val="tx1"/>
                        </w14:solidFill>
                      </w14:textFill>
                    </w:rPr>
                    <w:t>Cr</w:t>
                  </w: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本底浓度（mg/L）</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18.5</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氨氮本底浓度（mg/L）</w:t>
                  </w:r>
                </w:p>
              </w:tc>
              <w:tc>
                <w:tcPr>
                  <w:tcW w:w="22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0.821</w:t>
                  </w:r>
                </w:p>
              </w:tc>
              <w:tc>
                <w:tcPr>
                  <w:tcW w:w="30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outlineLvl w:val="9"/>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5、预测结果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根据以上选取的预测模型，选取相应的水文条件参数，可计算出拟建污项目出水排入水环境对水体污染物的影响情况，正常排放情况下COD</w:t>
            </w:r>
            <w:r>
              <w:rPr>
                <w:rFonts w:hint="default" w:ascii="Times New Roman" w:hAnsi="Times New Roman" w:eastAsia="宋体" w:cs="Times New Roman"/>
                <w:color w:val="000000" w:themeColor="text1"/>
                <w:sz w:val="24"/>
                <w:highlight w:val="none"/>
                <w:u w:val="none"/>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、氨氮预测结果见下表。</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jc w:val="center"/>
              <w:textAlignment w:val="auto"/>
              <w:outlineLvl w:val="9"/>
              <w:rPr>
                <w:rFonts w:hint="default" w:ascii="Times New Roman" w:hAnsi="Times New Roman" w:eastAsia="宋体" w:cs="Times New Roman"/>
                <w:b/>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u w:val="none"/>
                <w:lang w:val="en-US" w:eastAsia="zh-CN" w:bidi="ar-SA"/>
                <w14:textFill>
                  <w14:solidFill>
                    <w14:schemeClr w14:val="tx1"/>
                  </w14:solidFill>
                </w14:textFill>
              </w:rPr>
              <w:t>表8.2-11  正常排放下COD</w:t>
            </w:r>
            <w:r>
              <w:rPr>
                <w:rFonts w:hint="default" w:ascii="Times New Roman" w:hAnsi="Times New Roman" w:eastAsia="宋体" w:cs="Times New Roman"/>
                <w:b/>
                <w:color w:val="000000" w:themeColor="text1"/>
                <w:kern w:val="2"/>
                <w:sz w:val="24"/>
                <w:szCs w:val="24"/>
                <w:highlight w:val="none"/>
                <w:u w:val="none"/>
                <w:vertAlign w:val="subscript"/>
                <w:lang w:val="en-US" w:eastAsia="zh-CN" w:bidi="ar-SA"/>
                <w14:textFill>
                  <w14:solidFill>
                    <w14:schemeClr w14:val="tx1"/>
                  </w14:solidFill>
                </w14:textFill>
              </w:rPr>
              <w:t>Cr</w:t>
            </w:r>
            <w:r>
              <w:rPr>
                <w:rFonts w:hint="default" w:ascii="Times New Roman" w:hAnsi="Times New Roman" w:eastAsia="宋体" w:cs="Times New Roman"/>
                <w:b/>
                <w:color w:val="000000" w:themeColor="text1"/>
                <w:kern w:val="2"/>
                <w:sz w:val="24"/>
                <w:szCs w:val="24"/>
                <w:highlight w:val="none"/>
                <w:u w:val="none"/>
                <w:lang w:val="en-US" w:eastAsia="zh-CN" w:bidi="ar-SA"/>
                <w14:textFill>
                  <w14:solidFill>
                    <w14:schemeClr w14:val="tx1"/>
                  </w14:solidFill>
                </w14:textFill>
              </w:rPr>
              <w:t>浓度预测值（浓度：mg/L，距离：m）</w:t>
            </w:r>
          </w:p>
          <w:tbl>
            <w:tblPr>
              <w:tblStyle w:val="26"/>
              <w:tblW w:w="92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041"/>
              <w:gridCol w:w="1041"/>
              <w:gridCol w:w="1041"/>
              <w:gridCol w:w="1041"/>
              <w:gridCol w:w="1040"/>
              <w:gridCol w:w="1041"/>
              <w:gridCol w:w="1041"/>
              <w:gridCol w:w="1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244" w:type="dxa"/>
                  <w:gridSpan w:val="9"/>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COD</w:t>
                  </w:r>
                  <w:r>
                    <w:rPr>
                      <w:rFonts w:hint="default" w:ascii="Times New Roman" w:hAnsi="Times New Roman" w:eastAsia="宋体" w:cs="Times New Roman"/>
                      <w:b/>
                      <w:bCs/>
                      <w:color w:val="000000" w:themeColor="text1"/>
                      <w:sz w:val="21"/>
                      <w:szCs w:val="21"/>
                      <w:u w:val="none"/>
                      <w:vertAlign w:val="subscript"/>
                      <w:lang w:val="en-US" w:eastAsia="zh-CN"/>
                      <w14:textFill>
                        <w14:solidFill>
                          <w14:schemeClr w14:val="tx1"/>
                        </w14:solidFill>
                      </w14:textFill>
                    </w:rPr>
                    <w:t>Cr</w:t>
                  </w: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正常排放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X\c/Y</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10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15</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20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25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30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18.5031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18.5028</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18.5021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18.5012</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18.5004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18.5011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18.501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18.5007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18.5004</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18.4996</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30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18.4998</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18.4996</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18.4994</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18.4993</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40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18.4987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18.4987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18.4986</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18.4986</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18.4985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18.4984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18.4983</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50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18.4977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18.4977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18.4977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18.4977</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18.4976</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18.4976</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18.4976</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60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18.4967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18.4968</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18.4968</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18.4968</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18.4968</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18.4968</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18.4968</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70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18.4958</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18.4959</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80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18.4949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18.4951</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90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18.4941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18.4941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18.4942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18.4942</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18.4942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18.4942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18.4942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18.4932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18.4932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18.4933</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18.4933</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18.4934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18.4934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18.4934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18.4934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150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18.4889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18.4889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18.489</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18.4891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200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18.4846</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18.4846</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18.4847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18.4847</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18.4847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18.4847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18.4847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250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18.4803</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18.4804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18.4804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18.4804</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18.4804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18.4804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18.4805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18.4805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300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18.4761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18.4761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18.4761</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18.4762</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18.4762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18.4762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18.4762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350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18.4719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18.4719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18.4719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18.4719</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18.4719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18.4719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18.4719</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18.4719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400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18.4676</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18.4676</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18.4677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18.4677</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18.4677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18.4677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18.4677</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450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18.4634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18.4634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18.4634</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18.4635</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18.4635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18.4635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18.4635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18.4635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500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18.4592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18.4592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18.4592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18.4592</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18.4592</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18.4593</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18.4593</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18.4593</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ind w:firstLine="420"/>
              <w:jc w:val="center"/>
              <w:textAlignment w:val="auto"/>
              <w:outlineLvl w:val="9"/>
              <w:rPr>
                <w:rFonts w:hint="default" w:ascii="Times New Roman" w:hAnsi="Times New Roman" w:eastAsia="宋体" w:cs="Times New Roman"/>
                <w:b/>
                <w:color w:val="000000" w:themeColor="text1"/>
                <w:kern w:val="2"/>
                <w:sz w:val="24"/>
                <w:szCs w:val="24"/>
                <w:highlight w:val="none"/>
                <w:u w:val="none"/>
                <w:lang w:val="en-US" w:eastAsia="zh-CN" w:bidi="ar-SA"/>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u w:val="none"/>
                <w:lang w:val="en-US" w:eastAsia="zh-CN" w:bidi="ar-SA"/>
                <w14:textFill>
                  <w14:solidFill>
                    <w14:schemeClr w14:val="tx1"/>
                  </w14:solidFill>
                </w14:textFill>
              </w:rPr>
              <w:t>表8.2-12  正常排放下氨氮浓度预测值（浓度：mg/L，距离：m）</w:t>
            </w:r>
          </w:p>
          <w:tbl>
            <w:tblPr>
              <w:tblStyle w:val="26"/>
              <w:tblW w:w="92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041"/>
              <w:gridCol w:w="1041"/>
              <w:gridCol w:w="1041"/>
              <w:gridCol w:w="1041"/>
              <w:gridCol w:w="1040"/>
              <w:gridCol w:w="1041"/>
              <w:gridCol w:w="1041"/>
              <w:gridCol w:w="1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244" w:type="dxa"/>
                  <w:gridSpan w:val="9"/>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outlineLvl w:val="9"/>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t>氨氮正常排放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X\c/Y</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10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15</w:t>
                  </w:r>
                </w:p>
              </w:tc>
              <w:tc>
                <w:tcPr>
                  <w:tcW w:w="1040"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20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25</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30</w:t>
                  </w:r>
                </w:p>
              </w:tc>
              <w:tc>
                <w:tcPr>
                  <w:tcW w:w="1041" w:type="dxa"/>
                  <w:vAlign w:val="center"/>
                </w:tcPr>
                <w:p>
                  <w:pPr>
                    <w:keepNext w:val="0"/>
                    <w:keepLines w:val="0"/>
                    <w:pageBreakBefore w:val="0"/>
                    <w:widowControl/>
                    <w:suppressLineNumbers w:val="0"/>
                    <w:kinsoku/>
                    <w:wordWrap/>
                    <w:overflowPunct/>
                    <w:topLinePunct w:val="0"/>
                    <w:autoSpaceDE/>
                    <w:autoSpaceDN/>
                    <w:bidi w:val="0"/>
                    <w:adjustRightInd/>
                    <w:snapToGrid/>
                    <w:ind w:left="0" w:leftChars="0" w:right="0" w:rightChars="0"/>
                    <w:jc w:val="center"/>
                    <w:textAlignment w:val="center"/>
                    <w:rPr>
                      <w:rFonts w:hint="default" w:ascii="Times New Roman" w:hAnsi="Times New Roman" w:eastAsia="宋体" w:cs="Times New Roman"/>
                      <w:b/>
                      <w:bCs/>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bCs/>
                      <w:i w:val="0"/>
                      <w:snapToGrid w:val="0"/>
                      <w:color w:val="000000" w:themeColor="text1"/>
                      <w:kern w:val="0"/>
                      <w:sz w:val="21"/>
                      <w:szCs w:val="21"/>
                      <w:u w:val="none"/>
                      <w:lang w:val="en-US" w:eastAsia="zh-CN" w:bidi="ar"/>
                      <w14:textFill>
                        <w14:solidFill>
                          <w14:schemeClr w14:val="tx1"/>
                        </w14:solidFill>
                      </w14:textFill>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0.8214</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0.8214</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0.8213</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0.8212</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0.8212</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0.8212</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0.8212</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30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40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50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60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70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80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90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100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150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0.8205</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0.8205</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0.8205</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0.8205</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0.8205</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0.8206</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0.8206</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200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0.8203</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0.8203</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0.8203</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0.8203</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0.8203</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0.8203</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0.8203</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250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0.8201</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0.8201</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0.8201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300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0.8199</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350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0.8197</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0.8197</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0.8197</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0.8197</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0.8197</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0.8197</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0.8197</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400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0.8195</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0.8195</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0.8195</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0.8195</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0.8195</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0.8195</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0.8195</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450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0.8192</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0.8192</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0.8192</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0.8192</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0.8192</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0.8192</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0.8193</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917" w:type="dxa"/>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500</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w:t>
                  </w:r>
                </w:p>
              </w:tc>
              <w:tc>
                <w:tcPr>
                  <w:tcW w:w="1040" w:type="dxa"/>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w:t>
                  </w:r>
                </w:p>
              </w:tc>
              <w:tc>
                <w:tcPr>
                  <w:tcW w:w="1041" w:type="dxa"/>
                  <w:vAlign w:val="center"/>
                </w:tcPr>
                <w:p>
                  <w:pPr>
                    <w:keepNext w:val="0"/>
                    <w:keepLines w:val="0"/>
                    <w:widowControl/>
                    <w:suppressLineNumbers w:val="0"/>
                    <w:jc w:val="center"/>
                    <w:textAlignment w:val="cente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0.819</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t>6、污染物排放量与生态流量</w:t>
            </w:r>
          </w:p>
          <w:p>
            <w:pPr>
              <w:spacing w:line="360" w:lineRule="auto"/>
              <w:ind w:firstLine="480"/>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u w:val="none"/>
                <w:lang w:val="en-US" w:eastAsia="zh-CN"/>
                <w14:textFill>
                  <w14:solidFill>
                    <w14:schemeClr w14:val="tx1"/>
                  </w14:solidFill>
                </w14:textFill>
              </w:rPr>
              <w:t>本项目不涉及生态流量，项目污染物排放量如下表所示。</w:t>
            </w:r>
          </w:p>
          <w:p>
            <w:pPr>
              <w:pStyle w:val="10"/>
              <w:keepNext w:val="0"/>
              <w:keepLines w:val="0"/>
              <w:pageBreakBefore w:val="0"/>
              <w:widowControl w:val="0"/>
              <w:tabs>
                <w:tab w:val="left" w:pos="1195"/>
              </w:tabs>
              <w:kinsoku/>
              <w:wordWrap/>
              <w:overflowPunct/>
              <w:topLinePunct w:val="0"/>
              <w:autoSpaceDE/>
              <w:autoSpaceDN/>
              <w:bidi w:val="0"/>
              <w:adjustRightInd/>
              <w:snapToGrid/>
              <w:spacing w:before="157" w:beforeLines="50" w:line="240" w:lineRule="auto"/>
              <w:ind w:left="0"/>
              <w:jc w:val="center"/>
              <w:textAlignment w:val="auto"/>
              <w:rPr>
                <w:rFonts w:hint="default" w:ascii="Times New Roman" w:hAnsi="Times New Roman" w:eastAsia="宋体" w:cs="Times New Roman"/>
                <w:color w:val="000000" w:themeColor="text1"/>
                <w:sz w:val="13"/>
                <w:u w:val="none"/>
                <w14:textFill>
                  <w14:solidFill>
                    <w14:schemeClr w14:val="tx1"/>
                  </w14:solidFill>
                </w14:textFill>
              </w:rPr>
            </w:pPr>
            <w:r>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表8.2-</w:t>
            </w:r>
            <w:r>
              <w:rPr>
                <w:rFonts w:hint="eastAsia"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13</w:t>
            </w:r>
            <w:r>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 xml:space="preserve">  废水类别、污染物及污染治理设施信息表</w:t>
            </w:r>
          </w:p>
          <w:tbl>
            <w:tblPr>
              <w:tblStyle w:val="26"/>
              <w:tblW w:w="924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42"/>
              <w:gridCol w:w="824"/>
              <w:gridCol w:w="856"/>
              <w:gridCol w:w="715"/>
              <w:gridCol w:w="936"/>
              <w:gridCol w:w="975"/>
              <w:gridCol w:w="934"/>
              <w:gridCol w:w="842"/>
              <w:gridCol w:w="887"/>
              <w:gridCol w:w="16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6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废水类别</w:t>
                  </w:r>
                </w:p>
              </w:tc>
              <w:tc>
                <w:tcPr>
                  <w:tcW w:w="82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污染物种类</w:t>
                  </w:r>
                </w:p>
              </w:tc>
              <w:tc>
                <w:tcPr>
                  <w:tcW w:w="85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排放去向</w:t>
                  </w:r>
                </w:p>
              </w:tc>
              <w:tc>
                <w:tcPr>
                  <w:tcW w:w="71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排放规律</w:t>
                  </w:r>
                </w:p>
              </w:tc>
              <w:tc>
                <w:tcPr>
                  <w:tcW w:w="284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污染治理设施</w:t>
                  </w:r>
                </w:p>
              </w:tc>
              <w:tc>
                <w:tcPr>
                  <w:tcW w:w="84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排放口编号</w:t>
                  </w:r>
                </w:p>
              </w:tc>
              <w:tc>
                <w:tcPr>
                  <w:tcW w:w="8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排放口设置是否符合要求</w:t>
                  </w:r>
                </w:p>
              </w:tc>
              <w:tc>
                <w:tcPr>
                  <w:tcW w:w="163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排放口类型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6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2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5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71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污染治理设施编号</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污染治理设施名称</w:t>
                  </w:r>
                </w:p>
              </w:tc>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污染治理设施工艺</w:t>
                  </w:r>
                </w:p>
              </w:tc>
              <w:tc>
                <w:tcPr>
                  <w:tcW w:w="84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163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生活污水</w:t>
                  </w:r>
                </w:p>
              </w:tc>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COD、</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BOD、</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氨氮等</w:t>
                  </w:r>
                </w:p>
              </w:tc>
              <w:tc>
                <w:tcPr>
                  <w:tcW w:w="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潖江河（III类水）</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连续排放，流量稳定</w:t>
                  </w:r>
                </w:p>
              </w:tc>
              <w:tc>
                <w:tcPr>
                  <w:tcW w:w="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TW001</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一体化生活污水处理设施</w:t>
                  </w:r>
                </w:p>
              </w:tc>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A/O</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DW001</w:t>
                  </w:r>
                </w:p>
              </w:tc>
              <w:tc>
                <w:tcPr>
                  <w:tcW w:w="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u w:val="none"/>
                      <w14:textFill>
                        <w14:solidFill>
                          <w14:schemeClr w14:val="tx1"/>
                        </w14:solidFill>
                      </w14:textFill>
                    </w:rPr>
                    <w:t>是</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u w:val="none"/>
                      <w14:textFill>
                        <w14:solidFill>
                          <w14:schemeClr w14:val="tx1"/>
                        </w14:solidFill>
                      </w14:textFill>
                    </w:rPr>
                    <w:t>否</w:t>
                  </w:r>
                </w:p>
              </w:tc>
              <w:tc>
                <w:tcPr>
                  <w:tcW w:w="16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u w:val="none"/>
                      <w14:textFill>
                        <w14:solidFill>
                          <w14:schemeClr w14:val="tx1"/>
                        </w14:solidFill>
                      </w14:textFill>
                    </w:rPr>
                    <w:t>企业总排</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u w:val="none"/>
                      <w14:textFill>
                        <w14:solidFill>
                          <w14:schemeClr w14:val="tx1"/>
                        </w14:solidFill>
                      </w14:textFill>
                    </w:rPr>
                    <w:t>雨水排放</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u w:val="none"/>
                      <w14:textFill>
                        <w14:solidFill>
                          <w14:schemeClr w14:val="tx1"/>
                        </w14:solidFill>
                      </w14:textFill>
                    </w:rPr>
                    <w:t>清净下水排放</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u w:val="none"/>
                      <w14:textFill>
                        <w14:solidFill>
                          <w14:schemeClr w14:val="tx1"/>
                        </w14:solidFill>
                      </w14:textFill>
                    </w:rPr>
                    <w:t>温排水排放</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u w:val="none"/>
                      <w14:textFill>
                        <w14:solidFill>
                          <w14:schemeClr w14:val="tx1"/>
                        </w14:solidFill>
                      </w14:textFill>
                    </w:rPr>
                    <w:t>车间或车间处理设施排放口</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jc w:val="center"/>
              </w:trPr>
              <w:tc>
                <w:tcPr>
                  <w:tcW w:w="6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生产废水</w:t>
                  </w:r>
                </w:p>
              </w:tc>
              <w:tc>
                <w:tcPr>
                  <w:tcW w:w="8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COD、</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SS</w:t>
                  </w:r>
                  <w:r>
                    <w:rPr>
                      <w:rFonts w:hint="default" w:ascii="Times New Roman" w:hAnsi="Times New Roman" w:eastAsia="宋体" w:cs="Times New Roman"/>
                      <w:color w:val="000000" w:themeColor="text1"/>
                      <w:sz w:val="21"/>
                      <w:szCs w:val="21"/>
                      <w:u w:val="none"/>
                      <w14:textFill>
                        <w14:solidFill>
                          <w14:schemeClr w14:val="tx1"/>
                        </w14:solidFill>
                      </w14:textFill>
                    </w:rPr>
                    <w:t>等</w:t>
                  </w:r>
                </w:p>
              </w:tc>
              <w:tc>
                <w:tcPr>
                  <w:tcW w:w="8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潖江河（III类水）</w:t>
                  </w:r>
                </w:p>
              </w:tc>
              <w:tc>
                <w:tcPr>
                  <w:tcW w:w="71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连续排放，流量稳定</w:t>
                  </w:r>
                </w:p>
              </w:tc>
              <w:tc>
                <w:tcPr>
                  <w:tcW w:w="9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TW002</w:t>
                  </w:r>
                </w:p>
              </w:tc>
              <w:tc>
                <w:tcPr>
                  <w:tcW w:w="9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生产废水处理设施</w:t>
                  </w:r>
                </w:p>
              </w:tc>
              <w:tc>
                <w:tcPr>
                  <w:tcW w:w="9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物化混凝沉淀</w:t>
                  </w:r>
                </w:p>
              </w:tc>
              <w:tc>
                <w:tcPr>
                  <w:tcW w:w="8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DW002</w:t>
                  </w:r>
                </w:p>
              </w:tc>
              <w:tc>
                <w:tcPr>
                  <w:tcW w:w="8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u w:val="none"/>
                      <w14:textFill>
                        <w14:solidFill>
                          <w14:schemeClr w14:val="tx1"/>
                        </w14:solidFill>
                      </w14:textFill>
                    </w:rPr>
                    <w:t>是</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u w:val="none"/>
                      <w14:textFill>
                        <w14:solidFill>
                          <w14:schemeClr w14:val="tx1"/>
                        </w14:solidFill>
                      </w14:textFill>
                    </w:rPr>
                    <w:t>否</w:t>
                  </w:r>
                </w:p>
              </w:tc>
              <w:tc>
                <w:tcPr>
                  <w:tcW w:w="16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u w:val="none"/>
                      <w14:textFill>
                        <w14:solidFill>
                          <w14:schemeClr w14:val="tx1"/>
                        </w14:solidFill>
                      </w14:textFill>
                    </w:rPr>
                    <w:t>企业总排</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u w:val="none"/>
                      <w14:textFill>
                        <w14:solidFill>
                          <w14:schemeClr w14:val="tx1"/>
                        </w14:solidFill>
                      </w14:textFill>
                    </w:rPr>
                    <w:t>雨水排放</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u w:val="none"/>
                      <w14:textFill>
                        <w14:solidFill>
                          <w14:schemeClr w14:val="tx1"/>
                        </w14:solidFill>
                      </w14:textFill>
                    </w:rPr>
                    <w:t>清净下水排放</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u w:val="none"/>
                      <w14:textFill>
                        <w14:solidFill>
                          <w14:schemeClr w14:val="tx1"/>
                        </w14:solidFill>
                      </w14:textFill>
                    </w:rPr>
                    <w:t>温排水排放</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u w:val="none"/>
                      <w14:textFill>
                        <w14:solidFill>
                          <w14:schemeClr w14:val="tx1"/>
                        </w14:solidFill>
                      </w14:textFill>
                    </w:rPr>
                    <w:t>车间或车间处理设施排放口</w:t>
                  </w:r>
                </w:p>
              </w:tc>
            </w:tr>
          </w:tbl>
          <w:p>
            <w:pPr>
              <w:pStyle w:val="10"/>
              <w:keepNext w:val="0"/>
              <w:keepLines w:val="0"/>
              <w:pageBreakBefore w:val="0"/>
              <w:widowControl w:val="0"/>
              <w:tabs>
                <w:tab w:val="left" w:pos="1195"/>
              </w:tabs>
              <w:kinsoku/>
              <w:wordWrap/>
              <w:overflowPunct/>
              <w:topLinePunct w:val="0"/>
              <w:autoSpaceDE/>
              <w:autoSpaceDN/>
              <w:bidi w:val="0"/>
              <w:adjustRightInd/>
              <w:snapToGrid/>
              <w:spacing w:before="157" w:beforeLines="50" w:line="240" w:lineRule="auto"/>
              <w:ind w:left="0"/>
              <w:jc w:val="center"/>
              <w:textAlignment w:val="auto"/>
              <w:rPr>
                <w:rFonts w:hint="default" w:ascii="Times New Roman" w:hAnsi="Times New Roman" w:eastAsia="宋体" w:cs="Times New Roman"/>
                <w:color w:val="000000" w:themeColor="text1"/>
                <w:sz w:val="13"/>
                <w:u w:val="none"/>
                <w14:textFill>
                  <w14:solidFill>
                    <w14:schemeClr w14:val="tx1"/>
                  </w14:solidFill>
                </w14:textFill>
              </w:rPr>
            </w:pPr>
            <w:r>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表8.2-</w:t>
            </w:r>
            <w:r>
              <w:rPr>
                <w:rFonts w:hint="eastAsia"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14</w:t>
            </w:r>
            <w:r>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 xml:space="preserve">  废水直接排放口基本情况表</w:t>
            </w:r>
          </w:p>
          <w:tbl>
            <w:tblPr>
              <w:tblStyle w:val="26"/>
              <w:tblW w:w="924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
            <w:tblGrid>
              <w:gridCol w:w="284"/>
              <w:gridCol w:w="596"/>
              <w:gridCol w:w="834"/>
              <w:gridCol w:w="818"/>
              <w:gridCol w:w="853"/>
              <w:gridCol w:w="572"/>
              <w:gridCol w:w="808"/>
              <w:gridCol w:w="584"/>
              <w:gridCol w:w="752"/>
              <w:gridCol w:w="1034"/>
              <w:gridCol w:w="848"/>
              <w:gridCol w:w="783"/>
              <w:gridCol w:w="47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28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序号</w:t>
                  </w:r>
                </w:p>
              </w:tc>
              <w:tc>
                <w:tcPr>
                  <w:tcW w:w="5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排放口编号</w:t>
                  </w:r>
                </w:p>
              </w:tc>
              <w:tc>
                <w:tcPr>
                  <w:tcW w:w="1652"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排放口地理坐标</w:t>
                  </w:r>
                </w:p>
              </w:tc>
              <w:tc>
                <w:tcPr>
                  <w:tcW w:w="85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废水排放量（万 t/a）</w:t>
                  </w:r>
                </w:p>
              </w:tc>
              <w:tc>
                <w:tcPr>
                  <w:tcW w:w="57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排放去向</w:t>
                  </w:r>
                </w:p>
              </w:tc>
              <w:tc>
                <w:tcPr>
                  <w:tcW w:w="80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排放规律</w:t>
                  </w:r>
                </w:p>
              </w:tc>
              <w:tc>
                <w:tcPr>
                  <w:tcW w:w="58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间歇排放时段</w:t>
                  </w:r>
                </w:p>
              </w:tc>
              <w:tc>
                <w:tcPr>
                  <w:tcW w:w="178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受纳自然水体信息</w:t>
                  </w:r>
                </w:p>
              </w:tc>
              <w:tc>
                <w:tcPr>
                  <w:tcW w:w="163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汇入受纳自然水体处地理坐标</w:t>
                  </w:r>
                </w:p>
              </w:tc>
              <w:tc>
                <w:tcPr>
                  <w:tcW w:w="47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2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5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经度</w:t>
                  </w:r>
                </w:p>
              </w:tc>
              <w:tc>
                <w:tcPr>
                  <w:tcW w:w="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纬度</w:t>
                  </w:r>
                </w:p>
              </w:tc>
              <w:tc>
                <w:tcPr>
                  <w:tcW w:w="85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57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0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58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7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名称</w:t>
                  </w:r>
                </w:p>
              </w:tc>
              <w:tc>
                <w:tcPr>
                  <w:tcW w:w="10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受纳水体功能目标</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经度</w:t>
                  </w:r>
                </w:p>
              </w:tc>
              <w:tc>
                <w:tcPr>
                  <w:tcW w:w="7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纬度</w:t>
                  </w:r>
                </w:p>
              </w:tc>
              <w:tc>
                <w:tcPr>
                  <w:tcW w:w="47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5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DW001</w:t>
                  </w:r>
                </w:p>
              </w:tc>
              <w:tc>
                <w:tcPr>
                  <w:tcW w:w="8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113°30′46.30″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23°47′05.14″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8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0.0432</w:t>
                  </w:r>
                </w:p>
              </w:tc>
              <w:tc>
                <w:tcPr>
                  <w:tcW w:w="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潖江河</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连续排放，流量稳定</w:t>
                  </w:r>
                </w:p>
              </w:tc>
              <w:tc>
                <w:tcPr>
                  <w:tcW w:w="5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7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潖江河</w:t>
                  </w:r>
                </w:p>
              </w:tc>
              <w:tc>
                <w:tcPr>
                  <w:tcW w:w="10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III</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类</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113°30′46.33″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23°47′05.17″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4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2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2</w:t>
                  </w:r>
                </w:p>
              </w:tc>
              <w:tc>
                <w:tcPr>
                  <w:tcW w:w="5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DW00</w:t>
                  </w: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2</w:t>
                  </w:r>
                </w:p>
              </w:tc>
              <w:tc>
                <w:tcPr>
                  <w:tcW w:w="8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113°30′46.32″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8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23°47′05.16″</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8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0.279</w:t>
                  </w:r>
                </w:p>
              </w:tc>
              <w:tc>
                <w:tcPr>
                  <w:tcW w:w="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潖江河</w:t>
                  </w:r>
                </w:p>
              </w:tc>
              <w:tc>
                <w:tcPr>
                  <w:tcW w:w="8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连续排放，流量稳定</w:t>
                  </w:r>
                </w:p>
              </w:tc>
              <w:tc>
                <w:tcPr>
                  <w:tcW w:w="58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75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潖江河</w:t>
                  </w:r>
                </w:p>
              </w:tc>
              <w:tc>
                <w:tcPr>
                  <w:tcW w:w="10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III</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类</w:t>
                  </w:r>
                </w:p>
              </w:tc>
              <w:tc>
                <w:tcPr>
                  <w:tcW w:w="84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113°30′46.33″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E</w:t>
                  </w:r>
                </w:p>
              </w:tc>
              <w:tc>
                <w:tcPr>
                  <w:tcW w:w="78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23°47′05.17″</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w:t>
                  </w:r>
                </w:p>
              </w:tc>
              <w:tc>
                <w:tcPr>
                  <w:tcW w:w="47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w:t>
                  </w:r>
                </w:p>
              </w:tc>
            </w:tr>
          </w:tbl>
          <w:p>
            <w:pPr>
              <w:pStyle w:val="10"/>
              <w:keepNext w:val="0"/>
              <w:keepLines w:val="0"/>
              <w:pageBreakBefore w:val="0"/>
              <w:widowControl w:val="0"/>
              <w:tabs>
                <w:tab w:val="left" w:pos="1195"/>
              </w:tabs>
              <w:kinsoku/>
              <w:wordWrap/>
              <w:overflowPunct/>
              <w:topLinePunct w:val="0"/>
              <w:autoSpaceDE/>
              <w:autoSpaceDN/>
              <w:bidi w:val="0"/>
              <w:adjustRightInd/>
              <w:snapToGrid/>
              <w:spacing w:before="157" w:beforeLines="50" w:line="240" w:lineRule="auto"/>
              <w:ind w:left="0"/>
              <w:jc w:val="center"/>
              <w:textAlignment w:val="auto"/>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表8.2-</w:t>
            </w:r>
            <w:r>
              <w:rPr>
                <w:rFonts w:hint="eastAsia"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15</w:t>
            </w:r>
            <w:r>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 xml:space="preserve">  废水污染物排放执行标准表</w:t>
            </w:r>
          </w:p>
          <w:tbl>
            <w:tblPr>
              <w:tblStyle w:val="26"/>
              <w:tblW w:w="9244"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
            <w:tblGrid>
              <w:gridCol w:w="763"/>
              <w:gridCol w:w="832"/>
              <w:gridCol w:w="2196"/>
              <w:gridCol w:w="3395"/>
              <w:gridCol w:w="20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7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序号</w:t>
                  </w:r>
                </w:p>
              </w:tc>
              <w:tc>
                <w:tcPr>
                  <w:tcW w:w="8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排放口编号</w:t>
                  </w:r>
                </w:p>
              </w:tc>
              <w:tc>
                <w:tcPr>
                  <w:tcW w:w="2196"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污染物种类</w:t>
                  </w:r>
                </w:p>
              </w:tc>
              <w:tc>
                <w:tcPr>
                  <w:tcW w:w="5453"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国家或地方污染物排放标准及其他按规定商定的排放协议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7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19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33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名称</w:t>
                  </w:r>
                </w:p>
              </w:tc>
              <w:tc>
                <w:tcPr>
                  <w:tcW w:w="20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浓度限值(mg/L)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763" w:type="dxa"/>
                  <w:vMerge w:val="restart"/>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lang w:val="en-US"/>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8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DW001</w:t>
                  </w: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COD</w:t>
                  </w:r>
                  <w:r>
                    <w:rPr>
                      <w:rFonts w:hint="default" w:ascii="Times New Roman" w:hAnsi="Times New Roman" w:eastAsia="宋体" w:cs="Times New Roman"/>
                      <w:color w:val="000000" w:themeColor="text1"/>
                      <w:sz w:val="21"/>
                      <w:szCs w:val="21"/>
                      <w:u w:val="none"/>
                      <w:vertAlign w:val="subscript"/>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u w:val="none"/>
                      <w:vertAlign w:val="subscript"/>
                      <w:lang w:eastAsia="zh-CN"/>
                      <w14:textFill>
                        <w14:solidFill>
                          <w14:schemeClr w14:val="tx1"/>
                        </w14:solidFill>
                      </w14:textFill>
                    </w:rPr>
                    <w:t>r</w:t>
                  </w:r>
                </w:p>
              </w:tc>
              <w:tc>
                <w:tcPr>
                  <w:tcW w:w="33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广东省地方标准《水污染物排放限值》(DB44/26-2001)中第二时段一级标准</w:t>
                  </w:r>
                </w:p>
              </w:tc>
              <w:tc>
                <w:tcPr>
                  <w:tcW w:w="2058"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7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p>
              </w:tc>
              <w:tc>
                <w:tcPr>
                  <w:tcW w:w="8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u w:val="none"/>
                      <w:vertAlign w:val="subscript"/>
                      <w:lang w:val="en-US" w:eastAsia="zh-CN"/>
                      <w14:textFill>
                        <w14:solidFill>
                          <w14:schemeClr w14:val="tx1"/>
                        </w14:solidFill>
                      </w14:textFill>
                    </w:rPr>
                    <w:t>5</w:t>
                  </w:r>
                </w:p>
              </w:tc>
              <w:tc>
                <w:tcPr>
                  <w:tcW w:w="3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058"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763"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SS</w:t>
                  </w:r>
                </w:p>
              </w:tc>
              <w:tc>
                <w:tcPr>
                  <w:tcW w:w="3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058"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763"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NH</w:t>
                  </w:r>
                  <w:r>
                    <w:rPr>
                      <w:rFonts w:hint="default" w:ascii="Times New Roman" w:hAnsi="Times New Roman" w:eastAsia="宋体" w:cs="Times New Roman"/>
                      <w:color w:val="000000" w:themeColor="text1"/>
                      <w:sz w:val="21"/>
                      <w:szCs w:val="21"/>
                      <w:u w:val="none"/>
                      <w:vertAlign w:val="sub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-N</w:t>
                  </w:r>
                </w:p>
              </w:tc>
              <w:tc>
                <w:tcPr>
                  <w:tcW w:w="3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0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763"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LAS</w:t>
                  </w:r>
                </w:p>
              </w:tc>
              <w:tc>
                <w:tcPr>
                  <w:tcW w:w="3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058"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763"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动植物油</w:t>
                  </w:r>
                </w:p>
              </w:tc>
              <w:tc>
                <w:tcPr>
                  <w:tcW w:w="3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058"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763" w:type="dxa"/>
                  <w:vMerge w:val="restart"/>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2</w:t>
                  </w:r>
                </w:p>
              </w:tc>
              <w:tc>
                <w:tcPr>
                  <w:tcW w:w="83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DW002</w:t>
                  </w: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COD</w:t>
                  </w:r>
                  <w:r>
                    <w:rPr>
                      <w:rFonts w:hint="default" w:ascii="Times New Roman" w:hAnsi="Times New Roman" w:eastAsia="宋体" w:cs="Times New Roman"/>
                      <w:color w:val="000000" w:themeColor="text1"/>
                      <w:sz w:val="21"/>
                      <w:szCs w:val="21"/>
                      <w:u w:val="none"/>
                      <w:vertAlign w:val="subscript"/>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u w:val="none"/>
                      <w:vertAlign w:val="subscript"/>
                      <w:lang w:eastAsia="zh-CN"/>
                      <w14:textFill>
                        <w14:solidFill>
                          <w14:schemeClr w14:val="tx1"/>
                        </w14:solidFill>
                      </w14:textFill>
                    </w:rPr>
                    <w:t>r</w:t>
                  </w:r>
                </w:p>
              </w:tc>
              <w:tc>
                <w:tcPr>
                  <w:tcW w:w="33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广东省地方标准《水污染物排放限值》(DB44/26-2001)中第二时段一级标准</w:t>
                  </w:r>
                </w:p>
              </w:tc>
              <w:tc>
                <w:tcPr>
                  <w:tcW w:w="20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8" w:space="0"/>
                </w:tblBorders>
                <w:tblLayout w:type="fixed"/>
                <w:tblCellMar>
                  <w:top w:w="0" w:type="dxa"/>
                  <w:left w:w="0" w:type="dxa"/>
                  <w:bottom w:w="0" w:type="dxa"/>
                  <w:right w:w="0" w:type="dxa"/>
                </w:tblCellMar>
              </w:tblPrEx>
              <w:trPr>
                <w:trHeight w:val="340" w:hRule="atLeast"/>
                <w:jc w:val="center"/>
              </w:trPr>
              <w:tc>
                <w:tcPr>
                  <w:tcW w:w="763"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83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19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SS</w:t>
                  </w:r>
                </w:p>
              </w:tc>
              <w:tc>
                <w:tcPr>
                  <w:tcW w:w="3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14:textFill>
                        <w14:solidFill>
                          <w14:schemeClr w14:val="tx1"/>
                        </w14:solidFill>
                      </w14:textFill>
                    </w:rPr>
                  </w:pPr>
                </w:p>
              </w:tc>
              <w:tc>
                <w:tcPr>
                  <w:tcW w:w="205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0"/>
                      <w:lang w:val="en-US" w:eastAsia="zh-CN"/>
                      <w14:textFill>
                        <w14:solidFill>
                          <w14:schemeClr w14:val="tx1"/>
                        </w14:solidFill>
                      </w14:textFill>
                    </w:rPr>
                    <w:t>60</w:t>
                  </w:r>
                </w:p>
              </w:tc>
            </w:tr>
          </w:tbl>
          <w:p>
            <w:pPr>
              <w:pStyle w:val="10"/>
              <w:keepNext w:val="0"/>
              <w:keepLines w:val="0"/>
              <w:pageBreakBefore w:val="0"/>
              <w:widowControl w:val="0"/>
              <w:tabs>
                <w:tab w:val="left" w:pos="1195"/>
              </w:tabs>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表8.2-</w:t>
            </w:r>
            <w:r>
              <w:rPr>
                <w:rFonts w:hint="eastAsia"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16</w:t>
            </w:r>
            <w:r>
              <w:rPr>
                <w:rFonts w:hint="default" w:ascii="Times New Roman" w:hAnsi="Times New Roman" w:eastAsia="宋体" w:cs="Times New Roman"/>
                <w:b/>
                <w:bCs w:val="0"/>
                <w:color w:val="000000" w:themeColor="text1"/>
                <w:kern w:val="2"/>
                <w:sz w:val="24"/>
                <w:szCs w:val="24"/>
                <w:u w:val="none"/>
                <w:lang w:val="en-US" w:eastAsia="zh-CN" w:bidi="ar-SA"/>
                <w14:textFill>
                  <w14:solidFill>
                    <w14:schemeClr w14:val="tx1"/>
                  </w14:solidFill>
                </w14:textFill>
              </w:rPr>
              <w:t xml:space="preserve">  废水污染物排放信息表（新建项目）</w:t>
            </w:r>
          </w:p>
          <w:tbl>
            <w:tblPr>
              <w:tblStyle w:val="26"/>
              <w:tblW w:w="924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6"/>
              <w:gridCol w:w="1480"/>
              <w:gridCol w:w="1257"/>
              <w:gridCol w:w="1806"/>
              <w:gridCol w:w="1957"/>
              <w:gridCol w:w="195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786" w:type="dxa"/>
                  <w:tcBorders>
                    <w:tl2br w:val="nil"/>
                    <w:tr2bl w:val="nil"/>
                  </w:tcBorders>
                  <w:noWrap w:val="0"/>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Cs w:val="21"/>
                      <w:u w:val="none"/>
                      <w:lang w:eastAsia="zh-CN"/>
                      <w14:textFill>
                        <w14:solidFill>
                          <w14:schemeClr w14:val="tx1"/>
                        </w14:solidFill>
                      </w14:textFill>
                    </w:rPr>
                    <w:t>序号</w:t>
                  </w:r>
                </w:p>
              </w:tc>
              <w:tc>
                <w:tcPr>
                  <w:tcW w:w="1480" w:type="dxa"/>
                  <w:tcBorders>
                    <w:tl2br w:val="nil"/>
                    <w:tr2bl w:val="nil"/>
                  </w:tcBorders>
                  <w:noWrap w:val="0"/>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Cs w:val="21"/>
                      <w:u w:val="none"/>
                      <w:lang w:eastAsia="zh-CN"/>
                      <w14:textFill>
                        <w14:solidFill>
                          <w14:schemeClr w14:val="tx1"/>
                        </w14:solidFill>
                      </w14:textFill>
                    </w:rPr>
                    <w:t>排放口编号</w:t>
                  </w:r>
                </w:p>
              </w:tc>
              <w:tc>
                <w:tcPr>
                  <w:tcW w:w="1257" w:type="dxa"/>
                  <w:tcBorders>
                    <w:tl2br w:val="nil"/>
                    <w:tr2bl w:val="nil"/>
                  </w:tcBorders>
                  <w:noWrap w:val="0"/>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Cs w:val="21"/>
                      <w:u w:val="none"/>
                      <w:lang w:eastAsia="zh-CN"/>
                      <w14:textFill>
                        <w14:solidFill>
                          <w14:schemeClr w14:val="tx1"/>
                        </w14:solidFill>
                      </w14:textFill>
                    </w:rPr>
                    <w:t>污染物种类</w:t>
                  </w:r>
                </w:p>
              </w:tc>
              <w:tc>
                <w:tcPr>
                  <w:tcW w:w="1806" w:type="dxa"/>
                  <w:tcBorders>
                    <w:tl2br w:val="nil"/>
                    <w:tr2bl w:val="nil"/>
                  </w:tcBorders>
                  <w:noWrap w:val="0"/>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Cs w:val="21"/>
                      <w:u w:val="none"/>
                      <w:lang w:eastAsia="zh-CN"/>
                      <w14:textFill>
                        <w14:solidFill>
                          <w14:schemeClr w14:val="tx1"/>
                        </w14:solidFill>
                      </w14:textFill>
                    </w:rPr>
                    <w:t>排放浓度（mg/L）</w:t>
                  </w:r>
                </w:p>
              </w:tc>
              <w:tc>
                <w:tcPr>
                  <w:tcW w:w="1957" w:type="dxa"/>
                  <w:tcBorders>
                    <w:tl2br w:val="nil"/>
                    <w:tr2bl w:val="nil"/>
                  </w:tcBorders>
                  <w:noWrap w:val="0"/>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Cs w:val="21"/>
                      <w:u w:val="none"/>
                      <w:lang w:eastAsia="zh-CN"/>
                      <w14:textFill>
                        <w14:solidFill>
                          <w14:schemeClr w14:val="tx1"/>
                        </w14:solidFill>
                      </w14:textFill>
                    </w:rPr>
                    <w:t>日排放量（t/d）</w:t>
                  </w:r>
                </w:p>
              </w:tc>
              <w:tc>
                <w:tcPr>
                  <w:tcW w:w="1958" w:type="dxa"/>
                  <w:tcBorders>
                    <w:tl2br w:val="nil"/>
                    <w:tr2bl w:val="nil"/>
                  </w:tcBorders>
                  <w:noWrap w:val="0"/>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Cs w:val="21"/>
                      <w:u w:val="none"/>
                      <w:lang w:eastAsia="zh-CN"/>
                      <w14:textFill>
                        <w14:solidFill>
                          <w14:schemeClr w14:val="tx1"/>
                        </w14:solidFill>
                      </w14:textFill>
                    </w:rPr>
                    <w:t>年排放量（t/a）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786" w:type="dxa"/>
                  <w:vMerge w:val="restart"/>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w:t>
                  </w:r>
                </w:p>
              </w:tc>
              <w:tc>
                <w:tcPr>
                  <w:tcW w:w="14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DW001</w:t>
                  </w:r>
                </w:p>
              </w:tc>
              <w:tc>
                <w:tcPr>
                  <w:tcW w:w="1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COD</w:t>
                  </w:r>
                  <w:r>
                    <w:rPr>
                      <w:rFonts w:hint="default" w:ascii="Times New Roman" w:hAnsi="Times New Roman" w:eastAsia="宋体" w:cs="Times New Roman"/>
                      <w:color w:val="000000" w:themeColor="text1"/>
                      <w:sz w:val="21"/>
                      <w:szCs w:val="21"/>
                      <w:u w:val="none"/>
                      <w:vertAlign w:val="subscript"/>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u w:val="none"/>
                      <w:vertAlign w:val="subscript"/>
                      <w:lang w:eastAsia="zh-CN"/>
                      <w14:textFill>
                        <w14:solidFill>
                          <w14:schemeClr w14:val="tx1"/>
                        </w14:solidFill>
                      </w14:textFill>
                    </w:rPr>
                    <w:t>r</w:t>
                  </w:r>
                </w:p>
              </w:tc>
              <w:tc>
                <w:tcPr>
                  <w:tcW w:w="1806"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90</w:t>
                  </w:r>
                </w:p>
              </w:tc>
              <w:tc>
                <w:tcPr>
                  <w:tcW w:w="1957"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 xml:space="preserve">0.00013 </w:t>
                  </w:r>
                </w:p>
              </w:tc>
              <w:tc>
                <w:tcPr>
                  <w:tcW w:w="1958"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786"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4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u w:val="none"/>
                      <w:vertAlign w:val="subscript"/>
                      <w:lang w:val="en-US" w:eastAsia="zh-CN"/>
                      <w14:textFill>
                        <w14:solidFill>
                          <w14:schemeClr w14:val="tx1"/>
                        </w14:solidFill>
                      </w14:textFill>
                    </w:rPr>
                    <w:t>5</w:t>
                  </w:r>
                </w:p>
              </w:tc>
              <w:tc>
                <w:tcPr>
                  <w:tcW w:w="1806"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1957"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 xml:space="preserve">0.00003 </w:t>
                  </w:r>
                </w:p>
              </w:tc>
              <w:tc>
                <w:tcPr>
                  <w:tcW w:w="1958"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786"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4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SS</w:t>
                  </w:r>
                </w:p>
              </w:tc>
              <w:tc>
                <w:tcPr>
                  <w:tcW w:w="1806"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60</w:t>
                  </w:r>
                </w:p>
              </w:tc>
              <w:tc>
                <w:tcPr>
                  <w:tcW w:w="1957"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 xml:space="preserve">0.00009 </w:t>
                  </w:r>
                </w:p>
              </w:tc>
              <w:tc>
                <w:tcPr>
                  <w:tcW w:w="1958"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786"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4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NH</w:t>
                  </w:r>
                  <w:r>
                    <w:rPr>
                      <w:rFonts w:hint="default" w:ascii="Times New Roman" w:hAnsi="Times New Roman" w:eastAsia="宋体" w:cs="Times New Roman"/>
                      <w:color w:val="000000" w:themeColor="text1"/>
                      <w:sz w:val="21"/>
                      <w:szCs w:val="21"/>
                      <w:u w:val="none"/>
                      <w:vertAlign w:val="subscript"/>
                      <w:lang w:eastAsia="zh-CN"/>
                      <w14:textFill>
                        <w14:solidFill>
                          <w14:schemeClr w14:val="tx1"/>
                        </w14:solidFill>
                      </w14:textFill>
                    </w:rPr>
                    <w:t>3</w:t>
                  </w: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-N</w:t>
                  </w: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10</w:t>
                  </w:r>
                </w:p>
              </w:tc>
              <w:tc>
                <w:tcPr>
                  <w:tcW w:w="1957"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 xml:space="preserve">0.00001 </w:t>
                  </w:r>
                </w:p>
              </w:tc>
              <w:tc>
                <w:tcPr>
                  <w:tcW w:w="1958"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786"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4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257" w:type="dxa"/>
                  <w:tcBorders>
                    <w:tl2br w:val="nil"/>
                    <w:tr2bl w:val="nil"/>
                  </w:tcBorders>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lang w:eastAsia="zh-CN"/>
                      <w14:textFill>
                        <w14:solidFill>
                          <w14:schemeClr w14:val="tx1"/>
                        </w14:solidFill>
                      </w14:textFill>
                    </w:rPr>
                    <w:t>动植物油</w:t>
                  </w:r>
                </w:p>
              </w:tc>
              <w:tc>
                <w:tcPr>
                  <w:tcW w:w="1806"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1957"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 xml:space="preserve">0.00001 </w:t>
                  </w:r>
                </w:p>
              </w:tc>
              <w:tc>
                <w:tcPr>
                  <w:tcW w:w="1958"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786"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4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257" w:type="dxa"/>
                  <w:tcBorders>
                    <w:tl2br w:val="nil"/>
                    <w:tr2bl w:val="nil"/>
                  </w:tcBorders>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lang w:val="en-US" w:eastAsia="zh-CN"/>
                      <w14:textFill>
                        <w14:solidFill>
                          <w14:schemeClr w14:val="tx1"/>
                        </w14:solidFill>
                      </w14:textFill>
                    </w:rPr>
                    <w:t>LAS</w:t>
                  </w:r>
                </w:p>
              </w:tc>
              <w:tc>
                <w:tcPr>
                  <w:tcW w:w="1806" w:type="dxa"/>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1957"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 xml:space="preserve">0.00001 </w:t>
                  </w:r>
                </w:p>
              </w:tc>
              <w:tc>
                <w:tcPr>
                  <w:tcW w:w="1958"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786" w:type="dxa"/>
                  <w:vMerge w:val="restart"/>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2</w:t>
                  </w:r>
                </w:p>
              </w:tc>
              <w:tc>
                <w:tcPr>
                  <w:tcW w:w="148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DW002</w:t>
                  </w:r>
                </w:p>
              </w:tc>
              <w:tc>
                <w:tcPr>
                  <w:tcW w:w="1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eastAsia="zh-CN"/>
                      <w14:textFill>
                        <w14:solidFill>
                          <w14:schemeClr w14:val="tx1"/>
                        </w14:solidFill>
                      </w14:textFill>
                    </w:rPr>
                    <w:t>COD</w:t>
                  </w:r>
                  <w:r>
                    <w:rPr>
                      <w:rFonts w:hint="default" w:ascii="Times New Roman" w:hAnsi="Times New Roman" w:eastAsia="宋体" w:cs="Times New Roman"/>
                      <w:color w:val="000000" w:themeColor="text1"/>
                      <w:sz w:val="21"/>
                      <w:szCs w:val="21"/>
                      <w:u w:val="none"/>
                      <w:vertAlign w:val="subscript"/>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u w:val="none"/>
                      <w:vertAlign w:val="subscript"/>
                      <w:lang w:eastAsia="zh-CN"/>
                      <w14:textFill>
                        <w14:solidFill>
                          <w14:schemeClr w14:val="tx1"/>
                        </w14:solidFill>
                      </w14:textFill>
                    </w:rPr>
                    <w:t>r</w:t>
                  </w: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i w:val="0"/>
                      <w:cap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90</w:t>
                  </w:r>
                </w:p>
              </w:tc>
              <w:tc>
                <w:tcPr>
                  <w:tcW w:w="1957"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 xml:space="preserve">0.00084 </w:t>
                  </w:r>
                </w:p>
              </w:tc>
              <w:tc>
                <w:tcPr>
                  <w:tcW w:w="1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i w:val="0"/>
                      <w:cap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caps w:val="0"/>
                      <w:color w:val="000000" w:themeColor="text1"/>
                      <w:kern w:val="0"/>
                      <w:sz w:val="21"/>
                      <w:szCs w:val="21"/>
                      <w:highlight w:val="none"/>
                      <w:u w:val="none"/>
                      <w:lang w:val="en-US" w:eastAsia="zh-CN" w:bidi="ar"/>
                      <w14:textFill>
                        <w14:solidFill>
                          <w14:schemeClr w14:val="tx1"/>
                        </w14:solidFill>
                      </w14:textFill>
                    </w:rPr>
                    <w:t>0.251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786" w:type="dxa"/>
                  <w:vMerge w:val="continue"/>
                  <w:tcBorders>
                    <w:tl2br w:val="nil"/>
                    <w:tr2bl w:val="nil"/>
                  </w:tcBorders>
                  <w:noWrap w:val="0"/>
                  <w:vAlign w:val="center"/>
                </w:tcPr>
                <w:p>
                  <w:pPr>
                    <w:pStyle w:val="141"/>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48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125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SS</w:t>
                  </w:r>
                </w:p>
              </w:tc>
              <w:tc>
                <w:tcPr>
                  <w:tcW w:w="180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default" w:ascii="Times New Roman" w:hAnsi="Times New Roman" w:eastAsia="宋体" w:cs="Times New Roman"/>
                      <w:b w:val="0"/>
                      <w:bCs/>
                      <w:i w:val="0"/>
                      <w:cap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0"/>
                      <w:lang w:val="en-US" w:eastAsia="zh-CN"/>
                      <w14:textFill>
                        <w14:solidFill>
                          <w14:schemeClr w14:val="tx1"/>
                        </w14:solidFill>
                      </w14:textFill>
                    </w:rPr>
                    <w:t>60</w:t>
                  </w:r>
                </w:p>
              </w:tc>
              <w:tc>
                <w:tcPr>
                  <w:tcW w:w="1957" w:type="dxa"/>
                  <w:tcBorders>
                    <w:tl2br w:val="nil"/>
                    <w:tr2bl w:val="nil"/>
                  </w:tcBorders>
                  <w:noWrap w:val="0"/>
                  <w:vAlign w:val="center"/>
                </w:tcPr>
                <w:p>
                  <w:pPr>
                    <w:widowControl/>
                    <w:jc w:val="center"/>
                    <w:textAlignment w:val="cente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 xml:space="preserve">0.00056 </w:t>
                  </w:r>
                </w:p>
              </w:tc>
              <w:tc>
                <w:tcPr>
                  <w:tcW w:w="195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outlineLvl w:val="9"/>
                    <w:rPr>
                      <w:rFonts w:hint="default" w:ascii="Times New Roman" w:hAnsi="Times New Roman" w:eastAsia="宋体" w:cs="Times New Roman"/>
                      <w:b w:val="0"/>
                      <w:bCs/>
                      <w:i w:val="0"/>
                      <w:cap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i w:val="0"/>
                      <w:caps w:val="0"/>
                      <w:color w:val="000000" w:themeColor="text1"/>
                      <w:kern w:val="0"/>
                      <w:sz w:val="21"/>
                      <w:szCs w:val="21"/>
                      <w:highlight w:val="none"/>
                      <w:u w:val="none"/>
                      <w:lang w:val="en-US" w:eastAsia="zh-CN" w:bidi="ar"/>
                      <w14:textFill>
                        <w14:solidFill>
                          <w14:schemeClr w14:val="tx1"/>
                        </w14:solidFill>
                      </w14:textFill>
                    </w:rPr>
                    <w:t>0.167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266" w:type="dxa"/>
                  <w:gridSpan w:val="2"/>
                  <w:vMerge w:val="restart"/>
                  <w:tcBorders>
                    <w:tl2br w:val="nil"/>
                    <w:tr2bl w:val="nil"/>
                  </w:tcBorders>
                  <w:noWrap w:val="0"/>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color w:val="000000" w:themeColor="text1"/>
                      <w:szCs w:val="21"/>
                      <w:u w:val="none"/>
                      <w:lang w:eastAsia="zh-CN"/>
                      <w14:textFill>
                        <w14:solidFill>
                          <w14:schemeClr w14:val="tx1"/>
                        </w14:solidFill>
                      </w14:textFill>
                    </w:rPr>
                    <w:t>全厂排放口合计</w:t>
                  </w:r>
                </w:p>
              </w:tc>
              <w:tc>
                <w:tcPr>
                  <w:tcW w:w="5020" w:type="dxa"/>
                  <w:gridSpan w:val="3"/>
                  <w:tcBorders>
                    <w:tl2br w:val="nil"/>
                    <w:tr2bl w:val="nil"/>
                  </w:tcBorders>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CODc</w:t>
                  </w:r>
                  <w:r>
                    <w:rPr>
                      <w:rFonts w:hint="default" w:ascii="Times New Roman" w:hAnsi="Times New Roman" w:eastAsia="宋体" w:cs="Times New Roman"/>
                      <w:b w:val="0"/>
                      <w:color w:val="000000" w:themeColor="text1"/>
                      <w:szCs w:val="21"/>
                      <w:highlight w:val="none"/>
                      <w:vertAlign w:val="subscript"/>
                      <w14:textFill>
                        <w14:solidFill>
                          <w14:schemeClr w14:val="tx1"/>
                        </w14:solidFill>
                      </w14:textFill>
                    </w:rPr>
                    <w:t>r</w:t>
                  </w:r>
                </w:p>
              </w:tc>
              <w:tc>
                <w:tcPr>
                  <w:tcW w:w="1958"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0.290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266" w:type="dxa"/>
                  <w:gridSpan w:val="2"/>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5020" w:type="dxa"/>
                  <w:gridSpan w:val="3"/>
                  <w:tcBorders>
                    <w:tl2br w:val="nil"/>
                    <w:tr2bl w:val="nil"/>
                  </w:tcBorders>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Cs w:val="21"/>
                      <w:u w:val="none"/>
                      <w:lang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BOD</w:t>
                  </w:r>
                  <w:r>
                    <w:rPr>
                      <w:rFonts w:hint="default" w:ascii="Times New Roman" w:hAnsi="Times New Roman" w:eastAsia="宋体" w:cs="Times New Roman"/>
                      <w:b w:val="0"/>
                      <w:color w:val="000000" w:themeColor="text1"/>
                      <w:szCs w:val="21"/>
                      <w:highlight w:val="none"/>
                      <w:vertAlign w:val="subscript"/>
                      <w14:textFill>
                        <w14:solidFill>
                          <w14:schemeClr w14:val="tx1"/>
                        </w14:solidFill>
                      </w14:textFill>
                    </w:rPr>
                    <w:t>5</w:t>
                  </w:r>
                </w:p>
              </w:tc>
              <w:tc>
                <w:tcPr>
                  <w:tcW w:w="1958"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266" w:type="dxa"/>
                  <w:gridSpan w:val="2"/>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5020" w:type="dxa"/>
                  <w:gridSpan w:val="3"/>
                  <w:tcBorders>
                    <w:tl2br w:val="nil"/>
                    <w:tr2bl w:val="nil"/>
                  </w:tcBorders>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SS</w:t>
                  </w:r>
                </w:p>
              </w:tc>
              <w:tc>
                <w:tcPr>
                  <w:tcW w:w="1958"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0.193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266" w:type="dxa"/>
                  <w:gridSpan w:val="2"/>
                  <w:vMerge w:val="continue"/>
                  <w:tcBorders>
                    <w:tl2br w:val="nil"/>
                    <w:tr2bl w:val="nil"/>
                  </w:tcBorders>
                  <w:noWrap w:val="0"/>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5020" w:type="dxa"/>
                  <w:gridSpan w:val="3"/>
                  <w:tcBorders>
                    <w:tl2br w:val="nil"/>
                    <w:tr2bl w:val="nil"/>
                  </w:tcBorders>
                  <w:noWrap w:val="0"/>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14:textFill>
                        <w14:solidFill>
                          <w14:schemeClr w14:val="tx1"/>
                        </w14:solidFill>
                      </w14:textFill>
                    </w:rPr>
                    <w:t>NH</w:t>
                  </w:r>
                  <w:r>
                    <w:rPr>
                      <w:rFonts w:hint="default" w:ascii="Times New Roman" w:hAnsi="Times New Roman" w:eastAsia="宋体" w:cs="Times New Roman"/>
                      <w:b w:val="0"/>
                      <w:color w:val="000000" w:themeColor="text1"/>
                      <w:szCs w:val="21"/>
                      <w:highlight w:val="none"/>
                      <w:vertAlign w:val="subscript"/>
                      <w14:textFill>
                        <w14:solidFill>
                          <w14:schemeClr w14:val="tx1"/>
                        </w14:solidFill>
                      </w14:textFill>
                    </w:rPr>
                    <w:t>3</w:t>
                  </w:r>
                  <w:r>
                    <w:rPr>
                      <w:rFonts w:hint="default" w:ascii="Times New Roman" w:hAnsi="Times New Roman" w:eastAsia="宋体" w:cs="Times New Roman"/>
                      <w:b w:val="0"/>
                      <w:color w:val="000000" w:themeColor="text1"/>
                      <w:szCs w:val="21"/>
                      <w:highlight w:val="none"/>
                      <w14:textFill>
                        <w14:solidFill>
                          <w14:schemeClr w14:val="tx1"/>
                        </w14:solidFill>
                      </w14:textFill>
                    </w:rPr>
                    <w:t>-N</w:t>
                  </w:r>
                </w:p>
              </w:tc>
              <w:tc>
                <w:tcPr>
                  <w:tcW w:w="1958"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266" w:type="dxa"/>
                  <w:gridSpan w:val="2"/>
                  <w:vMerge w:val="continue"/>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5020" w:type="dxa"/>
                  <w:gridSpan w:val="3"/>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lang w:eastAsia="zh-CN"/>
                      <w14:textFill>
                        <w14:solidFill>
                          <w14:schemeClr w14:val="tx1"/>
                        </w14:solidFill>
                      </w14:textFill>
                    </w:rPr>
                    <w:t>动植物油</w:t>
                  </w:r>
                </w:p>
              </w:tc>
              <w:tc>
                <w:tcPr>
                  <w:tcW w:w="1958" w:type="dxa"/>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266" w:type="dxa"/>
                  <w:gridSpan w:val="2"/>
                  <w:vMerge w:val="continue"/>
                  <w:vAlign w:val="center"/>
                </w:tcPr>
                <w:p>
                  <w:pPr>
                    <w:jc w:val="center"/>
                    <w:rPr>
                      <w:rFonts w:hint="default" w:ascii="Times New Roman" w:hAnsi="Times New Roman" w:eastAsia="宋体" w:cs="Times New Roman"/>
                      <w:color w:val="000000" w:themeColor="text1"/>
                      <w:szCs w:val="21"/>
                      <w:u w:val="none"/>
                      <w:lang w:eastAsia="zh-CN"/>
                      <w14:textFill>
                        <w14:solidFill>
                          <w14:schemeClr w14:val="tx1"/>
                        </w14:solidFill>
                      </w14:textFill>
                    </w:rPr>
                  </w:pPr>
                </w:p>
              </w:tc>
              <w:tc>
                <w:tcPr>
                  <w:tcW w:w="5020" w:type="dxa"/>
                  <w:gridSpan w:val="3"/>
                  <w:vAlign w:val="center"/>
                </w:tcPr>
                <w:p>
                  <w:pPr>
                    <w:pStyle w:val="10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 w:val="0"/>
                      <w:color w:val="000000" w:themeColor="text1"/>
                      <w:szCs w:val="21"/>
                      <w:highlight w:val="none"/>
                      <w:lang w:val="en-US" w:eastAsia="zh-CN"/>
                      <w14:textFill>
                        <w14:solidFill>
                          <w14:schemeClr w14:val="tx1"/>
                        </w14:solidFill>
                      </w14:textFill>
                    </w:rPr>
                    <w:t>LAS</w:t>
                  </w:r>
                </w:p>
              </w:tc>
              <w:tc>
                <w:tcPr>
                  <w:tcW w:w="1958" w:type="dxa"/>
                  <w:vAlign w:val="center"/>
                </w:tcPr>
                <w:p>
                  <w:pPr>
                    <w:widowControl/>
                    <w:jc w:val="center"/>
                    <w:textAlignment w:val="center"/>
                    <w:rPr>
                      <w:rFonts w:hint="default" w:ascii="Times New Roman" w:hAnsi="Times New Roman" w:eastAsia="宋体" w:cs="Times New Roman"/>
                      <w:color w:val="000000" w:themeColor="text1"/>
                      <w:szCs w:val="21"/>
                      <w:u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t>0.002</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outlineLvl w:val="9"/>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t>7、地表水环境影响评价自查表</w:t>
            </w:r>
          </w:p>
          <w:p>
            <w:pPr>
              <w:pStyle w:val="36"/>
              <w:keepNext w:val="0"/>
              <w:keepLines w:val="0"/>
              <w:pageBreakBefore w:val="0"/>
              <w:widowControl w:val="0"/>
              <w:kinsoku/>
              <w:wordWrap/>
              <w:overflowPunct/>
              <w:topLinePunct w:val="0"/>
              <w:autoSpaceDE w:val="0"/>
              <w:autoSpaceDN w:val="0"/>
              <w:bidi w:val="0"/>
              <w:adjustRightInd/>
              <w:snapToGrid/>
              <w:spacing w:before="157" w:beforeLines="50"/>
              <w:jc w:val="center"/>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表8.2-</w:t>
            </w:r>
            <w:r>
              <w:rPr>
                <w:rFonts w:hint="eastAsia" w:ascii="Times New Roman" w:hAnsi="Times New Roman" w:eastAsia="宋体" w:cs="Times New Roman"/>
                <w:b/>
                <w:bCs/>
                <w:color w:val="000000" w:themeColor="text1"/>
                <w:lang w:val="en-US" w:eastAsia="zh-CN"/>
                <w14:textFill>
                  <w14:solidFill>
                    <w14:schemeClr w14:val="tx1"/>
                  </w14:solidFill>
                </w14:textFill>
              </w:rPr>
              <w:t>17</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u w:val="none"/>
                <w:lang w:val="en-US" w:eastAsia="zh-CN"/>
                <w14:textFill>
                  <w14:solidFill>
                    <w14:schemeClr w14:val="tx1"/>
                  </w14:solidFill>
                </w14:textFill>
              </w:rPr>
              <w:t>地表水环境影响评价自查表</w:t>
            </w:r>
          </w:p>
          <w:tbl>
            <w:tblPr>
              <w:tblStyle w:val="27"/>
              <w:tblW w:w="92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5"/>
              <w:gridCol w:w="1705"/>
              <w:gridCol w:w="1186"/>
              <w:gridCol w:w="600"/>
              <w:gridCol w:w="68"/>
              <w:gridCol w:w="527"/>
              <w:gridCol w:w="469"/>
              <w:gridCol w:w="722"/>
              <w:gridCol w:w="532"/>
              <w:gridCol w:w="395"/>
              <w:gridCol w:w="263"/>
              <w:gridCol w:w="596"/>
              <w:gridCol w:w="55"/>
              <w:gridCol w:w="587"/>
              <w:gridCol w:w="11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00" w:type="dxa"/>
                  <w:gridSpan w:val="2"/>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工作内容</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影响识别</w:t>
                  </w: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影响类型</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水污染影响型</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；水文要素影响型</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水环境保护目标</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饮用水水源保护区</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；饮用水取水口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；涉水的自然保护区</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；重要湿地</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；重点保护与珍稀水生生物的栖息地</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；重要水生生物的自然产卵场及索饵场、越冬场和洄游通道、天然渔场等渔业水体</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；涉水的风景名胜区</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影响途径</w:t>
                  </w: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水污染影响型</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直接排放</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b w:val="0"/>
                      <w:bCs/>
                      <w:color w:val="000000" w:themeColor="text1"/>
                      <w:sz w:val="21"/>
                      <w:szCs w:val="21"/>
                      <w:highlight w:val="none"/>
                      <w:u w:val="none"/>
                      <w:lang w:eastAsia="zh-CN"/>
                      <w14:textFill>
                        <w14:solidFill>
                          <w14:schemeClr w14:val="tx1"/>
                        </w14:solidFill>
                      </w14:textFill>
                    </w:rPr>
                    <w:t>；间接排放；其他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水温</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；径流</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；水域面积</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影响因子</w:t>
                  </w: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持久性污染物</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；有毒有害污染物</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；非持久性污染物</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；pH值</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；热污染</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；富营养化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水温</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；水位（水深）</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；流速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；流量</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00" w:type="dxa"/>
                  <w:gridSpan w:val="2"/>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评价等级</w:t>
                  </w: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水污染影响型</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水文要素影响型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00" w:type="dxa"/>
                  <w:gridSpan w:val="2"/>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一级</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；二级</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；三级A</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；三级B</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一级</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；二级</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；三级</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现状调查</w:t>
                  </w:r>
                </w:p>
              </w:tc>
              <w:tc>
                <w:tcPr>
                  <w:tcW w:w="170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区域污染源</w:t>
                  </w: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调查项目</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86" w:type="dxa"/>
                  <w:gridSpan w:val="2"/>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已建</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；在建</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；拟建</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c>
                <w:tcPr>
                  <w:tcW w:w="1786"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拟替代的污染源</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排污许可证</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；环评</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；环保验收</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；既有实测</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；现场监测</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；入河排放口数据</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受影响水体</w:t>
                  </w:r>
                </w:p>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水环境质量</w:t>
                  </w: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调查时期</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丰水期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；平水期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；枯水期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；冰封期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春季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；夏季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；秋季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；冬季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生态环境保护主管部门</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；补充监测</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区域水资源开发利用状况</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未开发</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；开发量40%以下</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；开发量40%以上</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A3"/>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水文情势调查</w:t>
                  </w: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调查时期</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数据来源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丰水期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；平水期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；枯水期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；冰封期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春季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；夏季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；秋季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；冬季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c>
                <w:tcPr>
                  <w:tcW w:w="3572" w:type="dxa"/>
                  <w:gridSpan w:val="7"/>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水行政主管部门</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；补充监测</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补充监测</w:t>
                  </w: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监测时期</w:t>
                  </w:r>
                </w:p>
              </w:tc>
              <w:tc>
                <w:tcPr>
                  <w:tcW w:w="1786"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监测因子</w:t>
                  </w:r>
                </w:p>
              </w:tc>
              <w:tc>
                <w:tcPr>
                  <w:tcW w:w="1786" w:type="dxa"/>
                  <w:gridSpan w:val="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监测断面或点位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3572" w:type="dxa"/>
                  <w:gridSpan w:val="6"/>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丰水期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；平水期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；枯水期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；冰封期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春季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；夏季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；秋季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；冬季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c>
                <w:tcPr>
                  <w:tcW w:w="1786"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786" w:type="dxa"/>
                  <w:gridSpan w:val="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监测断面或点位个数（）个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现状评价</w:t>
                  </w: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评价范围</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河流：长度（0.5）km；湖库、河口及近岸海域：面积（）km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评价因子</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（COD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-N、DO、PH等）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评价标准</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河流、湖库、河口：I类</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；II类</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；III类</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；IV类</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；V类</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近岸海域：第一类</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；第二类</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；第三类</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；第四类</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规划年评价标准（）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评价时期</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丰水期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；平水期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；枯水期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；冰封期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春季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；夏季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；秋季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；冬季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评价结论</w:t>
                  </w:r>
                </w:p>
              </w:tc>
              <w:tc>
                <w:tcPr>
                  <w:tcW w:w="6000" w:type="dxa"/>
                  <w:gridSpan w:val="12"/>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水环境功能区或水功能区、近岸海域环境功能区水质达标状况</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；不达标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水环境控制单元或断面水质达标状况</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；不达标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水环境保护目标质量状况</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；不达标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对照断面、控制断面等代表性断面的水质状况</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；不达标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底泥污染评价</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水资源与开发利用程度及其水文情势评价</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水环境质量回顾评价</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流域（区域）水资源（包括水能资源）与开发利用总体状况、生态流量管理要求与现状满意程度、建设项目占用水域空间的水流状况与河湖演变状况</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c>
                <w:tcPr>
                  <w:tcW w:w="1144"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63" w:leftChars="-30" w:right="-105" w:rightChars="-50"/>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达标区</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p>
                <w:p>
                  <w:pPr>
                    <w:pStyle w:val="36"/>
                    <w:keepNext w:val="0"/>
                    <w:keepLines w:val="0"/>
                    <w:pageBreakBefore w:val="0"/>
                    <w:widowControl w:val="0"/>
                    <w:kinsoku/>
                    <w:wordWrap/>
                    <w:overflowPunct/>
                    <w:topLinePunct w:val="0"/>
                    <w:autoSpaceDE w:val="0"/>
                    <w:autoSpaceDN w:val="0"/>
                    <w:bidi w:val="0"/>
                    <w:adjustRightInd/>
                    <w:snapToGrid/>
                    <w:ind w:left="-63" w:leftChars="-30" w:right="-105" w:rightChars="-50"/>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不达标区</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影响预测</w:t>
                  </w: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预测范围</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河流：长度（0.5）km；湖库、河口及近岸海域：面积（）km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预测因子</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（COD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预测时期</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丰水期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；平水期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；枯水期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；冰封期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春季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；夏季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；秋季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；冬季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设计水文条件</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预测情景</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建设期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；生产运行期</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；服务期满后</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正常工况</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；非正常工况</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污染控制和减缓措施方案</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区（流）域环境质量改善目标要求情景</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预测方法</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数值解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；解析解</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导则推荐模式</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影响评价</w:t>
                  </w: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水污染控制和水环境影响减缓措施有效性评价</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区（流）域水环境质量改善目标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；替代削减源</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水环境影响评价</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排放口混合区外满足水环境管理要求</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水环境功能区域水功能区、近岸海域环境功能区水质达标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满足水环境保护目标水域水环境质量要求</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水环境控制单元或断面水质达标</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满足重点水污染物排放总量控制指标要求，重点行业建设项目，主要污染物排放满足等量或减量替代要求</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满足区（流）域水环境质量改善目标要求</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水文要素影响型建设项目同时应包括水文情势变化评价、主要水文特征值影响评价、生态流量符合性评价</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对于新设或调整入河（湖库、近岸海域）排放口的建设项目，应包括排放口设置的环境合理性评价</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满足生态保护红线、水环境质量底线、资源利用上线和环境准入清单管理要求</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污染源排放量核算</w:t>
                  </w:r>
                </w:p>
              </w:tc>
              <w:tc>
                <w:tcPr>
                  <w:tcW w:w="2381"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污染物名称</w:t>
                  </w:r>
                </w:p>
              </w:tc>
              <w:tc>
                <w:tcPr>
                  <w:tcW w:w="2381"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排放量（t/a）</w:t>
                  </w:r>
                </w:p>
              </w:tc>
              <w:tc>
                <w:tcPr>
                  <w:tcW w:w="2382"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381"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（COD</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381"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（0.290）</w:t>
                  </w:r>
                </w:p>
              </w:tc>
              <w:tc>
                <w:tcPr>
                  <w:tcW w:w="2382"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381"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-N）</w:t>
                  </w:r>
                </w:p>
              </w:tc>
              <w:tc>
                <w:tcPr>
                  <w:tcW w:w="2381"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（0.004）</w:t>
                  </w:r>
                </w:p>
              </w:tc>
              <w:tc>
                <w:tcPr>
                  <w:tcW w:w="2382"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替代源排放情况</w:t>
                  </w:r>
                </w:p>
              </w:tc>
              <w:tc>
                <w:tcPr>
                  <w:tcW w:w="1186"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污染源名称</w:t>
                  </w:r>
                </w:p>
              </w:tc>
              <w:tc>
                <w:tcPr>
                  <w:tcW w:w="1664"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排污许可证编号</w:t>
                  </w:r>
                </w:p>
              </w:tc>
              <w:tc>
                <w:tcPr>
                  <w:tcW w:w="1254" w:type="dxa"/>
                  <w:gridSpan w:val="2"/>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污染物名称</w:t>
                  </w:r>
                </w:p>
              </w:tc>
              <w:tc>
                <w:tcPr>
                  <w:tcW w:w="1309"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排放量（t/a）</w:t>
                  </w:r>
                </w:p>
              </w:tc>
              <w:tc>
                <w:tcPr>
                  <w:tcW w:w="1731" w:type="dxa"/>
                  <w:gridSpan w:val="2"/>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86"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664"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254" w:type="dxa"/>
                  <w:gridSpan w:val="2"/>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309" w:type="dxa"/>
                  <w:gridSpan w:val="4"/>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731" w:type="dxa"/>
                  <w:gridSpan w:val="2"/>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生态流量确定</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生态流量：一般水期（）m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/s；鱼类繁殖期（）m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/s；其他（）m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/s</w:t>
                  </w:r>
                </w:p>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生态水位：一般水期（）m；鱼类繁殖期（）m；其他（）m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防治措施</w:t>
                  </w: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环保措施</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污水处理措施</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；水文减缓措施</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；生态流量保障措施</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；区域削减</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；依托其他工程措施</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restart"/>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监测计划</w:t>
                  </w:r>
                </w:p>
              </w:tc>
              <w:tc>
                <w:tcPr>
                  <w:tcW w:w="1854" w:type="dxa"/>
                  <w:gridSpan w:val="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2645"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环境质量监测</w:t>
                  </w:r>
                </w:p>
              </w:tc>
              <w:tc>
                <w:tcPr>
                  <w:tcW w:w="2645"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54" w:type="dxa"/>
                  <w:gridSpan w:val="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监测方式</w:t>
                  </w:r>
                </w:p>
              </w:tc>
              <w:tc>
                <w:tcPr>
                  <w:tcW w:w="2645"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手动</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；自动</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A3"/>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；无监测</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p>
              </w:tc>
              <w:tc>
                <w:tcPr>
                  <w:tcW w:w="2645"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手动</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；自动</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；无监测</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54" w:type="dxa"/>
                  <w:gridSpan w:val="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监测点位</w:t>
                  </w:r>
                </w:p>
              </w:tc>
              <w:tc>
                <w:tcPr>
                  <w:tcW w:w="2645"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645"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854" w:type="dxa"/>
                  <w:gridSpan w:val="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监测因子</w:t>
                  </w:r>
                </w:p>
              </w:tc>
              <w:tc>
                <w:tcPr>
                  <w:tcW w:w="2645"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2645" w:type="dxa"/>
                  <w:gridSpan w:val="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95" w:type="dxa"/>
                  <w:vMerge w:val="continue"/>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705" w:type="dxa"/>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污染物排放清单</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00" w:type="dxa"/>
                  <w:gridSpan w:val="2"/>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评价结论</w:t>
                  </w:r>
                </w:p>
              </w:tc>
              <w:tc>
                <w:tcPr>
                  <w:tcW w:w="7144" w:type="dxa"/>
                  <w:gridSpan w:val="13"/>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可以接受</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sym w:font="Wingdings 2" w:char="0052"/>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；不可以接受</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44" w:type="dxa"/>
                  <w:gridSpan w:val="15"/>
                  <w:tcBorders>
                    <w:tl2br w:val="nil"/>
                    <w:tr2bl w:val="nil"/>
                  </w:tcBorders>
                  <w:vAlign w:val="center"/>
                </w:tcPr>
                <w:p>
                  <w:pPr>
                    <w:pStyle w:val="36"/>
                    <w:keepNext w:val="0"/>
                    <w:keepLines w:val="0"/>
                    <w:pageBreakBefore w:val="0"/>
                    <w:widowControl w:val="0"/>
                    <w:kinsoku/>
                    <w:wordWrap/>
                    <w:overflowPunct/>
                    <w:topLinePunct w:val="0"/>
                    <w:autoSpaceDE w:val="0"/>
                    <w:autoSpaceDN w:val="0"/>
                    <w:bidi w:val="0"/>
                    <w:adjustRightInd/>
                    <w:snapToGrid/>
                    <w:ind w:left="-105" w:leftChars="-50" w:right="-105" w:rightChars="-50"/>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注：“</w:t>
                  </w:r>
                  <w:r>
                    <w:rPr>
                      <w:rFonts w:hint="default" w:ascii="Times New Roman" w:hAnsi="Times New Roman" w:eastAsia="宋体" w:cs="Times New Roman"/>
                      <w:b w:val="0"/>
                      <w:bCs/>
                      <w:color w:val="000000" w:themeColor="text1"/>
                      <w:sz w:val="21"/>
                      <w:szCs w:val="21"/>
                      <w:highlight w:val="none"/>
                      <w:u w:val="none"/>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”为勾选项，可√；“（）”为内容填写项：“备注”为其他补充内容。</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outlineLvl w:val="9"/>
              <w:rPr>
                <w:rFonts w:hint="default" w:ascii="Times New Roman" w:hAnsi="Times New Roman" w:eastAsia="宋体" w:cs="Times New Roman"/>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highlight w:val="none"/>
                <w:u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4"/>
                <w:highlight w:val="none"/>
                <w14:textFill>
                  <w14:solidFill>
                    <w14:schemeClr w14:val="tx1"/>
                  </w14:solidFill>
                </w14:textFill>
              </w:rPr>
              <w:t>营运期</w:t>
            </w:r>
            <w:r>
              <w:rPr>
                <w:rFonts w:hint="default" w:ascii="Times New Roman" w:hAnsi="Times New Roman" w:eastAsia="宋体" w:cs="Times New Roman"/>
                <w:b/>
                <w:bCs w:val="0"/>
                <w:color w:val="000000" w:themeColor="text1"/>
                <w:sz w:val="24"/>
                <w:highlight w:val="none"/>
                <w:u w:val="none"/>
                <w:lang w:val="en-US" w:eastAsia="zh-CN"/>
                <w14:textFill>
                  <w14:solidFill>
                    <w14:schemeClr w14:val="tx1"/>
                  </w14:solidFill>
                </w14:textFill>
              </w:rPr>
              <w:t>地表水影响评价结论</w:t>
            </w:r>
          </w:p>
          <w:p>
            <w:pPr>
              <w:pageBreakBefore w:val="0"/>
              <w:kinsoku/>
              <w:wordWrap/>
              <w:overflowPunct/>
              <w:topLinePunct w:val="0"/>
              <w:bidi w:val="0"/>
              <w:adjustRightInd/>
              <w:snapToGrid/>
              <w:spacing w:line="360" w:lineRule="auto"/>
              <w:ind w:firstLine="480"/>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pPr>
            <w:r>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t>本项目生活污水</w:t>
            </w:r>
            <w:r>
              <w:rPr>
                <w:rFonts w:hint="default" w:ascii="Times New Roman" w:hAnsi="Times New Roman" w:eastAsia="宋体" w:cs="Times New Roman"/>
                <w:bCs/>
                <w:color w:val="000000" w:themeColor="text1"/>
                <w:sz w:val="24"/>
                <w:highlight w:val="none"/>
                <w:u w:val="none"/>
                <w14:textFill>
                  <w14:solidFill>
                    <w14:schemeClr w14:val="tx1"/>
                  </w14:solidFill>
                </w14:textFill>
              </w:rPr>
              <w:t>经</w:t>
            </w:r>
            <w:r>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t>一体化污水处理设施</w:t>
            </w:r>
            <w:r>
              <w:rPr>
                <w:rFonts w:hint="default" w:ascii="Times New Roman" w:hAnsi="Times New Roman" w:eastAsia="宋体" w:cs="Times New Roman"/>
                <w:bCs/>
                <w:color w:val="000000" w:themeColor="text1"/>
                <w:sz w:val="24"/>
                <w:highlight w:val="none"/>
                <w:u w:val="none"/>
                <w14:textFill>
                  <w14:solidFill>
                    <w14:schemeClr w14:val="tx1"/>
                  </w14:solidFill>
                </w14:textFill>
              </w:rPr>
              <w:t>处理</w:t>
            </w:r>
            <w:r>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t>达到广东省《水污染物排放限值》（DB44/26-2001）第二时段一级标准后</w:t>
            </w:r>
            <w:r>
              <w:rPr>
                <w:rFonts w:hint="default" w:ascii="Times New Roman" w:hAnsi="Times New Roman" w:eastAsia="宋体" w:cs="Times New Roman"/>
                <w:bCs/>
                <w:caps w:val="0"/>
                <w:smallCaps w:val="0"/>
                <w:color w:val="000000" w:themeColor="text1"/>
                <w:sz w:val="24"/>
                <w:highlight w:val="none"/>
                <w:u w:val="none"/>
                <w14:textFill>
                  <w14:solidFill>
                    <w14:schemeClr w14:val="tx1"/>
                  </w14:solidFill>
                </w14:textFill>
              </w:rPr>
              <w:t>排入</w:t>
            </w:r>
            <w:r>
              <w:rPr>
                <w:rFonts w:hint="default" w:ascii="Times New Roman" w:hAnsi="Times New Roman" w:eastAsia="宋体" w:cs="Times New Roman"/>
                <w:bCs/>
                <w:caps w:val="0"/>
                <w:smallCaps w:val="0"/>
                <w:color w:val="000000" w:themeColor="text1"/>
                <w:sz w:val="24"/>
                <w:highlight w:val="none"/>
                <w:u w:val="none"/>
                <w:lang w:eastAsia="zh-CN"/>
                <w14:textFill>
                  <w14:solidFill>
                    <w14:schemeClr w14:val="tx1"/>
                  </w14:solidFill>
                </w14:textFill>
              </w:rPr>
              <w:t>潖江河（</w:t>
            </w:r>
            <w:r>
              <w:rPr>
                <w:rFonts w:hint="default" w:ascii="Times New Roman" w:hAnsi="Times New Roman" w:eastAsia="宋体" w:cs="Times New Roman"/>
                <w:bCs/>
                <w:caps w:val="0"/>
                <w:smallCaps w:val="0"/>
                <w:color w:val="000000" w:themeColor="text1"/>
                <w:sz w:val="24"/>
                <w:highlight w:val="none"/>
                <w:u w:val="none"/>
                <w:lang w:val="en-US" w:eastAsia="zh-CN"/>
                <w14:textFill>
                  <w14:solidFill>
                    <w14:schemeClr w14:val="tx1"/>
                  </w14:solidFill>
                </w14:textFill>
              </w:rPr>
              <w:t>III类水</w:t>
            </w:r>
            <w:r>
              <w:rPr>
                <w:rFonts w:hint="default" w:ascii="Times New Roman" w:hAnsi="Times New Roman" w:eastAsia="宋体" w:cs="Times New Roman"/>
                <w:bCs/>
                <w:caps w:val="0"/>
                <w:smallCaps w:val="0"/>
                <w:color w:val="000000" w:themeColor="text1"/>
                <w:sz w:val="24"/>
                <w:highlight w:val="none"/>
                <w:u w:val="none"/>
                <w:lang w:eastAsia="zh-CN"/>
                <w14:textFill>
                  <w14:solidFill>
                    <w14:schemeClr w14:val="tx1"/>
                  </w14:solidFill>
                </w14:textFill>
              </w:rPr>
              <w:t>）；生产废水</w:t>
            </w:r>
            <w:r>
              <w:rPr>
                <w:rFonts w:hint="default" w:ascii="Times New Roman" w:hAnsi="Times New Roman" w:eastAsia="宋体" w:cs="Times New Roman"/>
                <w:bCs/>
                <w:color w:val="000000" w:themeColor="text1"/>
                <w:sz w:val="24"/>
                <w:highlight w:val="none"/>
                <w:u w:val="none"/>
                <w14:textFill>
                  <w14:solidFill>
                    <w14:schemeClr w14:val="tx1"/>
                  </w14:solidFill>
                </w14:textFill>
              </w:rPr>
              <w:t>经</w:t>
            </w:r>
            <w:r>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t>生产废水处理设施</w:t>
            </w:r>
            <w:r>
              <w:rPr>
                <w:rFonts w:hint="default" w:ascii="Times New Roman" w:hAnsi="Times New Roman" w:eastAsia="宋体" w:cs="Times New Roman"/>
                <w:bCs/>
                <w:color w:val="000000" w:themeColor="text1"/>
                <w:sz w:val="24"/>
                <w:highlight w:val="none"/>
                <w:u w:val="none"/>
                <w14:textFill>
                  <w14:solidFill>
                    <w14:schemeClr w14:val="tx1"/>
                  </w14:solidFill>
                </w14:textFill>
              </w:rPr>
              <w:t>处理</w:t>
            </w:r>
            <w:r>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t>达到广东省《水污染物排放限值》（DB44/26-2001）第二时段一级标准后</w:t>
            </w:r>
            <w:r>
              <w:rPr>
                <w:rFonts w:hint="default" w:ascii="Times New Roman" w:hAnsi="Times New Roman" w:eastAsia="宋体" w:cs="Times New Roman"/>
                <w:bCs/>
                <w:caps w:val="0"/>
                <w:smallCaps w:val="0"/>
                <w:color w:val="000000" w:themeColor="text1"/>
                <w:sz w:val="24"/>
                <w:highlight w:val="none"/>
                <w:u w:val="none"/>
                <w14:textFill>
                  <w14:solidFill>
                    <w14:schemeClr w14:val="tx1"/>
                  </w14:solidFill>
                </w14:textFill>
              </w:rPr>
              <w:t>排入</w:t>
            </w:r>
            <w:r>
              <w:rPr>
                <w:rFonts w:hint="default" w:ascii="Times New Roman" w:hAnsi="Times New Roman" w:eastAsia="宋体" w:cs="Times New Roman"/>
                <w:bCs/>
                <w:caps w:val="0"/>
                <w:smallCaps w:val="0"/>
                <w:color w:val="000000" w:themeColor="text1"/>
                <w:sz w:val="24"/>
                <w:highlight w:val="none"/>
                <w:u w:val="none"/>
                <w:lang w:eastAsia="zh-CN"/>
                <w14:textFill>
                  <w14:solidFill>
                    <w14:schemeClr w14:val="tx1"/>
                  </w14:solidFill>
                </w14:textFill>
              </w:rPr>
              <w:t>潖江河（</w:t>
            </w:r>
            <w:r>
              <w:rPr>
                <w:rFonts w:hint="default" w:ascii="Times New Roman" w:hAnsi="Times New Roman" w:eastAsia="宋体" w:cs="Times New Roman"/>
                <w:bCs/>
                <w:caps w:val="0"/>
                <w:smallCaps w:val="0"/>
                <w:color w:val="000000" w:themeColor="text1"/>
                <w:sz w:val="24"/>
                <w:highlight w:val="none"/>
                <w:u w:val="none"/>
                <w:lang w:val="en-US" w:eastAsia="zh-CN"/>
                <w14:textFill>
                  <w14:solidFill>
                    <w14:schemeClr w14:val="tx1"/>
                  </w14:solidFill>
                </w14:textFill>
              </w:rPr>
              <w:t>III类水</w:t>
            </w:r>
            <w:r>
              <w:rPr>
                <w:rFonts w:hint="default" w:ascii="Times New Roman" w:hAnsi="Times New Roman" w:eastAsia="宋体" w:cs="Times New Roman"/>
                <w:bCs/>
                <w:caps w:val="0"/>
                <w:smallCaps w:val="0"/>
                <w:color w:val="000000" w:themeColor="text1"/>
                <w:sz w:val="24"/>
                <w:highlight w:val="none"/>
                <w:u w:val="none"/>
                <w:lang w:eastAsia="zh-CN"/>
                <w14:textFill>
                  <w14:solidFill>
                    <w14:schemeClr w14:val="tx1"/>
                  </w14:solidFill>
                </w14:textFill>
              </w:rPr>
              <w:t>）</w:t>
            </w:r>
            <w:r>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u w:val="none"/>
                <w:lang w:eastAsia="zh-CN"/>
                <w14:textFill>
                  <w14:solidFill>
                    <w14:schemeClr w14:val="tx1"/>
                  </w14:solidFill>
                </w14:textFill>
              </w:rPr>
              <w:t>预测结果表明，在正常排放情况下，生活污水排放的</w:t>
            </w:r>
            <w:r>
              <w:rPr>
                <w:rFonts w:hint="default" w:ascii="Times New Roman" w:hAnsi="Times New Roman" w:eastAsia="宋体" w:cs="Times New Roman"/>
                <w:color w:val="000000" w:themeColor="text1"/>
                <w:sz w:val="24"/>
                <w:highlight w:val="none"/>
                <w:u w:val="none"/>
                <w:lang w:val="en-US" w:eastAsia="zh-CN"/>
                <w14:textFill>
                  <w14:solidFill>
                    <w14:schemeClr w14:val="tx1"/>
                  </w14:solidFill>
                </w14:textFill>
              </w:rPr>
              <w:t>水污染物对潖江河造成的贡献值较小。因此，本项目水污染物控制和水环境影响减缓措施是有效的，各类污染物对纳污水体的水环境影响在可接受范围内。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highlight w:val="none"/>
                <w:u w:val="none"/>
                <w:lang w:val="en-US" w:eastAsia="zh-CN"/>
                <w14:textFill>
                  <w14:solidFill>
                    <w14:schemeClr w14:val="tx1"/>
                  </w14:solidFill>
                </w14:textFill>
              </w:rPr>
              <w:t>8.2.2.2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营运期地下水环境影响分析</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color w:val="000000" w:themeColor="text1"/>
                <w:sz w:val="24"/>
                <w:highlight w:val="none"/>
                <w:lang w:val="en-US" w:eastAsia="zh-CN"/>
                <w14:textFill>
                  <w14:solidFill>
                    <w14:schemeClr w14:val="tx1"/>
                  </w14:solidFill>
                </w14:textFill>
              </w:rPr>
              <w:t>本项目区域无集中式饮用水水源地准保护区，无热水、矿泉水、温泉等特殊地下水资源保护区，同时在项目污水处理污水处理设施及生产区域等位置设置相应的防渗措施，项目废水经处理达广东省《水污染物排放限值》（DB44/26-2001）第二时段一级标准外排潖江河，处理措施及标准较严格，水量不大，故不会引起地下水流域或地下水水位变化，也不会导致项目场地地下水水质受到较大影响。</w:t>
            </w:r>
          </w:p>
          <w:p>
            <w:pPr>
              <w:pStyle w:val="72"/>
              <w:keepNext w:val="0"/>
              <w:keepLines w:val="0"/>
              <w:pageBreakBefore w:val="0"/>
              <w:widowControl w:val="0"/>
              <w:kinsoku/>
              <w:wordWrap/>
              <w:overflowPunct/>
              <w:topLinePunct w:val="0"/>
              <w:autoSpaceDE/>
              <w:autoSpaceDN/>
              <w:bidi w:val="0"/>
              <w:adjustRightInd/>
              <w:snapToGrid/>
              <w:ind w:firstLine="0"/>
              <w:textAlignment w:val="baseline"/>
              <w:rPr>
                <w:rFonts w:hint="default" w:ascii="Times New Roman" w:hAnsi="Times New Roman" w:eastAsia="宋体" w:cs="Times New Roman"/>
                <w:b/>
                <w:bCs w:val="0"/>
                <w:color w:val="000000" w:themeColor="text1"/>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8.2.3</w:t>
            </w:r>
            <w:r>
              <w:rPr>
                <w:rFonts w:hint="default" w:ascii="Times New Roman" w:hAnsi="Times New Roman" w:eastAsia="宋体" w:cs="Times New Roman"/>
                <w:b/>
                <w:color w:val="000000" w:themeColor="text1"/>
                <w:sz w:val="24"/>
                <w:szCs w:val="24"/>
                <w:highlight w:val="none"/>
                <w14:textFill>
                  <w14:solidFill>
                    <w14:schemeClr w14:val="tx1"/>
                  </w14:solidFill>
                </w14:textFill>
              </w:rPr>
              <w:t>营运期</w:t>
            </w: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声环境影响预测</w:t>
            </w:r>
            <w:r>
              <w:rPr>
                <w:rFonts w:hint="default" w:ascii="Times New Roman" w:hAnsi="Times New Roman" w:eastAsia="宋体" w:cs="Times New Roman"/>
                <w:b/>
                <w:bCs w:val="0"/>
                <w:color w:val="000000" w:themeColor="text1"/>
                <w:highlight w:val="none"/>
                <w14:textFill>
                  <w14:solidFill>
                    <w14:schemeClr w14:val="tx1"/>
                  </w14:solidFill>
                </w14:textFill>
              </w:rPr>
              <w:t>及评价</w:t>
            </w:r>
          </w:p>
          <w:p>
            <w:pPr>
              <w:spacing w:line="355"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本</w:t>
            </w:r>
            <w:r>
              <w:rPr>
                <w:rFonts w:hint="default" w:ascii="Times New Roman" w:hAnsi="Times New Roman" w:eastAsia="宋体" w:cs="Times New Roman"/>
                <w:color w:val="000000" w:themeColor="text1"/>
                <w:sz w:val="24"/>
                <w:highlight w:val="none"/>
                <w14:textFill>
                  <w14:solidFill>
                    <w14:schemeClr w14:val="tx1"/>
                  </w14:solidFill>
                </w14:textFill>
              </w:rPr>
              <w:t>项目</w:t>
            </w:r>
            <w:r>
              <w:rPr>
                <w:rFonts w:hint="default" w:ascii="Times New Roman" w:hAnsi="Times New Roman" w:eastAsia="宋体" w:cs="Times New Roman"/>
                <w:bCs/>
                <w:color w:val="000000" w:themeColor="text1"/>
                <w:sz w:val="24"/>
                <w:szCs w:val="28"/>
                <w:highlight w:val="none"/>
                <w14:textFill>
                  <w14:solidFill>
                    <w14:schemeClr w14:val="tx1"/>
                  </w14:solidFill>
                </w14:textFill>
              </w:rPr>
              <w:t>噪声主要</w:t>
            </w:r>
            <w:r>
              <w:rPr>
                <w:rFonts w:hint="default" w:ascii="Times New Roman" w:hAnsi="Times New Roman" w:eastAsia="宋体" w:cs="Times New Roman"/>
                <w:bCs/>
                <w:color w:val="000000" w:themeColor="text1"/>
                <w:sz w:val="24"/>
                <w:szCs w:val="28"/>
                <w:highlight w:val="none"/>
                <w:lang w:eastAsia="zh-CN"/>
                <w14:textFill>
                  <w14:solidFill>
                    <w14:schemeClr w14:val="tx1"/>
                  </w14:solidFill>
                </w14:textFill>
              </w:rPr>
              <w:t>来</w:t>
            </w:r>
            <w:r>
              <w:rPr>
                <w:rFonts w:hint="default" w:ascii="Times New Roman" w:hAnsi="Times New Roman" w:eastAsia="宋体" w:cs="Times New Roman"/>
                <w:bCs/>
                <w:color w:val="000000" w:themeColor="text1"/>
                <w:sz w:val="24"/>
                <w:szCs w:val="28"/>
                <w:highlight w:val="none"/>
                <w14:textFill>
                  <w14:solidFill>
                    <w14:schemeClr w14:val="tx1"/>
                  </w14:solidFill>
                </w14:textFill>
              </w:rPr>
              <w:t>源于</w:t>
            </w:r>
            <w:r>
              <w:rPr>
                <w:rFonts w:hint="default" w:ascii="Times New Roman" w:hAnsi="Times New Roman" w:eastAsia="宋体" w:cs="Times New Roman"/>
                <w:b w:val="0"/>
                <w:bCs w:val="0"/>
                <w:color w:val="000000" w:themeColor="text1"/>
                <w:sz w:val="24"/>
                <w:highlight w:val="none"/>
                <w:lang w:eastAsia="zh-CN"/>
                <w14:textFill>
                  <w14:solidFill>
                    <w14:schemeClr w14:val="tx1"/>
                  </w14:solidFill>
                </w14:textFill>
              </w:rPr>
              <w:t>各种生产设备、辅助设备</w:t>
            </w:r>
            <w:r>
              <w:rPr>
                <w:rFonts w:hint="default" w:ascii="Times New Roman" w:hAnsi="Times New Roman" w:eastAsia="宋体" w:cs="Times New Roman"/>
                <w:bCs/>
                <w:color w:val="000000" w:themeColor="text1"/>
                <w:sz w:val="24"/>
                <w:szCs w:val="28"/>
                <w:highlight w:val="none"/>
                <w14:textFill>
                  <w14:solidFill>
                    <w14:schemeClr w14:val="tx1"/>
                  </w14:solidFill>
                </w14:textFill>
              </w:rPr>
              <w:t>、</w:t>
            </w:r>
            <w:r>
              <w:rPr>
                <w:rFonts w:hint="default" w:ascii="Times New Roman" w:hAnsi="Times New Roman" w:eastAsia="宋体" w:cs="Times New Roman"/>
                <w:bCs/>
                <w:color w:val="000000" w:themeColor="text1"/>
                <w:sz w:val="24"/>
                <w:szCs w:val="28"/>
                <w:highlight w:val="none"/>
                <w:lang w:eastAsia="zh-CN"/>
                <w14:textFill>
                  <w14:solidFill>
                    <w14:schemeClr w14:val="tx1"/>
                  </w14:solidFill>
                </w14:textFill>
              </w:rPr>
              <w:t>行车</w:t>
            </w:r>
            <w:r>
              <w:rPr>
                <w:rFonts w:hint="default" w:ascii="Times New Roman" w:hAnsi="Times New Roman" w:eastAsia="宋体" w:cs="Times New Roman"/>
                <w:bCs/>
                <w:color w:val="000000" w:themeColor="text1"/>
                <w:sz w:val="24"/>
                <w:szCs w:val="28"/>
                <w:highlight w:val="none"/>
                <w14:textFill>
                  <w14:solidFill>
                    <w14:schemeClr w14:val="tx1"/>
                  </w14:solidFill>
                </w14:textFill>
              </w:rPr>
              <w:t>和除尘系统设</w:t>
            </w:r>
            <w:r>
              <w:rPr>
                <w:rFonts w:hint="default" w:ascii="Times New Roman" w:hAnsi="Times New Roman" w:eastAsia="宋体" w:cs="Times New Roman"/>
                <w:color w:val="000000" w:themeColor="text1"/>
                <w:sz w:val="24"/>
                <w:highlight w:val="none"/>
                <w14:textFill>
                  <w14:solidFill>
                    <w14:schemeClr w14:val="tx1"/>
                  </w14:solidFill>
                </w14:textFill>
              </w:rPr>
              <w:t>备</w:t>
            </w:r>
            <w:r>
              <w:rPr>
                <w:rFonts w:hint="default" w:ascii="Times New Roman" w:hAnsi="Times New Roman" w:eastAsia="宋体" w:cs="Times New Roman"/>
                <w:bCs/>
                <w:color w:val="000000" w:themeColor="text1"/>
                <w:sz w:val="24"/>
                <w:szCs w:val="28"/>
                <w:highlight w:val="none"/>
                <w14:textFill>
                  <w14:solidFill>
                    <w14:schemeClr w14:val="tx1"/>
                  </w14:solidFill>
                </w14:textFill>
              </w:rPr>
              <w:t>运行时产生的噪声，噪声值</w:t>
            </w:r>
            <w:r>
              <w:rPr>
                <w:rFonts w:hint="default" w:ascii="Times New Roman" w:hAnsi="Times New Roman" w:eastAsia="宋体" w:cs="Times New Roman"/>
                <w:color w:val="000000" w:themeColor="text1"/>
                <w:sz w:val="24"/>
                <w:highlight w:val="none"/>
                <w14:textFill>
                  <w14:solidFill>
                    <w14:schemeClr w14:val="tx1"/>
                  </w14:solidFill>
                </w14:textFill>
              </w:rPr>
              <w:t>源强约</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highlight w:val="none"/>
                <w14:textFill>
                  <w14:solidFill>
                    <w14:schemeClr w14:val="tx1"/>
                  </w14:solidFill>
                </w14:textFill>
              </w:rPr>
              <w:t>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highlight w:val="none"/>
                <w14:textFill>
                  <w14:solidFill>
                    <w14:schemeClr w14:val="tx1"/>
                  </w14:solidFill>
                </w14:textFill>
              </w:rPr>
              <w:t>0dB (A)</w:t>
            </w:r>
            <w:r>
              <w:rPr>
                <w:rFonts w:hint="default" w:ascii="Times New Roman" w:hAnsi="Times New Roman" w:eastAsia="宋体" w:cs="Times New Roman"/>
                <w:bCs/>
                <w:color w:val="000000" w:themeColor="text1"/>
                <w:sz w:val="24"/>
                <w:szCs w:val="28"/>
                <w:highlight w:val="none"/>
                <w14:textFill>
                  <w14:solidFill>
                    <w14:schemeClr w14:val="tx1"/>
                  </w14:solidFill>
                </w14:textFill>
              </w:rPr>
              <w:t>之间</w:t>
            </w:r>
            <w:r>
              <w:rPr>
                <w:rFonts w:hint="default" w:ascii="Times New Roman" w:hAnsi="Times New Roman" w:eastAsia="宋体" w:cs="Times New Roman"/>
                <w:color w:val="000000" w:themeColor="text1"/>
                <w:sz w:val="24"/>
                <w:highlight w:val="none"/>
                <w14:textFill>
                  <w14:solidFill>
                    <w14:schemeClr w14:val="tx1"/>
                  </w14:solidFill>
                </w14:textFill>
              </w:rPr>
              <w:t>。</w:t>
            </w:r>
          </w:p>
          <w:p>
            <w:pPr>
              <w:pStyle w:val="11"/>
              <w:keepNext w:val="0"/>
              <w:keepLines w:val="0"/>
              <w:pageBreakBefore w:val="0"/>
              <w:widowControl w:val="0"/>
              <w:kinsoku/>
              <w:wordWrap/>
              <w:overflowPunct/>
              <w:topLinePunct w:val="0"/>
              <w:autoSpaceDE/>
              <w:autoSpaceDN/>
              <w:bidi w:val="0"/>
              <w:adjustRightInd/>
              <w:snapToGrid/>
              <w:spacing w:before="0" w:line="360" w:lineRule="auto"/>
              <w:ind w:firstLine="482"/>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本次噪声影响预测选用点声源预测模式，来模拟预测本建设项目主要声源排放噪声随距离的衰减变化规律。</w:t>
            </w:r>
          </w:p>
          <w:p>
            <w:pPr>
              <w:shd w:val="clea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（1）对室外噪声源主要考虑噪声的几何发散衰减及环境因素衰减：</w:t>
            </w:r>
          </w:p>
          <w:p>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-20lg(r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)-ΔL</w:t>
            </w:r>
          </w:p>
          <w:p>
            <w:pPr>
              <w:shd w:val="clea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——点声源在预测点产生的声压级，dB(A)；</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——点声源在参考点产生的声压级，dB(A)；</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——预测点距声源的距离，m；</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——参考点距声源的距离，m；</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ΔL——各种因素引起的衰减量（包括声屏障、空气吸收等引起的衰减量），dB(A)。</w:t>
            </w:r>
          </w:p>
          <w:p>
            <w:pPr>
              <w:shd w:val="clea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（2）对室内噪声源采用室内声源噪声模式并换算成等效的室外声源：</w:t>
            </w:r>
          </w:p>
          <w:p>
            <w:pPr>
              <w:shd w:val="clear"/>
              <w:snapToGrid w:val="0"/>
              <w:spacing w:line="36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24"/>
                <w:sz w:val="24"/>
                <w:szCs w:val="24"/>
                <w:highlight w:val="none"/>
                <w14:textFill>
                  <w14:solidFill>
                    <w14:schemeClr w14:val="tx1"/>
                  </w14:solidFill>
                </w14:textFill>
              </w:rPr>
              <w:object>
                <v:shape id="_x0000_i1038" o:spt="75" type="#_x0000_t75" style="height:29.25pt;width:123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p>
          <w:p>
            <w:pPr>
              <w:shd w:val="clear"/>
              <w:snapToGrid w:val="0"/>
              <w:spacing w:line="36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position w:val="-12"/>
                <w:sz w:val="24"/>
                <w:szCs w:val="24"/>
                <w:highlight w:val="none"/>
                <w14:textFill>
                  <w14:solidFill>
                    <w14:schemeClr w14:val="tx1"/>
                  </w14:solidFill>
                </w14:textFill>
              </w:rPr>
              <w:object>
                <v:shape id="_x0000_i1039" o:spt="75" type="#_x0000_t75" style="height:21pt;width:129.75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p>
          <w:p>
            <w:pPr>
              <w:shd w:val="clea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z w:val="24"/>
                <w:szCs w:val="24"/>
                <w:highlight w:val="none"/>
                <w14:textFill>
                  <w14:solidFill>
                    <w14:schemeClr w14:val="tx1"/>
                  </w14:solidFill>
                </w14:textFill>
              </w:rPr>
              <w:t>——室内靠近围护结构处产生的声压级，dB；</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W</w:t>
            </w:r>
            <w:r>
              <w:rPr>
                <w:rFonts w:hint="default" w:ascii="Times New Roman" w:hAnsi="Times New Roman" w:eastAsia="宋体" w:cs="Times New Roman"/>
                <w:color w:val="000000" w:themeColor="text1"/>
                <w:sz w:val="24"/>
                <w:szCs w:val="24"/>
                <w:highlight w:val="none"/>
                <w14:textFill>
                  <w14:solidFill>
                    <w14:schemeClr w14:val="tx1"/>
                  </w14:solidFill>
                </w14:textFill>
              </w:rPr>
              <w:t>——室外靠近围护结构处产生的声压级，dB；</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Le——声源的声压级，dB；</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r——声源与室内靠近围护结构处的距离，m；</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R——房间常数，m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Q——方向性因子；</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TL——围护结构的传输损失，dB；</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S——透声面积，m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p>
          <w:p>
            <w:pPr>
              <w:shd w:val="clea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（3）对两个以上多个声源同时存在时，其预测点总声压级采用下面公式：</w:t>
            </w:r>
          </w:p>
          <w:p>
            <w:pPr>
              <w:shd w:val="clear"/>
              <w:spacing w:line="36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Leq=10log(</w:t>
            </w:r>
            <w:r>
              <w:rPr>
                <w:rFonts w:hint="default" w:ascii="Times New Roman" w:hAnsi="Times New Roman" w:eastAsia="宋体" w:cs="Times New Roman"/>
                <w:color w:val="000000" w:themeColor="text1"/>
                <w:sz w:val="24"/>
                <w:szCs w:val="24"/>
                <w:highlight w:val="none"/>
                <w14:textFill>
                  <w14:solidFill>
                    <w14:schemeClr w14:val="tx1"/>
                  </w14:solidFill>
                </w14:textFill>
              </w:rPr>
              <w:sym w:font="Symbol" w:char="F0E5"/>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0.1Li</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p>
          <w:p>
            <w:pPr>
              <w:shd w:val="clea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式中：Leq——预测点的总等效声级，dB(A)；</w:t>
            </w:r>
          </w:p>
          <w:p>
            <w:pPr>
              <w:shd w:val="clear"/>
              <w:spacing w:line="360" w:lineRule="auto"/>
              <w:ind w:firstLine="1200" w:firstLineChars="5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Li——第i个声源对预测点的声级影响，dB(A)。</w:t>
            </w:r>
          </w:p>
          <w:p>
            <w:pPr>
              <w:shd w:val="clea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（4）为预测项目噪声源对周围声环境的影响情况，首先预测噪声源随距离的衰减，然后将噪声源产生的噪声值与区域噪声背景值叠加，即可以预测不同距离的噪声值。叠加公式为：</w:t>
            </w:r>
          </w:p>
          <w:p>
            <w:pPr>
              <w:shd w:val="clear"/>
              <w:spacing w:line="36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Leq=10Lg[10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L1/10</w:t>
            </w:r>
            <w:r>
              <w:rPr>
                <w:rFonts w:hint="default" w:ascii="Times New Roman" w:hAnsi="Times New Roman" w:eastAsia="宋体" w:cs="Times New Roman"/>
                <w:color w:val="000000" w:themeColor="text1"/>
                <w:sz w:val="24"/>
                <w:szCs w:val="24"/>
                <w:highlight w:val="none"/>
                <w14:textFill>
                  <w14:solidFill>
                    <w14:schemeClr w14:val="tx1"/>
                  </w14:solidFill>
                </w14:textFill>
              </w:rPr>
              <w:t>+10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L2/10</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w:t>
            </w:r>
          </w:p>
          <w:p>
            <w:pPr>
              <w:shd w:val="clea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式中：Leq——噪声源噪声与背景噪声叠加值；</w:t>
            </w:r>
          </w:p>
          <w:p>
            <w:pPr>
              <w:keepNext w:val="0"/>
              <w:keepLines w:val="0"/>
              <w:pageBreakBefore w:val="0"/>
              <w:widowControl w:val="0"/>
              <w:shd w:val="clear"/>
              <w:kinsoku/>
              <w:wordWrap/>
              <w:overflowPunct/>
              <w:topLinePunct w:val="0"/>
              <w:autoSpaceDE/>
              <w:autoSpaceDN/>
              <w:bidi w:val="0"/>
              <w:adjustRightInd/>
              <w:snapToGrid/>
              <w:spacing w:line="360" w:lineRule="auto"/>
              <w:ind w:firstLine="1200" w:firstLineChars="5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——背景噪声</w:t>
            </w:r>
          </w:p>
          <w:p>
            <w:pPr>
              <w:pStyle w:val="11"/>
              <w:keepNext w:val="0"/>
              <w:keepLines w:val="0"/>
              <w:pageBreakBefore w:val="0"/>
              <w:widowControl w:val="0"/>
              <w:kinsoku/>
              <w:wordWrap/>
              <w:overflowPunct/>
              <w:topLinePunct w:val="0"/>
              <w:autoSpaceDE/>
              <w:autoSpaceDN/>
              <w:bidi w:val="0"/>
              <w:adjustRightInd/>
              <w:snapToGrid/>
              <w:spacing w:before="0" w:line="360" w:lineRule="auto"/>
              <w:ind w:firstLine="1200" w:firstLineChars="500"/>
              <w:jc w:val="both"/>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highlight w:val="none"/>
                <w14:textFill>
                  <w14:solidFill>
                    <w14:schemeClr w14:val="tx1"/>
                  </w14:solidFill>
                </w14:textFill>
              </w:rPr>
              <w:t>L</w:t>
            </w:r>
            <w:r>
              <w:rPr>
                <w:rFonts w:hint="default" w:ascii="Times New Roman" w:hAnsi="Times New Roman" w:eastAsia="宋体" w:cs="Times New Roman"/>
                <w:b w:val="0"/>
                <w:bCs w:val="0"/>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——噪声源影响值。</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（2）预测结果</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本项目最大噪声源是生产设备噪声，且噪声源均处于生产车间内。根据上式预测公式，本项目采取有效措施述措施后声源预测点噪声结果详见表</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8.2-1</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highlight w:val="none"/>
                <w14:textFill>
                  <w14:solidFill>
                    <w14:schemeClr w14:val="tx1"/>
                  </w14:solidFill>
                </w14:textFill>
              </w:rPr>
              <w:t>。</w:t>
            </w:r>
          </w:p>
          <w:p>
            <w:pPr>
              <w:snapToGrid w:val="0"/>
              <w:spacing w:before="120" w:beforeLines="50"/>
              <w:jc w:val="center"/>
              <w:rPr>
                <w:rFonts w:hint="default" w:ascii="Times New Roman" w:hAnsi="Times New Roman" w:eastAsia="宋体" w:cs="Times New Roman"/>
                <w:b/>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8.2-1</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本项目边界噪声的预测结果</w:t>
            </w:r>
            <w:r>
              <w:rPr>
                <w:rFonts w:hint="default" w:ascii="Times New Roman" w:hAnsi="Times New Roman" w:eastAsia="宋体" w:cs="Times New Roman"/>
                <w:b/>
                <w:color w:val="000000" w:themeColor="text1"/>
                <w:sz w:val="24"/>
                <w:highlight w:val="none"/>
                <w:lang w:eastAsia="zh-CN"/>
                <w14:textFill>
                  <w14:solidFill>
                    <w14:schemeClr w14:val="tx1"/>
                  </w14:solidFill>
                </w14:textFill>
              </w:rPr>
              <w:t>（单位</w:t>
            </w:r>
            <w:r>
              <w:rPr>
                <w:rFonts w:hint="default" w:ascii="Times New Roman" w:hAnsi="Times New Roman" w:eastAsia="宋体" w:cs="Times New Roman"/>
                <w:color w:val="000000" w:themeColor="text1"/>
                <w:sz w:val="24"/>
                <w:szCs w:val="24"/>
                <w:highlight w:val="none"/>
                <w14:textFill>
                  <w14:solidFill>
                    <w14:schemeClr w14:val="tx1"/>
                  </w14:solidFill>
                </w14:textFill>
              </w:rPr>
              <w:t>dB(A)</w:t>
            </w:r>
            <w:r>
              <w:rPr>
                <w:rFonts w:hint="default" w:ascii="Times New Roman" w:hAnsi="Times New Roman" w:eastAsia="宋体" w:cs="Times New Roman"/>
                <w:b/>
                <w:color w:val="000000" w:themeColor="text1"/>
                <w:sz w:val="24"/>
                <w:highlight w:val="none"/>
                <w:lang w:eastAsia="zh-CN"/>
                <w14:textFill>
                  <w14:solidFill>
                    <w14:schemeClr w14:val="tx1"/>
                  </w14:solidFill>
                </w14:textFill>
              </w:rPr>
              <w:t>）</w:t>
            </w:r>
          </w:p>
          <w:tbl>
            <w:tblPr>
              <w:tblStyle w:val="26"/>
              <w:tblW w:w="9244" w:type="dxa"/>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710"/>
              <w:gridCol w:w="2070"/>
              <w:gridCol w:w="1516"/>
              <w:gridCol w:w="1538"/>
              <w:gridCol w:w="1"/>
              <w:gridCol w:w="1409"/>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rPr>
              <w:tc>
                <w:tcPr>
                  <w:tcW w:w="2710" w:type="dxa"/>
                  <w:vMerge w:val="restart"/>
                  <w:vAlign w:val="center"/>
                </w:tcPr>
                <w:p>
                  <w:pPr>
                    <w:shd w:val="clea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预测点</w:t>
                  </w:r>
                </w:p>
              </w:tc>
              <w:tc>
                <w:tcPr>
                  <w:tcW w:w="2070" w:type="dxa"/>
                  <w:vAlign w:val="center"/>
                </w:tcPr>
                <w:p>
                  <w:pPr>
                    <w:shd w:val="clea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现状背景值</w:t>
                  </w:r>
                </w:p>
              </w:tc>
              <w:tc>
                <w:tcPr>
                  <w:tcW w:w="1516" w:type="dxa"/>
                  <w:vMerge w:val="restart"/>
                  <w:vAlign w:val="center"/>
                </w:tcPr>
                <w:p>
                  <w:pPr>
                    <w:keepNext w:val="0"/>
                    <w:keepLines w:val="0"/>
                    <w:pageBreakBefore w:val="0"/>
                    <w:widowControl w:val="0"/>
                    <w:shd w:val="clear"/>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贡献值</w:t>
                  </w:r>
                </w:p>
              </w:tc>
              <w:tc>
                <w:tcPr>
                  <w:tcW w:w="1538" w:type="dxa"/>
                  <w:vAlign w:val="center"/>
                </w:tcPr>
                <w:p>
                  <w:pPr>
                    <w:shd w:val="clea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预测值</w:t>
                  </w:r>
                </w:p>
              </w:tc>
              <w:tc>
                <w:tcPr>
                  <w:tcW w:w="1410" w:type="dxa"/>
                  <w:gridSpan w:val="2"/>
                  <w:vAlign w:val="center"/>
                </w:tcPr>
                <w:p>
                  <w:pPr>
                    <w:shd w:val="clea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评价结果</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rPr>
              <w:tc>
                <w:tcPr>
                  <w:tcW w:w="2710" w:type="dxa"/>
                  <w:vMerge w:val="continue"/>
                  <w:vAlign w:val="center"/>
                </w:tcPr>
                <w:p>
                  <w:pPr>
                    <w:shd w:val="clea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p>
              </w:tc>
              <w:tc>
                <w:tcPr>
                  <w:tcW w:w="2070" w:type="dxa"/>
                  <w:vAlign w:val="center"/>
                </w:tcPr>
                <w:p>
                  <w:pPr>
                    <w:shd w:val="clea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昼间</w:t>
                  </w:r>
                </w:p>
              </w:tc>
              <w:tc>
                <w:tcPr>
                  <w:tcW w:w="1516" w:type="dxa"/>
                  <w:vMerge w:val="continue"/>
                  <w:vAlign w:val="center"/>
                </w:tcPr>
                <w:p>
                  <w:pPr>
                    <w:shd w:val="clea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p>
              </w:tc>
              <w:tc>
                <w:tcPr>
                  <w:tcW w:w="1539" w:type="dxa"/>
                  <w:gridSpan w:val="2"/>
                  <w:vAlign w:val="center"/>
                </w:tcPr>
                <w:p>
                  <w:pPr>
                    <w:shd w:val="clea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昼间</w:t>
                  </w:r>
                </w:p>
              </w:tc>
              <w:tc>
                <w:tcPr>
                  <w:tcW w:w="1409" w:type="dxa"/>
                  <w:vAlign w:val="center"/>
                </w:tcPr>
                <w:p>
                  <w:pPr>
                    <w:shd w:val="clear"/>
                    <w:jc w:val="center"/>
                    <w:rPr>
                      <w:rFonts w:hint="default" w:ascii="Times New Roman" w:hAnsi="Times New Roman" w:eastAsia="宋体" w:cs="Times New Roman"/>
                      <w:b/>
                      <w:bCs w:val="0"/>
                      <w:color w:val="000000" w:themeColor="text1"/>
                      <w:szCs w:val="21"/>
                      <w:highlight w:val="none"/>
                      <w14:textFill>
                        <w14:solidFill>
                          <w14:schemeClr w14:val="tx1"/>
                        </w14:solidFill>
                      </w14:textFill>
                    </w:rPr>
                  </w:pPr>
                  <w:r>
                    <w:rPr>
                      <w:rFonts w:hint="default" w:ascii="Times New Roman" w:hAnsi="Times New Roman" w:eastAsia="宋体" w:cs="Times New Roman"/>
                      <w:b/>
                      <w:bCs w:val="0"/>
                      <w:color w:val="000000" w:themeColor="text1"/>
                      <w:szCs w:val="21"/>
                      <w:highlight w:val="none"/>
                      <w14:textFill>
                        <w14:solidFill>
                          <w14:schemeClr w14:val="tx1"/>
                        </w14:solidFill>
                      </w14:textFill>
                    </w:rPr>
                    <w:t>昼间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rPr>
              <w:tc>
                <w:tcPr>
                  <w:tcW w:w="2710" w:type="dxa"/>
                  <w:vAlign w:val="center"/>
                </w:tcPr>
                <w:p>
                  <w:pPr>
                    <w:shd w:val="clea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N1项目</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厂界</w:t>
                  </w:r>
                  <w:r>
                    <w:rPr>
                      <w:rFonts w:hint="default" w:ascii="Times New Roman" w:hAnsi="Times New Roman" w:eastAsia="宋体" w:cs="Times New Roman"/>
                      <w:color w:val="000000" w:themeColor="text1"/>
                      <w:szCs w:val="21"/>
                      <w:highlight w:val="none"/>
                      <w14:textFill>
                        <w14:solidFill>
                          <w14:schemeClr w14:val="tx1"/>
                        </w14:solidFill>
                      </w14:textFill>
                    </w:rPr>
                    <w:t>东</w:t>
                  </w:r>
                </w:p>
              </w:tc>
              <w:tc>
                <w:tcPr>
                  <w:tcW w:w="2070" w:type="dxa"/>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56.2</w:t>
                  </w:r>
                </w:p>
              </w:tc>
              <w:tc>
                <w:tcPr>
                  <w:tcW w:w="1516" w:type="dxa"/>
                  <w:vAlign w:val="center"/>
                </w:tcPr>
                <w:p>
                  <w:pPr>
                    <w:shd w:val="clear"/>
                    <w:jc w:val="center"/>
                    <w:rPr>
                      <w:rFonts w:hint="default" w:ascii="Times New Roman" w:hAnsi="Times New Roman" w:eastAsia="宋体" w:cs="Times New Roman"/>
                      <w:color w:val="000000" w:themeColor="text1"/>
                      <w:szCs w:val="21"/>
                      <w:highlight w:val="none"/>
                      <w:lang w:val="en-US"/>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 xml:space="preserve">50.0 </w:t>
                  </w:r>
                </w:p>
              </w:tc>
              <w:tc>
                <w:tcPr>
                  <w:tcW w:w="1539" w:type="dxa"/>
                  <w:gridSpan w:val="2"/>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57.1</w:t>
                  </w:r>
                </w:p>
              </w:tc>
              <w:tc>
                <w:tcPr>
                  <w:tcW w:w="1409" w:type="dxa"/>
                  <w:vAlign w:val="center"/>
                </w:tcPr>
                <w:p>
                  <w:pPr>
                    <w:shd w:val="clea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rPr>
              <w:tc>
                <w:tcPr>
                  <w:tcW w:w="2710" w:type="dxa"/>
                  <w:vAlign w:val="center"/>
                </w:tcPr>
                <w:p>
                  <w:pPr>
                    <w:shd w:val="clea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N2项目</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厂界</w:t>
                  </w:r>
                  <w:r>
                    <w:rPr>
                      <w:rFonts w:hint="default" w:ascii="Times New Roman" w:hAnsi="Times New Roman" w:eastAsia="宋体" w:cs="Times New Roman"/>
                      <w:color w:val="000000" w:themeColor="text1"/>
                      <w:szCs w:val="21"/>
                      <w:highlight w:val="none"/>
                      <w14:textFill>
                        <w14:solidFill>
                          <w14:schemeClr w14:val="tx1"/>
                        </w14:solidFill>
                      </w14:textFill>
                    </w:rPr>
                    <w:t>南</w:t>
                  </w:r>
                </w:p>
              </w:tc>
              <w:tc>
                <w:tcPr>
                  <w:tcW w:w="2070" w:type="dxa"/>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56.8</w:t>
                  </w:r>
                </w:p>
              </w:tc>
              <w:tc>
                <w:tcPr>
                  <w:tcW w:w="1516" w:type="dxa"/>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47.0</w:t>
                  </w:r>
                </w:p>
              </w:tc>
              <w:tc>
                <w:tcPr>
                  <w:tcW w:w="1539" w:type="dxa"/>
                  <w:gridSpan w:val="2"/>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57.2</w:t>
                  </w:r>
                </w:p>
              </w:tc>
              <w:tc>
                <w:tcPr>
                  <w:tcW w:w="1409" w:type="dxa"/>
                  <w:vAlign w:val="center"/>
                </w:tcPr>
                <w:p>
                  <w:pPr>
                    <w:shd w:val="clear"/>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rPr>
              <w:tc>
                <w:tcPr>
                  <w:tcW w:w="2710" w:type="dxa"/>
                  <w:vAlign w:val="center"/>
                </w:tcPr>
                <w:p>
                  <w:pPr>
                    <w:shd w:val="clea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N3项目</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厂界</w:t>
                  </w:r>
                  <w:r>
                    <w:rPr>
                      <w:rFonts w:hint="default" w:ascii="Times New Roman" w:hAnsi="Times New Roman" w:eastAsia="宋体" w:cs="Times New Roman"/>
                      <w:color w:val="000000" w:themeColor="text1"/>
                      <w:szCs w:val="21"/>
                      <w:highlight w:val="none"/>
                      <w14:textFill>
                        <w14:solidFill>
                          <w14:schemeClr w14:val="tx1"/>
                        </w14:solidFill>
                      </w14:textFill>
                    </w:rPr>
                    <w:t>西</w:t>
                  </w:r>
                </w:p>
              </w:tc>
              <w:tc>
                <w:tcPr>
                  <w:tcW w:w="2070" w:type="dxa"/>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54.3</w:t>
                  </w:r>
                </w:p>
              </w:tc>
              <w:tc>
                <w:tcPr>
                  <w:tcW w:w="1516" w:type="dxa"/>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50.2</w:t>
                  </w:r>
                </w:p>
              </w:tc>
              <w:tc>
                <w:tcPr>
                  <w:tcW w:w="1539" w:type="dxa"/>
                  <w:gridSpan w:val="2"/>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55.7</w:t>
                  </w:r>
                </w:p>
              </w:tc>
              <w:tc>
                <w:tcPr>
                  <w:tcW w:w="1409" w:type="dxa"/>
                  <w:vAlign w:val="center"/>
                </w:tcPr>
                <w:p>
                  <w:pPr>
                    <w:shd w:val="clea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rPr>
              <w:tc>
                <w:tcPr>
                  <w:tcW w:w="2710" w:type="dxa"/>
                  <w:vAlign w:val="center"/>
                </w:tcPr>
                <w:p>
                  <w:pPr>
                    <w:shd w:val="clea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N4项目</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厂界</w:t>
                  </w:r>
                  <w:r>
                    <w:rPr>
                      <w:rFonts w:hint="default" w:ascii="Times New Roman" w:hAnsi="Times New Roman" w:eastAsia="宋体" w:cs="Times New Roman"/>
                      <w:color w:val="000000" w:themeColor="text1"/>
                      <w:szCs w:val="21"/>
                      <w:highlight w:val="none"/>
                      <w14:textFill>
                        <w14:solidFill>
                          <w14:schemeClr w14:val="tx1"/>
                        </w14:solidFill>
                      </w14:textFill>
                    </w:rPr>
                    <w:t>北</w:t>
                  </w:r>
                </w:p>
              </w:tc>
              <w:tc>
                <w:tcPr>
                  <w:tcW w:w="2070" w:type="dxa"/>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55.5</w:t>
                  </w:r>
                </w:p>
              </w:tc>
              <w:tc>
                <w:tcPr>
                  <w:tcW w:w="1516" w:type="dxa"/>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48.1</w:t>
                  </w:r>
                </w:p>
              </w:tc>
              <w:tc>
                <w:tcPr>
                  <w:tcW w:w="1539" w:type="dxa"/>
                  <w:gridSpan w:val="2"/>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56.2</w:t>
                  </w:r>
                </w:p>
              </w:tc>
              <w:tc>
                <w:tcPr>
                  <w:tcW w:w="1409" w:type="dxa"/>
                  <w:vAlign w:val="center"/>
                </w:tcPr>
                <w:p>
                  <w:pPr>
                    <w:shd w:val="clea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atLeast"/>
              </w:trPr>
              <w:tc>
                <w:tcPr>
                  <w:tcW w:w="2710" w:type="dxa"/>
                  <w:vAlign w:val="center"/>
                </w:tcPr>
                <w:p>
                  <w:pPr>
                    <w:shd w:val="clea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z w:val="21"/>
                      <w:szCs w:val="21"/>
                      <w:highlight w:val="none"/>
                      <w:lang w:val="en-US" w:eastAsia="zh-CN"/>
                      <w14:textFill>
                        <w14:solidFill>
                          <w14:schemeClr w14:val="tx1"/>
                        </w14:solidFill>
                      </w14:textFill>
                    </w:rPr>
                    <w:t>N5北侧145m处的上刀排村</w:t>
                  </w:r>
                </w:p>
              </w:tc>
              <w:tc>
                <w:tcPr>
                  <w:tcW w:w="2070" w:type="dxa"/>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56.2</w:t>
                  </w:r>
                </w:p>
              </w:tc>
              <w:tc>
                <w:tcPr>
                  <w:tcW w:w="1516" w:type="dxa"/>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33.2</w:t>
                  </w:r>
                </w:p>
              </w:tc>
              <w:tc>
                <w:tcPr>
                  <w:tcW w:w="1539" w:type="dxa"/>
                  <w:gridSpan w:val="2"/>
                  <w:vAlign w:val="center"/>
                </w:tcPr>
                <w:p>
                  <w:pPr>
                    <w:shd w:val="clear"/>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56.2</w:t>
                  </w:r>
                </w:p>
              </w:tc>
              <w:tc>
                <w:tcPr>
                  <w:tcW w:w="1409" w:type="dxa"/>
                  <w:vAlign w:val="center"/>
                </w:tcPr>
                <w:p>
                  <w:pPr>
                    <w:shd w:val="clear"/>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line="240" w:lineRule="auto"/>
              <w:ind w:firstLine="0"/>
              <w:jc w:val="left"/>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备注：本项目夜间不生产，隔墙隔声量取值</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25dB(A)。</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根据上述预测结果可知，采取治理措施的情况下，本项目生产车间昼间噪声值</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满足</w:t>
            </w:r>
            <w:r>
              <w:rPr>
                <w:rFonts w:hint="default" w:ascii="Times New Roman" w:hAnsi="Times New Roman" w:eastAsia="宋体" w:cs="Times New Roman"/>
                <w:color w:val="000000" w:themeColor="text1"/>
                <w:sz w:val="24"/>
                <w:highlight w:val="none"/>
                <w14:textFill>
                  <w14:solidFill>
                    <w14:schemeClr w14:val="tx1"/>
                  </w14:solidFill>
                </w14:textFill>
              </w:rPr>
              <w:t>《工业企业厂界环境噪声排放标准》（GB12348-2008)中</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类标准，即昼间≤6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dB(A)</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为了更大可能减少项目噪声对周围声环境的影响，建设单位应采取下列措施：</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①维持设备处于良好的运转状态，减少因零部件磨损产生的噪声；</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②合理布设生产车间，使强噪声设备远离车间边界，通过车间阻挡噪声传播，尽量把车间的噪声影响限制在厂区范围内，降低噪声对外界的影响；</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③强噪声设备底座设置防振装置，并设置适当的隔声屏障；</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④加强作业管理，减少非正常噪声；</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⑤生产时门窗紧闭，通过强制机械排风来加强车间通风换气，以减少噪声外传。</w:t>
            </w:r>
          </w:p>
          <w:p>
            <w:pPr>
              <w:spacing w:line="360" w:lineRule="auto"/>
              <w:ind w:firstLine="48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 xml:space="preserve">经采取上述综合措施后，本项目机械设备噪声经厂房门窗、墙体隔声后，再经距离衰减，对外环境的贡献值均较低，噪声传至本项目用地边界能满足《工业企业厂界环境噪声排放标准》（GB12348-2008) </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类标准要求，不会对周围</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敏感点</w:t>
            </w:r>
            <w:r>
              <w:rPr>
                <w:rFonts w:hint="default" w:ascii="Times New Roman" w:hAnsi="Times New Roman" w:eastAsia="宋体" w:cs="Times New Roman"/>
                <w:color w:val="000000" w:themeColor="text1"/>
                <w:sz w:val="24"/>
                <w:highlight w:val="none"/>
                <w14:textFill>
                  <w14:solidFill>
                    <w14:schemeClr w14:val="tx1"/>
                  </w14:solidFill>
                </w14:textFill>
              </w:rPr>
              <w:t>声环境产生明显的不良影响。</w:t>
            </w:r>
          </w:p>
          <w:p>
            <w:pPr>
              <w:spacing w:line="355" w:lineRule="auto"/>
              <w:ind w:firstLine="480" w:firstLineChars="200"/>
              <w:rPr>
                <w:rFonts w:hint="default" w:ascii="Times New Roman" w:hAnsi="Times New Roman" w:eastAsia="宋体" w:cs="Times New Roman"/>
                <w:color w:val="000000" w:themeColor="text1"/>
                <w:spacing w:val="-2"/>
                <w:sz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经以上措施处理后，</w:t>
            </w:r>
            <w:r>
              <w:rPr>
                <w:rFonts w:hint="default" w:ascii="Times New Roman" w:hAnsi="Times New Roman" w:eastAsia="宋体" w:cs="Times New Roman"/>
                <w:color w:val="000000" w:themeColor="text1"/>
                <w:sz w:val="24"/>
                <w:szCs w:val="28"/>
                <w:highlight w:val="none"/>
                <w14:textFill>
                  <w14:solidFill>
                    <w14:schemeClr w14:val="tx1"/>
                  </w14:solidFill>
                </w14:textFill>
              </w:rPr>
              <w:t>本</w:t>
            </w: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项目产生的噪声不会对周围声环境造成明显的影响。</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bCs w:val="0"/>
                <w:color w:val="000000" w:themeColor="text1"/>
                <w:highlight w:val="none"/>
                <w14:textFill>
                  <w14:solidFill>
                    <w14:schemeClr w14:val="tx1"/>
                  </w14:solidFill>
                </w14:textFill>
              </w:rPr>
            </w:pPr>
            <w:r>
              <w:rPr>
                <w:rFonts w:hint="default" w:ascii="Times New Roman" w:hAnsi="Times New Roman" w:eastAsia="宋体" w:cs="Times New Roman"/>
                <w:b/>
                <w:bCs w:val="0"/>
                <w:color w:val="000000" w:themeColor="text1"/>
                <w:highlight w:val="none"/>
                <w14:textFill>
                  <w14:solidFill>
                    <w14:schemeClr w14:val="tx1"/>
                  </w14:solidFill>
                </w14:textFill>
              </w:rPr>
              <w:t>8.2.4</w:t>
            </w:r>
            <w:r>
              <w:rPr>
                <w:rFonts w:hint="default" w:ascii="Times New Roman" w:hAnsi="Times New Roman" w:eastAsia="宋体" w:cs="Times New Roman"/>
                <w:b/>
                <w:color w:val="000000" w:themeColor="text1"/>
                <w:highlight w:val="none"/>
                <w14:textFill>
                  <w14:solidFill>
                    <w14:schemeClr w14:val="tx1"/>
                  </w14:solidFill>
                </w14:textFill>
              </w:rPr>
              <w:t>营运期</w:t>
            </w:r>
            <w:r>
              <w:rPr>
                <w:rFonts w:hint="default" w:ascii="Times New Roman" w:hAnsi="Times New Roman" w:eastAsia="宋体" w:cs="Times New Roman"/>
                <w:b/>
                <w:bCs w:val="0"/>
                <w:color w:val="000000" w:themeColor="text1"/>
                <w:highlight w:val="none"/>
                <w14:textFill>
                  <w14:solidFill>
                    <w14:schemeClr w14:val="tx1"/>
                  </w14:solidFill>
                </w14:textFill>
              </w:rPr>
              <w:t>固体废物环境影响预测及评价</w:t>
            </w:r>
          </w:p>
          <w:p>
            <w:pPr>
              <w:spacing w:line="360" w:lineRule="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8.2.4.1</w:t>
            </w:r>
            <w:r>
              <w:rPr>
                <w:rFonts w:hint="default" w:ascii="Times New Roman" w:hAnsi="Times New Roman" w:eastAsia="宋体" w:cs="Times New Roman"/>
                <w:b/>
                <w:bCs/>
                <w:color w:val="000000" w:themeColor="text1"/>
                <w:sz w:val="24"/>
                <w:highlight w:val="none"/>
                <w14:textFill>
                  <w14:solidFill>
                    <w14:schemeClr w14:val="tx1"/>
                  </w14:solidFill>
                </w14:textFill>
              </w:rPr>
              <w:t xml:space="preserve">固体废物对环境的危害 </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w:t>
            </w:r>
          </w:p>
          <w:p>
            <w:pPr>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（1）侵占土地：固体废物需要占地堆放，堆积量越大，占地越多，影响周围自然景观和人们的正常生活与工作。</w:t>
            </w:r>
          </w:p>
          <w:p>
            <w:pPr>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（2）污染土壤：废弃物堆放或者没有适当的防渗措施，其中的有害成分很容易经过风化、雨水淋溶、地表径流的侵蚀、产生高温和有毒液体渗入土壤，破坏微生物与周围环境构成系统的平衡，导致草木不生。</w:t>
            </w:r>
          </w:p>
          <w:p>
            <w:pPr>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（3）污染水体：固体废物随雨水和地表径流流入河流湖泊，或者随风漂迁落入水体使地表水体受到污染，随沥渗水进入土壤则污染地下水，直接排入河流或海洋则造成更大的水体污染。</w:t>
            </w:r>
          </w:p>
          <w:p>
            <w:pPr>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（4）污染大气：以细粒状存在的垃圾在大风吹动下随风飘逸扩散到很远的地方；运输过程产生的有害气体和尘埃等。</w:t>
            </w:r>
          </w:p>
          <w:p>
            <w:pPr>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（5）影响环境卫生：生活垃圾及种种固体废物清运不及时，便会产生堆存，严重影响人们居住环境的卫生状况，对人们的健康构成威胁。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highlight w:val="none"/>
                <w:lang w:val="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8.2.4.2固体废物处理方式</w:t>
            </w:r>
          </w:p>
          <w:p>
            <w:pPr>
              <w:spacing w:line="360" w:lineRule="auto"/>
              <w:ind w:firstLine="482"/>
              <w:rPr>
                <w:rFonts w:hint="default" w:ascii="Times New Roman" w:hAnsi="Times New Roman" w:eastAsia="宋体" w:cs="Times New Roman"/>
                <w:color w:val="000000" w:themeColor="text1"/>
                <w:sz w:val="24"/>
                <w:highlight w:val="none"/>
                <w:lang w:val="pt-BR"/>
                <w14:textFill>
                  <w14:solidFill>
                    <w14:schemeClr w14:val="tx1"/>
                  </w14:solidFill>
                </w14:textFill>
              </w:rPr>
            </w:pPr>
            <w:r>
              <w:rPr>
                <w:rFonts w:hint="default" w:ascii="Times New Roman" w:hAnsi="Times New Roman" w:eastAsia="宋体" w:cs="Times New Roman"/>
                <w:color w:val="000000" w:themeColor="text1"/>
                <w:sz w:val="24"/>
                <w:highlight w:val="none"/>
                <w:lang w:val="zh-CN"/>
                <w14:textFill>
                  <w14:solidFill>
                    <w14:schemeClr w14:val="tx1"/>
                  </w14:solidFill>
                </w14:textFill>
              </w:rPr>
              <w:t>本项目</w:t>
            </w:r>
            <w:r>
              <w:rPr>
                <w:rFonts w:hint="default" w:ascii="Times New Roman" w:hAnsi="Times New Roman" w:eastAsia="宋体" w:cs="Times New Roman"/>
                <w:color w:val="000000" w:themeColor="text1"/>
                <w:sz w:val="24"/>
                <w:highlight w:val="none"/>
                <w:lang w:val="pt-BR"/>
                <w14:textFill>
                  <w14:solidFill>
                    <w14:schemeClr w14:val="tx1"/>
                  </w14:solidFill>
                </w14:textFill>
              </w:rPr>
              <w:t>固体废物</w:t>
            </w:r>
            <w:r>
              <w:rPr>
                <w:rFonts w:hint="default" w:ascii="Times New Roman" w:hAnsi="Times New Roman" w:eastAsia="宋体" w:cs="Times New Roman"/>
                <w:bCs/>
                <w:color w:val="000000" w:themeColor="text1"/>
                <w:sz w:val="24"/>
                <w:highlight w:val="none"/>
                <w14:textFill>
                  <w14:solidFill>
                    <w14:schemeClr w14:val="tx1"/>
                  </w14:solidFill>
                </w14:textFill>
              </w:rPr>
              <w:t>产生及</w:t>
            </w:r>
            <w:r>
              <w:rPr>
                <w:rFonts w:hint="default" w:ascii="Times New Roman" w:hAnsi="Times New Roman" w:eastAsia="宋体" w:cs="Times New Roman"/>
                <w:color w:val="000000" w:themeColor="text1"/>
                <w:sz w:val="24"/>
                <w:highlight w:val="none"/>
                <w:lang w:val="pt-BR"/>
                <w14:textFill>
                  <w14:solidFill>
                    <w14:schemeClr w14:val="tx1"/>
                  </w14:solidFill>
                </w14:textFill>
              </w:rPr>
              <w:t>处理情况，详见表</w:t>
            </w:r>
            <w:r>
              <w:rPr>
                <w:rFonts w:hint="default" w:ascii="Times New Roman" w:hAnsi="Times New Roman" w:eastAsia="宋体" w:cs="Times New Roman"/>
                <w:bCs/>
                <w:color w:val="000000" w:themeColor="text1"/>
                <w:sz w:val="24"/>
                <w:szCs w:val="24"/>
                <w:highlight w:val="none"/>
                <w14:textFill>
                  <w14:solidFill>
                    <w14:schemeClr w14:val="tx1"/>
                  </w14:solidFill>
                </w14:textFill>
              </w:rPr>
              <w:t>8.2-</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highlight w:val="none"/>
                <w:lang w:val="pt-B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50"/>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表8.2-</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9</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highlight w:val="none"/>
                <w14:textFill>
                  <w14:solidFill>
                    <w14:schemeClr w14:val="tx1"/>
                  </w14:solidFill>
                </w14:textFill>
              </w:rPr>
              <w:t>固体废物产生及处理方式</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652"/>
              <w:gridCol w:w="1404"/>
              <w:gridCol w:w="1373"/>
              <w:gridCol w:w="1423"/>
              <w:gridCol w:w="33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固废名称</w:t>
                  </w:r>
                </w:p>
              </w:tc>
              <w:tc>
                <w:tcPr>
                  <w:tcW w:w="1404"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固废属性</w:t>
                  </w:r>
                </w:p>
              </w:tc>
              <w:tc>
                <w:tcPr>
                  <w:tcW w:w="1373"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产生工序</w:t>
                  </w:r>
                </w:p>
              </w:tc>
              <w:tc>
                <w:tcPr>
                  <w:tcW w:w="1423" w:type="dxa"/>
                  <w:vAlign w:val="center"/>
                </w:tcPr>
                <w:p>
                  <w:pPr>
                    <w:jc w:val="cente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产生量</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t/a</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p>
              </w:tc>
              <w:tc>
                <w:tcPr>
                  <w:tcW w:w="3372"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Merge w:val="restart"/>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尾泥</w:t>
                  </w:r>
                </w:p>
              </w:tc>
              <w:tc>
                <w:tcPr>
                  <w:tcW w:w="1404" w:type="dxa"/>
                  <w:vMerge w:val="restart"/>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洗砂废水循环处理设施</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1500</w:t>
                  </w:r>
                </w:p>
              </w:tc>
              <w:tc>
                <w:tcPr>
                  <w:tcW w:w="3372" w:type="dxa"/>
                  <w:vMerge w:val="restart"/>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收集后外售给水泥厂综合利用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c>
                <w:tcPr>
                  <w:tcW w:w="1404" w:type="dxa"/>
                  <w:vMerge w:val="continue"/>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生产废水处理设施</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500</w:t>
                  </w:r>
                </w:p>
              </w:tc>
              <w:tc>
                <w:tcPr>
                  <w:tcW w:w="3372" w:type="dxa"/>
                  <w:vMerge w:val="continue"/>
                  <w:vAlign w:val="center"/>
                </w:tcPr>
                <w:p>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c>
                <w:tcPr>
                  <w:tcW w:w="1404" w:type="dxa"/>
                  <w:vMerge w:val="continue"/>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小计</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2000</w:t>
                  </w:r>
                </w:p>
              </w:tc>
              <w:tc>
                <w:tcPr>
                  <w:tcW w:w="3372" w:type="dxa"/>
                  <w:vMerge w:val="continue"/>
                  <w:vAlign w:val="center"/>
                </w:tcPr>
                <w:p>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磁尾砂</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磁选工序</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1520</w:t>
                  </w:r>
                </w:p>
              </w:tc>
              <w:tc>
                <w:tcPr>
                  <w:tcW w:w="3372" w:type="dxa"/>
                  <w:vMerge w:val="restart"/>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收集后外售给建材厂综合利用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杂砂</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色选工序</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30</w:t>
                  </w:r>
                </w:p>
              </w:tc>
              <w:tc>
                <w:tcPr>
                  <w:tcW w:w="337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除尘灰</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废气处理</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5.697</w:t>
                  </w:r>
                </w:p>
              </w:tc>
              <w:tc>
                <w:tcPr>
                  <w:tcW w:w="337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包装固废</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原辅料拆包、包装工序</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337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原料桶、原料袋等由原材料供应商回收利用，其他交由专业固废回收公司处理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污泥</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生活污水一体化处理设施</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0.196</w:t>
                  </w:r>
                </w:p>
              </w:tc>
              <w:tc>
                <w:tcPr>
                  <w:tcW w:w="3372"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收集后可交由专业固废回收公司处理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废润滑油</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HW08类危险废物</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机械维修</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0.05</w:t>
                  </w:r>
                </w:p>
              </w:tc>
              <w:tc>
                <w:tcPr>
                  <w:tcW w:w="3372" w:type="dxa"/>
                  <w:vAlign w:val="center"/>
                </w:tcPr>
                <w:p>
                  <w:pPr>
                    <w:jc w:val="center"/>
                    <w:rPr>
                      <w:rFonts w:hint="default" w:ascii="Times New Roman" w:hAnsi="Times New Roman" w:eastAsia="宋体" w:cs="Times New Roman"/>
                      <w:b w:val="0"/>
                      <w:bCs/>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分类储存，</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交</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由</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有资质危废公司处理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员工生活</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w:t>
                  </w:r>
                </w:p>
              </w:tc>
              <w:tc>
                <w:tcPr>
                  <w:tcW w:w="3372" w:type="dxa"/>
                  <w:vAlign w:val="center"/>
                </w:tcPr>
                <w:p>
                  <w:pPr>
                    <w:jc w:val="center"/>
                    <w:rPr>
                      <w:rFonts w:hint="default" w:ascii="Times New Roman" w:hAnsi="Times New Roman" w:eastAsia="宋体" w:cs="Times New Roman"/>
                      <w:b w:val="0"/>
                      <w:bCs/>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分类储存，</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交环卫部门处理</w:t>
                  </w:r>
                </w:p>
              </w:tc>
            </w:tr>
          </w:tbl>
          <w:p>
            <w:pPr>
              <w:keepNext w:val="0"/>
              <w:keepLines w:val="0"/>
              <w:pageBreakBefore w:val="0"/>
              <w:widowControl w:val="0"/>
              <w:kinsoku/>
              <w:wordWrap/>
              <w:overflowPunct/>
              <w:topLinePunct w:val="0"/>
              <w:autoSpaceDE/>
              <w:autoSpaceDN/>
              <w:bidi w:val="0"/>
              <w:adjustRightInd/>
              <w:snapToGrid/>
              <w:spacing w:beforeLines="50" w:line="360" w:lineRule="auto"/>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8.2.4.3固体废物环境影响分析小结</w:t>
            </w:r>
          </w:p>
          <w:p>
            <w:pPr>
              <w:spacing w:line="360" w:lineRule="auto"/>
              <w:ind w:firstLine="480" w:firstLineChars="200"/>
              <w:rPr>
                <w:rFonts w:hint="default" w:ascii="Times New Roman" w:hAnsi="Times New Roman" w:eastAsia="宋体" w:cs="Times New Roman"/>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综上分析，</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产生的固体废弃物，可回收的废物均能得到有效的利用，其余废物均得到有效的处理处置，既防止了固体废物的二次污染，又做到了资源的回收利用。因此，</w:t>
            </w:r>
            <w:r>
              <w:rPr>
                <w:rFonts w:hint="default" w:ascii="Times New Roman" w:hAnsi="Times New Roman" w:eastAsia="宋体" w:cs="Times New Roman"/>
                <w:color w:val="000000" w:themeColor="text1"/>
                <w:sz w:val="24"/>
                <w:szCs w:val="24"/>
                <w:highlight w:val="none"/>
                <w14:textFill>
                  <w14:solidFill>
                    <w14:schemeClr w14:val="tx1"/>
                  </w14:solidFill>
                </w14:textFill>
              </w:rPr>
              <w:t>各类固体废弃物处置率达100％，没有进入当地环境，</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不会</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对周边环境产生直接影响。</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8.2.5</w:t>
            </w:r>
            <w:r>
              <w:rPr>
                <w:rFonts w:hint="default" w:ascii="Times New Roman" w:hAnsi="Times New Roman" w:eastAsia="宋体" w:cs="Times New Roman"/>
                <w:b/>
                <w:bCs/>
                <w:color w:val="000000" w:themeColor="text1"/>
                <w:sz w:val="24"/>
                <w:highlight w:val="none"/>
                <w14:textFill>
                  <w14:solidFill>
                    <w14:schemeClr w14:val="tx1"/>
                  </w14:solidFill>
                </w14:textFill>
              </w:rPr>
              <w:t>运营期</w:t>
            </w:r>
            <w:r>
              <w:rPr>
                <w:rFonts w:hint="default" w:ascii="Times New Roman" w:hAnsi="Times New Roman" w:eastAsia="宋体" w:cs="Times New Roman"/>
                <w:b/>
                <w:bCs/>
                <w:caps w:val="0"/>
                <w:color w:val="000000" w:themeColor="text1"/>
                <w:sz w:val="24"/>
                <w:szCs w:val="24"/>
                <w:highlight w:val="none"/>
                <w14:textFill>
                  <w14:solidFill>
                    <w14:schemeClr w14:val="tx1"/>
                  </w14:solidFill>
                </w14:textFill>
              </w:rPr>
              <w:t>环境风险分析</w:t>
            </w:r>
          </w:p>
          <w:p>
            <w:pPr>
              <w:pageBreakBefore w:val="0"/>
              <w:kinsoku/>
              <w:wordWrap/>
              <w:overflowPunct/>
              <w:topLinePunct w:val="0"/>
              <w:autoSpaceDE/>
              <w:autoSpaceDN/>
              <w:bidi w:val="0"/>
              <w:adjustRightInd/>
              <w:snapToGrid/>
              <w:spacing w:line="360" w:lineRule="auto"/>
              <w:jc w:val="left"/>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8.2.5</w:t>
            </w:r>
            <w:r>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t>.1环境风险评价等级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shd w:val="clear" w:color="auto" w:fill="auto"/>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1"/>
                <w:shd w:val="clear" w:color="auto" w:fill="auto"/>
                <w14:textFill>
                  <w14:solidFill>
                    <w14:schemeClr w14:val="tx1"/>
                  </w14:solidFill>
                </w14:textFill>
              </w:rPr>
              <w:t>评价工作等级</w:t>
            </w:r>
            <w:r>
              <w:rPr>
                <w:rFonts w:hint="default" w:ascii="Times New Roman" w:hAnsi="Times New Roman" w:eastAsia="宋体" w:cs="Times New Roman"/>
                <w:b/>
                <w:color w:val="000000" w:themeColor="text1"/>
                <w:sz w:val="24"/>
                <w:szCs w:val="21"/>
                <w:shd w:val="clear" w:color="auto" w:fill="auto"/>
                <w:lang w:eastAsia="zh-CN"/>
                <w14:textFill>
                  <w14:solidFill>
                    <w14:schemeClr w14:val="tx1"/>
                  </w14:solidFill>
                </w14:textFill>
              </w:rPr>
              <w:t>划分</w:t>
            </w:r>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根据《</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建设项目环境</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风险评价技术导则》（HJ169-2018）规定，按照评价项目危险物质及工艺系统危险性（P）和环境敏感程度（E），</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对建设项目潜在环境危害程度进行概化分析，建设项目环境风险潜势划分见下表。</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000000" w:themeColor="text1"/>
                <w:sz w:val="24"/>
                <w:szCs w:val="21"/>
                <w:highlight w:val="none"/>
                <w:shd w:val="clear" w:color="auto" w:fill="auto"/>
                <w14:textFill>
                  <w14:solidFill>
                    <w14:schemeClr w14:val="tx1"/>
                  </w14:solidFill>
                </w14:textFill>
              </w:rPr>
            </w:pPr>
            <w:r>
              <w:rPr>
                <w:rFonts w:hint="default" w:ascii="Times New Roman" w:hAnsi="Times New Roman" w:eastAsia="宋体" w:cs="Times New Roman"/>
                <w:b/>
                <w:color w:val="000000" w:themeColor="text1"/>
                <w:sz w:val="24"/>
                <w:szCs w:val="21"/>
                <w:highlight w:val="none"/>
                <w:shd w:val="clear" w:color="auto" w:fill="auto"/>
                <w14:textFill>
                  <w14:solidFill>
                    <w14:schemeClr w14:val="tx1"/>
                  </w14:solidFill>
                </w14:textFill>
              </w:rPr>
              <w:t>表8.</w:t>
            </w:r>
            <w:r>
              <w:rPr>
                <w:rFonts w:hint="default" w:ascii="Times New Roman" w:hAnsi="Times New Roman" w:eastAsia="宋体" w:cs="Times New Roman"/>
                <w:b/>
                <w:color w:val="000000" w:themeColor="text1"/>
                <w:sz w:val="24"/>
                <w:szCs w:val="21"/>
                <w:highlight w:val="none"/>
                <w:shd w:val="clear" w:color="auto" w:fill="auto"/>
                <w:lang w:val="en-US" w:eastAsia="zh-CN"/>
                <w14:textFill>
                  <w14:solidFill>
                    <w14:schemeClr w14:val="tx1"/>
                  </w14:solidFill>
                </w14:textFill>
              </w:rPr>
              <w:t>2-</w:t>
            </w:r>
            <w:r>
              <w:rPr>
                <w:rFonts w:hint="eastAsia" w:ascii="Times New Roman" w:hAnsi="Times New Roman" w:eastAsia="宋体" w:cs="Times New Roman"/>
                <w:b/>
                <w:color w:val="000000" w:themeColor="text1"/>
                <w:sz w:val="24"/>
                <w:szCs w:val="21"/>
                <w:highlight w:val="none"/>
                <w:shd w:val="clear" w:color="auto" w:fill="auto"/>
                <w:lang w:val="en-US" w:eastAsia="zh-CN"/>
                <w14:textFill>
                  <w14:solidFill>
                    <w14:schemeClr w14:val="tx1"/>
                  </w14:solidFill>
                </w14:textFill>
              </w:rPr>
              <w:t>20</w:t>
            </w:r>
            <w:r>
              <w:rPr>
                <w:rFonts w:hint="default" w:ascii="Times New Roman" w:hAnsi="Times New Roman" w:eastAsia="宋体" w:cs="Times New Roman"/>
                <w:b/>
                <w:color w:val="000000" w:themeColor="text1"/>
                <w:sz w:val="24"/>
                <w:szCs w:val="21"/>
                <w:highlight w:val="none"/>
                <w:shd w:val="clear" w:color="auto" w:fill="auto"/>
                <w14:textFill>
                  <w14:solidFill>
                    <w14:schemeClr w14:val="tx1"/>
                  </w14:solidFill>
                </w14:textFill>
              </w:rPr>
              <w:t xml:space="preserve"> 评价工作等级</w:t>
            </w:r>
          </w:p>
          <w:tbl>
            <w:tblPr>
              <w:tblStyle w:val="27"/>
              <w:tblW w:w="914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1636"/>
              <w:gridCol w:w="1703"/>
              <w:gridCol w:w="1828"/>
              <w:gridCol w:w="18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45" w:type="dxa"/>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环境敏感程度（E）</w:t>
                  </w:r>
                </w:p>
              </w:tc>
              <w:tc>
                <w:tcPr>
                  <w:tcW w:w="6995" w:type="dxa"/>
                  <w:gridSpan w:val="4"/>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危险</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物质和工艺系统的危险性（</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P</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45" w:type="dxa"/>
                  <w:vMerge w:val="continue"/>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p>
              </w:tc>
              <w:tc>
                <w:tcPr>
                  <w:tcW w:w="163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极高危害（P1）</w:t>
                  </w:r>
                </w:p>
              </w:tc>
              <w:tc>
                <w:tcPr>
                  <w:tcW w:w="1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高度危害（P2）</w:t>
                  </w:r>
                </w:p>
              </w:tc>
              <w:tc>
                <w:tcPr>
                  <w:tcW w:w="18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中度危害（P3）</w:t>
                  </w:r>
                </w:p>
              </w:tc>
              <w:tc>
                <w:tcPr>
                  <w:tcW w:w="18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45"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环境高度敏感区（E1）</w:t>
                  </w:r>
                </w:p>
              </w:tc>
              <w:tc>
                <w:tcPr>
                  <w:tcW w:w="1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Ⅳ</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p>
              </w:tc>
              <w:tc>
                <w:tcPr>
                  <w:tcW w:w="1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Ⅳ</w:t>
                  </w:r>
                </w:p>
              </w:tc>
              <w:tc>
                <w:tcPr>
                  <w:tcW w:w="18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Ⅲ</w:t>
                  </w:r>
                </w:p>
              </w:tc>
              <w:tc>
                <w:tcPr>
                  <w:tcW w:w="18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环境中度敏感区（E2）</w:t>
                  </w:r>
                </w:p>
              </w:tc>
              <w:tc>
                <w:tcPr>
                  <w:tcW w:w="1636"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Ⅳ</w:t>
                  </w:r>
                </w:p>
              </w:tc>
              <w:tc>
                <w:tcPr>
                  <w:tcW w:w="1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Ⅲ</w:t>
                  </w:r>
                </w:p>
              </w:tc>
              <w:tc>
                <w:tcPr>
                  <w:tcW w:w="182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Ⅲ</w:t>
                  </w:r>
                </w:p>
              </w:tc>
              <w:tc>
                <w:tcPr>
                  <w:tcW w:w="182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214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环境低度敏感区（E3）</w:t>
                  </w:r>
                </w:p>
              </w:tc>
              <w:tc>
                <w:tcPr>
                  <w:tcW w:w="163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Ⅲ</w:t>
                  </w:r>
                </w:p>
              </w:tc>
              <w:tc>
                <w:tcPr>
                  <w:tcW w:w="1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Ⅲ</w:t>
                  </w:r>
                </w:p>
              </w:tc>
              <w:tc>
                <w:tcPr>
                  <w:tcW w:w="182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Ⅱ</w:t>
                  </w:r>
                </w:p>
              </w:tc>
              <w:tc>
                <w:tcPr>
                  <w:tcW w:w="1828" w:type="dxa"/>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9140" w:type="dxa"/>
                  <w:gridSpan w:val="5"/>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注：Ⅳ</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t>表示为极高环境风险；Ⅰ表示简单分析</w:t>
                  </w:r>
                </w:p>
              </w:tc>
            </w:tr>
          </w:tbl>
          <w:p>
            <w:pPr>
              <w:pageBreakBefore w:val="0"/>
              <w:kinsoku/>
              <w:wordWrap/>
              <w:overflowPunct/>
              <w:topLinePunct w:val="0"/>
              <w:autoSpaceDE/>
              <w:autoSpaceDN/>
              <w:bidi w:val="0"/>
              <w:adjustRightInd/>
              <w:snapToGrid/>
              <w:spacing w:before="156" w:beforeLines="50" w:line="360" w:lineRule="auto"/>
              <w:ind w:firstLine="482" w:firstLineChars="200"/>
              <w:jc w:val="left"/>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t>危险物质及工艺系统危险性（P）的确定</w:t>
            </w:r>
          </w:p>
          <w:p>
            <w:pPr>
              <w:pageBreakBefore w:val="0"/>
              <w:widowControl w:val="0"/>
              <w:kinsoku/>
              <w:wordWrap/>
              <w:overflowPunct/>
              <w:topLinePunct w:val="0"/>
              <w:autoSpaceDE/>
              <w:autoSpaceDN/>
              <w:bidi w:val="0"/>
              <w:adjustRightInd/>
              <w:snapToGrid/>
              <w:spacing w:before="156" w:beforeLines="50" w:line="240" w:lineRule="auto"/>
              <w:ind w:left="0" w:firstLine="0"/>
              <w:jc w:val="cente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t>表8.2-</w:t>
            </w:r>
            <w:r>
              <w:rPr>
                <w:rFonts w:hint="eastAsia"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t>21</w:t>
            </w:r>
            <w:r>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t xml:space="preserve"> 危险物质及工艺系统危险性等级判定（P）</w:t>
            </w:r>
          </w:p>
          <w:tbl>
            <w:tblPr>
              <w:tblStyle w:val="26"/>
              <w:tblW w:w="918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6"/>
              <w:gridCol w:w="1837"/>
              <w:gridCol w:w="1837"/>
              <w:gridCol w:w="1837"/>
              <w:gridCol w:w="18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36" w:type="dxa"/>
                  <w:vMerge w:val="restart"/>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t>危险物质数量与临界量比值（Q）</w:t>
                  </w:r>
                </w:p>
              </w:tc>
              <w:tc>
                <w:tcPr>
                  <w:tcW w:w="7348" w:type="dxa"/>
                  <w:gridSpan w:val="4"/>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t>行业及生产工艺（M）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36" w:type="dxa"/>
                  <w:vMerge w:val="continue"/>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pP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t>M1</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t>M2</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t>M3</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Cs w:val="21"/>
                      <w:highlight w:val="none"/>
                      <w:shd w:val="clear" w:color="auto" w:fill="auto"/>
                      <w14:textFill>
                        <w14:solidFill>
                          <w14:schemeClr w14:val="tx1"/>
                        </w14:solidFill>
                      </w14:textFill>
                    </w:rPr>
                    <w:t>M4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36"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Q≥100</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P1</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P1</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P2</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36"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10≤Q＜100</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P1</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P2</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P3</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36"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1≤Q≤10</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P2</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P3</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P4</w:t>
                  </w:r>
                </w:p>
              </w:tc>
              <w:tc>
                <w:tcPr>
                  <w:tcW w:w="1837" w:type="dxa"/>
                  <w:noWrap w:val="0"/>
                  <w:vAlign w:val="center"/>
                </w:tcPr>
                <w:p>
                  <w:pPr>
                    <w:pageBreakBefore w:val="0"/>
                    <w:kinsoku/>
                    <w:wordWrap/>
                    <w:overflowPunct/>
                    <w:topLinePunct w:val="0"/>
                    <w:autoSpaceDE/>
                    <w:autoSpaceDN/>
                    <w:bidi w:val="0"/>
                    <w:adjustRightInd/>
                    <w:snapToGrid/>
                    <w:jc w:val="cente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Cs w:val="21"/>
                      <w:highlight w:val="none"/>
                      <w:shd w:val="clear" w:color="auto" w:fill="auto"/>
                      <w14:textFill>
                        <w14:solidFill>
                          <w14:schemeClr w14:val="tx1"/>
                        </w14:solidFill>
                      </w14:textFill>
                    </w:rPr>
                    <w:t>P4</w:t>
                  </w:r>
                </w:p>
              </w:tc>
            </w:tr>
          </w:tbl>
          <w:p>
            <w:pPr>
              <w:keepNext w:val="0"/>
              <w:keepLines w:val="0"/>
              <w:pageBreakBefore w:val="0"/>
              <w:widowControl w:val="0"/>
              <w:kinsoku/>
              <w:wordWrap/>
              <w:overflowPunct/>
              <w:topLinePunct w:val="0"/>
              <w:autoSpaceDE/>
              <w:autoSpaceDN/>
              <w:bidi w:val="0"/>
              <w:adjustRightInd/>
              <w:snapToGrid/>
              <w:spacing w:before="156" w:beforeLines="50"/>
              <w:ind w:firstLine="482" w:firstLineChars="200"/>
              <w:textAlignment w:val="auto"/>
              <w:outlineLvl w:val="9"/>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t>危险物质数量与临界量比值（Q）</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计算所涉及的每种危险物质在厂界内的最大存在总量与其在</w:t>
            </w:r>
            <w:r>
              <w:rPr>
                <w:rFonts w:hint="default" w:ascii="Times New Roman" w:hAnsi="Times New Roman" w:eastAsia="宋体" w:cs="Times New Roman"/>
                <w:color w:val="000000" w:themeColor="text1"/>
                <w:sz w:val="24"/>
                <w:highlight w:val="none"/>
                <w14:textFill>
                  <w14:solidFill>
                    <w14:schemeClr w14:val="tx1"/>
                  </w14:solidFill>
                </w14:textFill>
              </w:rPr>
              <w:t>《建设项目环境风险评价技术导则》（HJ/T169-20</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highlight w:val="none"/>
                <w14:textFill>
                  <w14:solidFill>
                    <w14:schemeClr w14:val="tx1"/>
                  </w14:solidFill>
                </w14:textFill>
              </w:rPr>
              <w:t>）附录</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B</w:t>
            </w:r>
            <w:r>
              <w:rPr>
                <w:rFonts w:hint="default" w:ascii="Times New Roman" w:hAnsi="Times New Roman" w:eastAsia="宋体" w:cs="Times New Roman"/>
                <w:color w:val="000000" w:themeColor="text1"/>
                <w:sz w:val="24"/>
                <w:highlight w:val="none"/>
                <w14:textFill>
                  <w14:solidFill>
                    <w14:schemeClr w14:val="tx1"/>
                  </w14:solidFill>
                </w14:textFill>
              </w:rPr>
              <w:t>列表中</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对应临界量的比值</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当只涉及一种危险物质时，计算该物质的总量及其临界量比值，即为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当存在多种危险物质时，则按下式子计算物质总量与其临界量比值（</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jc w:val="center"/>
              <w:textAlignment w:val="auto"/>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 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 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lang w:val="en-US" w:eastAsia="zh-CN"/>
                <w14:textFill>
                  <w14:solidFill>
                    <w14:schemeClr w14:val="tx1"/>
                  </w14:solidFill>
                </w14:textFill>
              </w:rPr>
              <w:t>n</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z w:val="24"/>
                <w:highlight w:val="none"/>
                <w14:textFill>
                  <w14:solidFill>
                    <w14:schemeClr w14:val="tx1"/>
                  </w14:solidFill>
                </w14:textFill>
              </w:rPr>
              <w:t xml:space="preserve"> ——每种危险物质实际存在量，t。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1200" w:firstLineChars="5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...Q</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n</w:t>
            </w:r>
            <w:r>
              <w:rPr>
                <w:rFonts w:hint="default" w:ascii="Times New Roman" w:hAnsi="Times New Roman" w:eastAsia="宋体" w:cs="Times New Roman"/>
                <w:color w:val="000000" w:themeColor="text1"/>
                <w:sz w:val="24"/>
                <w:highlight w:val="none"/>
                <w14:textFill>
                  <w14:solidFill>
                    <w14:schemeClr w14:val="tx1"/>
                  </w14:solidFill>
                </w14:textFill>
              </w:rPr>
              <w:t>——与各危险物质相对应的生产场所或贮存区的临界量，t。</w:t>
            </w:r>
          </w:p>
          <w:p>
            <w:pPr>
              <w:pStyle w:val="2"/>
              <w:keepNext w:val="0"/>
              <w:keepLines w:val="0"/>
              <w:pageBreakBefore w:val="0"/>
              <w:widowControl w:val="0"/>
              <w:kinsoku/>
              <w:wordWrap/>
              <w:overflowPunct/>
              <w:topLinePunct w:val="0"/>
              <w:autoSpaceDE/>
              <w:autoSpaceDN/>
              <w:bidi w:val="0"/>
              <w:adjustRightInd/>
              <w:spacing w:after="0" w:line="360" w:lineRule="auto"/>
              <w:ind w:left="0" w:leftChars="0"/>
              <w:textAlignment w:val="auto"/>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 xml:space="preserve">   </w:t>
            </w: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 xml:space="preserve">  当Q＜1时，该项目环境风险潜势为Ⅰ，简单分析即可。</w:t>
            </w:r>
          </w:p>
          <w:p>
            <w:pPr>
              <w:pageBreakBefore w:val="0"/>
              <w:kinsoku/>
              <w:wordWrap/>
              <w:overflowPunct/>
              <w:topLinePunct w:val="0"/>
              <w:autoSpaceDE/>
              <w:autoSpaceDN/>
              <w:bidi w:val="0"/>
              <w:adjustRightInd/>
              <w:snapToGrid/>
              <w:spacing w:before="156" w:beforeLines="5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aps w:val="0"/>
                <w:color w:val="000000" w:themeColor="text1"/>
                <w:kern w:val="2"/>
                <w:sz w:val="24"/>
                <w:szCs w:val="24"/>
                <w:highlight w:val="none"/>
                <w:lang w:val="en-US" w:eastAsia="zh-CN" w:bidi="ar-SA"/>
                <w14:textFill>
                  <w14:solidFill>
                    <w14:schemeClr w14:val="tx1"/>
                  </w14:solidFill>
                </w14:textFill>
              </w:rPr>
              <w:t xml:space="preserve">     当Q≥1时，将Q值划分为：（1）1≤Q＜10；（2）10≤Q＜100；（3）Q≥100。</w:t>
            </w:r>
          </w:p>
          <w:p>
            <w:pPr>
              <w:pageBreakBefore w:val="0"/>
              <w:kinsoku/>
              <w:wordWrap/>
              <w:overflowPunct/>
              <w:topLinePunct w:val="0"/>
              <w:autoSpaceDE/>
              <w:autoSpaceDN/>
              <w:bidi w:val="0"/>
              <w:adjustRightInd/>
              <w:snapToGrid/>
              <w:spacing w:before="156" w:beforeLines="50"/>
              <w:jc w:val="center"/>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t>表8.</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2-</w:t>
            </w:r>
            <w:r>
              <w:rPr>
                <w:rFonts w:hint="eastAsia"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22</w:t>
            </w:r>
            <w:r>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t xml:space="preserve"> 本项目</w:t>
            </w:r>
            <w:r>
              <w:rPr>
                <w:rFonts w:hint="default" w:ascii="Times New Roman" w:hAnsi="Times New Roman" w:eastAsia="宋体" w:cs="Times New Roman"/>
                <w:b/>
                <w:bCs/>
                <w:color w:val="000000" w:themeColor="text1"/>
                <w:sz w:val="24"/>
                <w:szCs w:val="24"/>
                <w:highlight w:val="none"/>
                <w:shd w:val="clear" w:color="auto" w:fill="auto"/>
                <w:lang w:eastAsia="zh-CN"/>
                <w14:textFill>
                  <w14:solidFill>
                    <w14:schemeClr w14:val="tx1"/>
                  </w14:solidFill>
                </w14:textFill>
              </w:rPr>
              <w:t>环境风险</w:t>
            </w:r>
            <w:r>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t>物质一览表</w:t>
            </w:r>
          </w:p>
          <w:tbl>
            <w:tblPr>
              <w:tblStyle w:val="26"/>
              <w:tblW w:w="924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9"/>
              <w:gridCol w:w="2185"/>
              <w:gridCol w:w="1872"/>
              <w:gridCol w:w="1768"/>
              <w:gridCol w:w="1257"/>
              <w:gridCol w:w="15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9"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kern w:val="0"/>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shd w:val="clear" w:color="auto" w:fill="auto"/>
                      <w:lang w:eastAsia="zh-CN"/>
                      <w14:textFill>
                        <w14:solidFill>
                          <w14:schemeClr w14:val="tx1"/>
                        </w14:solidFill>
                      </w14:textFill>
                    </w:rPr>
                    <w:t>序号</w:t>
                  </w:r>
                </w:p>
              </w:tc>
              <w:tc>
                <w:tcPr>
                  <w:tcW w:w="218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kern w:val="0"/>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shd w:val="clear" w:color="auto" w:fill="auto"/>
                      <w:lang w:eastAsia="zh-CN"/>
                      <w14:textFill>
                        <w14:solidFill>
                          <w14:schemeClr w14:val="tx1"/>
                        </w14:solidFill>
                      </w14:textFill>
                    </w:rPr>
                    <w:t>危险物质</w:t>
                  </w:r>
                </w:p>
              </w:tc>
              <w:tc>
                <w:tcPr>
                  <w:tcW w:w="1872"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shd w:val="clear" w:color="auto" w:fill="auto"/>
                      <w14:textFill>
                        <w14:solidFill>
                          <w14:schemeClr w14:val="tx1"/>
                        </w14:solidFill>
                      </w14:textFill>
                    </w:rPr>
                    <w:t>最大储存量</w:t>
                  </w:r>
                  <w:r>
                    <w:rPr>
                      <w:rFonts w:hint="default" w:ascii="Times New Roman" w:hAnsi="Times New Roman" w:eastAsia="宋体" w:cs="Times New Roman"/>
                      <w:b/>
                      <w:bCs w:val="0"/>
                      <w:color w:val="000000" w:themeColor="text1"/>
                      <w:kern w:val="0"/>
                      <w:sz w:val="21"/>
                      <w:szCs w:val="21"/>
                      <w:highlight w:val="none"/>
                      <w:shd w:val="clear" w:color="auto" w:fill="auto"/>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shd w:val="clear" w:color="auto" w:fill="auto"/>
                      <w:lang w:val="en-US" w:eastAsia="zh-CN"/>
                      <w14:textFill>
                        <w14:solidFill>
                          <w14:schemeClr w14:val="tx1"/>
                        </w14:solidFill>
                      </w14:textFill>
                    </w:rPr>
                    <w:t>t</w:t>
                  </w:r>
                  <w:r>
                    <w:rPr>
                      <w:rFonts w:hint="default" w:ascii="Times New Roman" w:hAnsi="Times New Roman" w:eastAsia="宋体" w:cs="Times New Roman"/>
                      <w:b/>
                      <w:bCs w:val="0"/>
                      <w:color w:val="000000" w:themeColor="text1"/>
                      <w:kern w:val="0"/>
                      <w:sz w:val="21"/>
                      <w:szCs w:val="21"/>
                      <w:highlight w:val="none"/>
                      <w:shd w:val="clear" w:color="auto" w:fill="auto"/>
                      <w:lang w:eastAsia="zh-CN"/>
                      <w14:textFill>
                        <w14:solidFill>
                          <w14:schemeClr w14:val="tx1"/>
                        </w14:solidFill>
                      </w14:textFill>
                    </w:rPr>
                    <w:t>）</w:t>
                  </w:r>
                </w:p>
              </w:tc>
              <w:tc>
                <w:tcPr>
                  <w:tcW w:w="1768"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kern w:val="0"/>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shd w:val="clear" w:color="auto" w:fill="auto"/>
                      <w14:textFill>
                        <w14:solidFill>
                          <w14:schemeClr w14:val="tx1"/>
                        </w14:solidFill>
                      </w14:textFill>
                    </w:rPr>
                    <w:t>临界量</w:t>
                  </w:r>
                  <w:r>
                    <w:rPr>
                      <w:rFonts w:hint="default" w:ascii="Times New Roman" w:hAnsi="Times New Roman" w:eastAsia="宋体" w:cs="Times New Roman"/>
                      <w:b/>
                      <w:bCs w:val="0"/>
                      <w:color w:val="000000" w:themeColor="text1"/>
                      <w:kern w:val="0"/>
                      <w:sz w:val="21"/>
                      <w:szCs w:val="21"/>
                      <w:highlight w:val="none"/>
                      <w:shd w:val="clear" w:color="auto" w:fill="auto"/>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shd w:val="clear" w:color="auto" w:fill="auto"/>
                      <w:lang w:val="en-US" w:eastAsia="zh-CN"/>
                      <w14:textFill>
                        <w14:solidFill>
                          <w14:schemeClr w14:val="tx1"/>
                        </w14:solidFill>
                      </w14:textFill>
                    </w:rPr>
                    <w:t>t</w:t>
                  </w:r>
                  <w:r>
                    <w:rPr>
                      <w:rFonts w:hint="default" w:ascii="Times New Roman" w:hAnsi="Times New Roman" w:eastAsia="宋体" w:cs="Times New Roman"/>
                      <w:b/>
                      <w:bCs w:val="0"/>
                      <w:color w:val="000000" w:themeColor="text1"/>
                      <w:kern w:val="0"/>
                      <w:sz w:val="21"/>
                      <w:szCs w:val="21"/>
                      <w:highlight w:val="none"/>
                      <w:shd w:val="clear" w:color="auto" w:fill="auto"/>
                      <w:lang w:eastAsia="zh-CN"/>
                      <w14:textFill>
                        <w14:solidFill>
                          <w14:schemeClr w14:val="tx1"/>
                        </w14:solidFill>
                      </w14:textFill>
                    </w:rPr>
                    <w:t>）</w:t>
                  </w:r>
                </w:p>
              </w:tc>
              <w:tc>
                <w:tcPr>
                  <w:tcW w:w="1257"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shd w:val="clear" w:color="auto" w:fill="auto"/>
                      <w14:textFill>
                        <w14:solidFill>
                          <w14:schemeClr w14:val="tx1"/>
                        </w14:solidFill>
                      </w14:textFill>
                    </w:rPr>
                    <w:t>q</w:t>
                  </w:r>
                  <w:r>
                    <w:rPr>
                      <w:rFonts w:hint="default" w:ascii="Times New Roman" w:hAnsi="Times New Roman" w:eastAsia="宋体" w:cs="Times New Roman"/>
                      <w:b/>
                      <w:bCs w:val="0"/>
                      <w:color w:val="000000" w:themeColor="text1"/>
                      <w:sz w:val="21"/>
                      <w:szCs w:val="21"/>
                      <w:highlight w:val="none"/>
                      <w:shd w:val="clear" w:color="auto" w:fill="auto"/>
                      <w:vertAlign w:val="subscript"/>
                      <w14:textFill>
                        <w14:solidFill>
                          <w14:schemeClr w14:val="tx1"/>
                        </w14:solidFill>
                      </w14:textFill>
                    </w:rPr>
                    <w:t>i</w:t>
                  </w:r>
                  <w:r>
                    <w:rPr>
                      <w:rFonts w:hint="default" w:ascii="Times New Roman" w:hAnsi="Times New Roman" w:eastAsia="宋体" w:cs="Times New Roman"/>
                      <w:b/>
                      <w:bCs w:val="0"/>
                      <w:color w:val="000000" w:themeColor="text1"/>
                      <w:sz w:val="21"/>
                      <w:szCs w:val="21"/>
                      <w:highlight w:val="none"/>
                      <w:shd w:val="clear" w:color="auto" w:fill="auto"/>
                      <w14:textFill>
                        <w14:solidFill>
                          <w14:schemeClr w14:val="tx1"/>
                        </w14:solidFill>
                      </w14:textFill>
                    </w:rPr>
                    <w:t>/Q</w:t>
                  </w:r>
                  <w:r>
                    <w:rPr>
                      <w:rFonts w:hint="default" w:ascii="Times New Roman" w:hAnsi="Times New Roman" w:eastAsia="宋体" w:cs="Times New Roman"/>
                      <w:b/>
                      <w:bCs w:val="0"/>
                      <w:color w:val="000000" w:themeColor="text1"/>
                      <w:sz w:val="21"/>
                      <w:szCs w:val="21"/>
                      <w:highlight w:val="none"/>
                      <w:shd w:val="clear" w:color="auto" w:fill="auto"/>
                      <w:vertAlign w:val="subscript"/>
                      <w14:textFill>
                        <w14:solidFill>
                          <w14:schemeClr w14:val="tx1"/>
                        </w14:solidFill>
                      </w14:textFill>
                    </w:rPr>
                    <w:t>i</w:t>
                  </w:r>
                </w:p>
              </w:tc>
              <w:tc>
                <w:tcPr>
                  <w:tcW w:w="1503"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val="0"/>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bCs w:val="0"/>
                      <w:color w:val="000000" w:themeColor="text1"/>
                      <w:kern w:val="0"/>
                      <w:sz w:val="21"/>
                      <w:szCs w:val="21"/>
                      <w:highlight w:val="none"/>
                      <w:shd w:val="clear" w:color="auto" w:fill="auto"/>
                      <w14:textFill>
                        <w14:solidFill>
                          <w14:schemeClr w14:val="tx1"/>
                        </w14:solidFill>
                      </w14:textFill>
                    </w:rPr>
                    <w:t>储存方式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59"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t>1</w:t>
                  </w:r>
                </w:p>
              </w:tc>
              <w:tc>
                <w:tcPr>
                  <w:tcW w:w="2185"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kern w:val="0"/>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highlight w:val="none"/>
                      <w:shd w:val="clear" w:color="auto" w:fill="auto"/>
                      <w:lang w:eastAsia="zh-CN"/>
                      <w14:textFill>
                        <w14:solidFill>
                          <w14:schemeClr w14:val="tx1"/>
                        </w14:solidFill>
                      </w14:textFill>
                    </w:rPr>
                    <w:t>废润滑油</w:t>
                  </w:r>
                </w:p>
              </w:tc>
              <w:tc>
                <w:tcPr>
                  <w:tcW w:w="1872"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shd w:val="clear" w:color="auto" w:fill="auto"/>
                      <w:lang w:val="en-US" w:eastAsia="zh-CN"/>
                      <w14:textFill>
                        <w14:solidFill>
                          <w14:schemeClr w14:val="tx1"/>
                        </w14:solidFill>
                      </w14:textFill>
                    </w:rPr>
                    <w:t>0.05</w:t>
                  </w:r>
                </w:p>
              </w:tc>
              <w:tc>
                <w:tcPr>
                  <w:tcW w:w="1768"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kern w:val="0"/>
                      <w:sz w:val="21"/>
                      <w:szCs w:val="21"/>
                      <w:highlight w:val="none"/>
                      <w:shd w:val="clear" w:color="auto" w:fill="auto"/>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2500</w:t>
                  </w:r>
                </w:p>
              </w:tc>
              <w:tc>
                <w:tcPr>
                  <w:tcW w:w="125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i w:val="0"/>
                      <w:snapToGrid w:val="0"/>
                      <w:color w:val="000000" w:themeColor="text1"/>
                      <w:kern w:val="0"/>
                      <w:sz w:val="21"/>
                      <w:szCs w:val="21"/>
                      <w:u w:val="none"/>
                      <w:lang w:val="en-US" w:eastAsia="zh-CN" w:bidi="ar"/>
                      <w14:textFill>
                        <w14:solidFill>
                          <w14:schemeClr w14:val="tx1"/>
                        </w14:solidFill>
                      </w14:textFill>
                    </w:rPr>
                    <w:t>0.00002</w:t>
                  </w:r>
                </w:p>
              </w:tc>
              <w:tc>
                <w:tcPr>
                  <w:tcW w:w="1503" w:type="dxa"/>
                  <w:noWrap w:val="0"/>
                  <w:vAlign w:val="center"/>
                </w:tcPr>
                <w:p>
                  <w:pPr>
                    <w:keepNext w:val="0"/>
                    <w:keepLines w:val="0"/>
                    <w:pageBreakBefore w:val="0"/>
                    <w:widowControl/>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Cs/>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shd w:val="clear" w:color="auto" w:fill="auto"/>
                      <w:lang w:eastAsia="zh-CN"/>
                      <w14:textFill>
                        <w14:solidFill>
                          <w14:schemeClr w14:val="tx1"/>
                        </w14:solidFill>
                      </w14:textFill>
                    </w:rPr>
                    <w:t>桶装</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由上表结果可知，Q=Σqi/Qi=</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0.00002＜1，那么该项目环境风险潜势为I</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w:t>
            </w:r>
          </w:p>
          <w:p>
            <w:pPr>
              <w:pageBreakBefore w:val="0"/>
              <w:widowControl w:val="0"/>
              <w:kinsoku/>
              <w:wordWrap/>
              <w:overflowPunct/>
              <w:topLinePunct w:val="0"/>
              <w:autoSpaceDE/>
              <w:autoSpaceDN/>
              <w:bidi w:val="0"/>
              <w:adjustRightInd/>
              <w:snapToGrid/>
              <w:spacing w:line="360" w:lineRule="auto"/>
              <w:ind w:left="0" w:firstLine="420"/>
              <w:jc w:val="both"/>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shd w:val="clear" w:color="auto" w:fill="auto"/>
                <w:lang w:val="en-US" w:eastAsia="zh-CN" w:bidi="ar-SA"/>
                <w14:textFill>
                  <w14:solidFill>
                    <w14:schemeClr w14:val="tx1"/>
                  </w14:solidFill>
                </w14:textFill>
              </w:rPr>
              <w:t>（2）行业及生产工艺（M）</w:t>
            </w:r>
          </w:p>
          <w:p>
            <w:pPr>
              <w:pageBreakBefore w:val="0"/>
              <w:widowControl w:val="0"/>
              <w:kinsoku/>
              <w:wordWrap/>
              <w:overflowPunct/>
              <w:topLinePunct w:val="0"/>
              <w:autoSpaceDE/>
              <w:autoSpaceDN/>
              <w:bidi w:val="0"/>
              <w:adjustRightInd/>
              <w:snapToGrid/>
              <w:spacing w:line="360" w:lineRule="auto"/>
              <w:ind w:left="0" w:firstLine="420"/>
              <w:jc w:val="both"/>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根据《建设项目环境风险评价技术导则》（HJ169-2018）中“表C.1 行业及生产工艺（M）”，本项目“行业及生产工艺（M）”为M4。</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3、评价等级确定</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b w:val="0"/>
                <w:bCs w:val="0"/>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因本项目</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Q=Σqi/Qi=</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0.00002＜1，环境风险潜势为I</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，根据</w:t>
            </w: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《建设项目环境风险评价技术导则》（HJ169-2018）中</w:t>
            </w:r>
            <w:r>
              <w:rPr>
                <w:rFonts w:hint="default" w:ascii="Times New Roman" w:hAnsi="Times New Roman" w:eastAsia="宋体" w:cs="Times New Roman"/>
                <w:b w:val="0"/>
                <w:bCs w:val="0"/>
                <w:color w:val="000000" w:themeColor="text1"/>
                <w:sz w:val="24"/>
                <w:szCs w:val="24"/>
                <w:highlight w:val="none"/>
                <w:shd w:val="clear" w:color="auto" w:fill="auto"/>
                <w:lang w:val="en-US" w:eastAsia="zh-CN"/>
                <w14:textFill>
                  <w14:solidFill>
                    <w14:schemeClr w14:val="tx1"/>
                  </w14:solidFill>
                </w14:textFill>
              </w:rPr>
              <w:t>“表1 评价工作等级划分”，</w:t>
            </w:r>
            <w:r>
              <w:rPr>
                <w:rFonts w:hint="default" w:ascii="Times New Roman" w:hAnsi="Times New Roman" w:eastAsia="宋体" w:cs="Times New Roman"/>
                <w:b w:val="0"/>
                <w:bCs w:val="0"/>
                <w:color w:val="000000" w:themeColor="text1"/>
                <w:kern w:val="2"/>
                <w:sz w:val="24"/>
                <w:szCs w:val="24"/>
                <w:highlight w:val="none"/>
                <w:shd w:val="clear" w:color="auto" w:fill="auto"/>
                <w:lang w:val="en-US" w:eastAsia="zh-CN" w:bidi="ar-SA"/>
                <w14:textFill>
                  <w14:solidFill>
                    <w14:schemeClr w14:val="tx1"/>
                  </w14:solidFill>
                </w14:textFill>
              </w:rPr>
              <w:t>本项目环境风险评价等级为简单分析。</w:t>
            </w:r>
          </w:p>
          <w:p>
            <w:pPr>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表8.2-</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23</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 xml:space="preserve">  建设项目环境风险简单分析内容表</w:t>
            </w:r>
          </w:p>
          <w:tbl>
            <w:tblPr>
              <w:tblStyle w:val="27"/>
              <w:tblW w:w="9110" w:type="dxa"/>
              <w:jc w:val="center"/>
              <w:tblInd w:w="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1031"/>
              <w:gridCol w:w="1517"/>
              <w:gridCol w:w="1518"/>
              <w:gridCol w:w="924"/>
              <w:gridCol w:w="21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06" w:type="dxa"/>
                  <w:tcBorders>
                    <w:tl2br w:val="nil"/>
                    <w:tr2bl w:val="nil"/>
                  </w:tcBorders>
                  <w:noWrap w:val="0"/>
                  <w:vAlign w:val="center"/>
                </w:tcPr>
                <w:p>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建设项目名称</w:t>
                  </w:r>
                </w:p>
              </w:tc>
              <w:tc>
                <w:tcPr>
                  <w:tcW w:w="7104" w:type="dxa"/>
                  <w:gridSpan w:val="5"/>
                  <w:tcBorders>
                    <w:tl2br w:val="nil"/>
                    <w:tr2bl w:val="nil"/>
                  </w:tcBorders>
                  <w:noWrap w:val="0"/>
                  <w:vAlign w:val="center"/>
                </w:tcPr>
                <w:p>
                  <w:pPr>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佛冈县佛创石英砂有限公司年产60000吨石英砂建设项目（重新报批）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06"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建设地点</w:t>
                  </w:r>
                </w:p>
              </w:tc>
              <w:tc>
                <w:tcPr>
                  <w:tcW w:w="1031"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（广东）省</w:t>
                  </w:r>
                </w:p>
              </w:tc>
              <w:tc>
                <w:tcPr>
                  <w:tcW w:w="1517"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（清远）市</w:t>
                  </w:r>
                </w:p>
              </w:tc>
              <w:tc>
                <w:tcPr>
                  <w:tcW w:w="1518"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（）区</w:t>
                  </w:r>
                </w:p>
              </w:tc>
              <w:tc>
                <w:tcPr>
                  <w:tcW w:w="924"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（佛冈）县</w:t>
                  </w:r>
                </w:p>
              </w:tc>
              <w:tc>
                <w:tcPr>
                  <w:tcW w:w="2114"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（佛冈县汤塘镇三门管理区下围队原三门再生纸厂房）园区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06"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地理坐标</w:t>
                  </w:r>
                </w:p>
              </w:tc>
              <w:tc>
                <w:tcPr>
                  <w:tcW w:w="1031"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经度</w:t>
                  </w:r>
                </w:p>
              </w:tc>
              <w:tc>
                <w:tcPr>
                  <w:tcW w:w="1517"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113°30′46.30″</w:t>
                  </w:r>
                </w:p>
              </w:tc>
              <w:tc>
                <w:tcPr>
                  <w:tcW w:w="1518"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纬度</w:t>
                  </w:r>
                </w:p>
              </w:tc>
              <w:tc>
                <w:tcPr>
                  <w:tcW w:w="3038" w:type="dxa"/>
                  <w:gridSpan w:val="2"/>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23°47′05.14″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06"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主要危险物质及分布</w:t>
                  </w:r>
                </w:p>
              </w:tc>
              <w:tc>
                <w:tcPr>
                  <w:tcW w:w="7104" w:type="dxa"/>
                  <w:gridSpan w:val="5"/>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废润滑油（危废暂存间）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06"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环境影响途径及危害后果（大气、地表水、地下水等）</w:t>
                  </w:r>
                </w:p>
              </w:tc>
              <w:tc>
                <w:tcPr>
                  <w:tcW w:w="7104" w:type="dxa"/>
                  <w:gridSpan w:val="5"/>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具体见“环境风险分析”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06"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风险防范措施要求</w:t>
                  </w:r>
                </w:p>
              </w:tc>
              <w:tc>
                <w:tcPr>
                  <w:tcW w:w="7104" w:type="dxa"/>
                  <w:gridSpan w:val="5"/>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具体见“环境风险分析”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006" w:type="dxa"/>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填表说明（列出项目相关信息及评价说明）</w:t>
                  </w:r>
                </w:p>
              </w:tc>
              <w:tc>
                <w:tcPr>
                  <w:tcW w:w="7104" w:type="dxa"/>
                  <w:gridSpan w:val="5"/>
                  <w:tcBorders>
                    <w:tl2br w:val="nil"/>
                    <w:tr2bl w:val="nil"/>
                  </w:tcBorders>
                  <w:noWrap w:val="0"/>
                  <w:vAlign w:val="center"/>
                </w:tcPr>
                <w:p>
                  <w:pPr>
                    <w:jc w:val="cente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每年产生少量的</w:t>
                  </w:r>
                  <w:r>
                    <w:rPr>
                      <w:rFonts w:hint="default" w:ascii="Times New Roman" w:hAnsi="Times New Roman" w:eastAsia="宋体" w:cs="Times New Roman"/>
                      <w:bCs/>
                      <w:color w:val="000000" w:themeColor="text1"/>
                      <w:kern w:val="0"/>
                      <w:sz w:val="21"/>
                      <w:szCs w:val="21"/>
                      <w:shd w:val="clear" w:color="auto" w:fill="auto"/>
                      <w:lang w:eastAsia="zh-CN"/>
                      <w14:textFill>
                        <w14:solidFill>
                          <w14:schemeClr w14:val="tx1"/>
                        </w14:solidFill>
                      </w14:textFill>
                    </w:rPr>
                    <w:t>废润滑油</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Q值小于1</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，故环境风险潜势为Ⅰ，简单分析即可。</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default" w:ascii="Times New Roman" w:hAnsi="Times New Roman" w:eastAsia="宋体" w:cs="Times New Roman"/>
                <w:b/>
                <w:bCs/>
                <w:color w:val="000000" w:themeColor="text1"/>
                <w:sz w:val="24"/>
                <w:szCs w:val="24"/>
                <w:highlight w:val="none"/>
                <w:shd w:val="clear" w:color="auto" w:fill="auto"/>
                <w:lang w:eastAsia="zh-CN"/>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8.2.5</w:t>
            </w:r>
            <w:r>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t>.2环境风险分析</w:t>
            </w:r>
          </w:p>
          <w:p>
            <w:pPr>
              <w:pageBreakBefore w:val="0"/>
              <w:kinsoku/>
              <w:wordWrap/>
              <w:overflowPunct/>
              <w:topLinePunct w:val="0"/>
              <w:autoSpaceDE/>
              <w:autoSpaceDN/>
              <w:bidi w:val="0"/>
              <w:adjustRightInd/>
              <w:snapToGrid/>
              <w:spacing w:line="360" w:lineRule="auto"/>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pPr>
            <w:r>
              <w:rPr>
                <w:rFonts w:hint="default" w:ascii="Times New Roman" w:hAnsi="Times New Roman" w:eastAsia="宋体" w:cs="Times New Roman"/>
                <w:b/>
                <w:color w:val="000000" w:themeColor="text1"/>
                <w:sz w:val="24"/>
                <w:szCs w:val="24"/>
                <w:highlight w:val="none"/>
                <w:shd w:val="clear" w:color="auto" w:fill="auto"/>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本项目产生的废润滑油属于有毒有害物质，其中废润滑油还属危险废物，经收集后在厂房特定区域暂存后交由有危废资质单位处理。如发生泄漏，将会污染附近土壤和地下水</w:t>
            </w:r>
            <w:r>
              <w:rPr>
                <w:rFonts w:hint="default" w:ascii="Times New Roman" w:hAnsi="Times New Roman" w:eastAsia="宋体" w:cs="Times New Roman"/>
                <w:color w:val="000000" w:themeColor="text1"/>
                <w:sz w:val="24"/>
                <w:szCs w:val="21"/>
                <w:highlight w:val="none"/>
                <w:shd w:val="clear" w:color="auto" w:fill="auto"/>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由于本项目废润滑油储量很少，且以桶装包装为主，基本不会发生大量泄漏情况，而少量的泄漏可以及时处理，因此环境风险也相对较小。</w:t>
            </w:r>
          </w:p>
          <w:p>
            <w:pPr>
              <w:pageBreakBefore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bCs/>
                <w:color w:val="000000" w:themeColor="text1"/>
                <w:sz w:val="24"/>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因此，本项目应按照安全生产规范使用和保存废润滑油，避免或减轻由安全事故引发的环境风险，应将危险废物废润滑油妥善收集暂存，做好防渗透处理，临时堆存时间不得过长，堆存量不宜多大，以防造成渗漏等二次污染</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w:t>
            </w:r>
          </w:p>
          <w:p>
            <w:pPr>
              <w:pStyle w:val="72"/>
              <w:pageBreakBefore w:val="0"/>
              <w:shd w:val="clear"/>
              <w:kinsoku/>
              <w:wordWrap/>
              <w:overflowPunct/>
              <w:topLinePunct w:val="0"/>
              <w:autoSpaceDE/>
              <w:autoSpaceDN/>
              <w:bidi w:val="0"/>
              <w:adjustRightInd/>
              <w:snapToGrid/>
              <w:ind w:firstLine="480" w:firstLineChars="200"/>
              <w:rPr>
                <w:rFonts w:hint="default" w:ascii="Times New Roman" w:hAnsi="Times New Roman" w:eastAsia="宋体" w:cs="Times New Roman"/>
                <w:color w:val="000000" w:themeColor="text1"/>
                <w:sz w:val="24"/>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4"/>
                <w:szCs w:val="21"/>
                <w:highlight w:val="none"/>
                <w:shd w:val="clear" w:color="auto" w:fill="auto"/>
                <w:lang w:eastAsia="zh-CN"/>
                <w14:textFill>
                  <w14:solidFill>
                    <w14:schemeClr w14:val="tx1"/>
                  </w14:solidFill>
                </w14:textFill>
              </w:rPr>
              <w:t>此外，本项目环境风险还有生产设备和环保设施静电除尘器不正常运行引发的环境危害，因此建设单位需要做好设备的维护保养工作，并做好防护措施。</w:t>
            </w:r>
          </w:p>
          <w:p>
            <w:pPr>
              <w:pStyle w:val="72"/>
              <w:pageBreakBefore w:val="0"/>
              <w:shd w:val="clear"/>
              <w:kinsoku/>
              <w:wordWrap/>
              <w:overflowPunct/>
              <w:topLinePunct w:val="0"/>
              <w:autoSpaceDE/>
              <w:autoSpaceDN/>
              <w:bidi w:val="0"/>
              <w:adjustRightInd/>
              <w:snapToGrid/>
              <w:ind w:firstLine="480" w:firstLineChars="200"/>
              <w:rPr>
                <w:rFonts w:hint="default" w:ascii="Times New Roman" w:hAnsi="Times New Roman" w:eastAsia="宋体" w:cs="Times New Roman"/>
                <w:b/>
                <w:bCs w:val="0"/>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1"/>
                <w:highlight w:val="none"/>
                <w:shd w:val="clear" w:color="auto" w:fill="auto"/>
                <w14:textFill>
                  <w14:solidFill>
                    <w14:schemeClr w14:val="tx1"/>
                  </w14:solidFill>
                </w14:textFill>
              </w:rPr>
              <w:t>综上分析，建设单位应采用严格的</w:t>
            </w:r>
            <w:r>
              <w:rPr>
                <w:rFonts w:hint="default" w:ascii="Times New Roman" w:hAnsi="Times New Roman" w:eastAsia="宋体" w:cs="Times New Roman"/>
                <w:bCs/>
                <w:color w:val="000000" w:themeColor="text1"/>
                <w:sz w:val="24"/>
                <w:szCs w:val="21"/>
                <w:highlight w:val="none"/>
                <w:shd w:val="clear" w:color="auto" w:fill="auto"/>
                <w14:textFill>
                  <w14:solidFill>
                    <w14:schemeClr w14:val="tx1"/>
                  </w14:solidFill>
                </w14:textFill>
              </w:rPr>
              <w:t>环境风险</w:t>
            </w:r>
            <w:r>
              <w:rPr>
                <w:rFonts w:hint="default" w:ascii="Times New Roman" w:hAnsi="Times New Roman" w:eastAsia="宋体" w:cs="Times New Roman"/>
                <w:bCs/>
                <w:color w:val="000000" w:themeColor="text1"/>
                <w:sz w:val="24"/>
                <w:szCs w:val="24"/>
                <w:highlight w:val="none"/>
                <w:shd w:val="clear" w:color="auto" w:fill="auto"/>
                <w14:textFill>
                  <w14:solidFill>
                    <w14:schemeClr w14:val="tx1"/>
                  </w14:solidFill>
                </w14:textFill>
              </w:rPr>
              <w:t>事故</w:t>
            </w:r>
            <w:r>
              <w:rPr>
                <w:rFonts w:hint="default" w:ascii="Times New Roman" w:hAnsi="Times New Roman" w:eastAsia="宋体" w:cs="Times New Roman"/>
                <w:color w:val="000000" w:themeColor="text1"/>
                <w:sz w:val="24"/>
                <w:szCs w:val="21"/>
                <w:highlight w:val="none"/>
                <w:shd w:val="clear" w:color="auto" w:fill="auto"/>
                <w14:textFill>
                  <w14:solidFill>
                    <w14:schemeClr w14:val="tx1"/>
                  </w14:solidFill>
                </w14:textFill>
              </w:rPr>
              <w:t>防范体系，有一套完整的管理规程、作业规章和应急计划，可最大限度地降低环境风险，一旦意外事件发生，也能最大限度地减少环境污染危害和人们生命财产的损失。环境风险主要是人为事件，完全可以通过政府各有关职能部门加强监督指导，企业内部制定严格的管理条例和岗位责任制，加强职工的安全生产教育，提高风险意识，从而最大限度地减少可能发生的环境风险。因此，</w:t>
            </w:r>
            <w:r>
              <w:rPr>
                <w:rFonts w:hint="default" w:ascii="Times New Roman" w:hAnsi="Times New Roman" w:eastAsia="宋体" w:cs="Times New Roman"/>
                <w:color w:val="000000" w:themeColor="text1"/>
                <w:sz w:val="24"/>
                <w:szCs w:val="21"/>
                <w:highlight w:val="none"/>
                <w:shd w:val="clear" w:color="auto" w:fill="auto"/>
                <w:lang w:eastAsia="zh-CN"/>
                <w14:textFill>
                  <w14:solidFill>
                    <w14:schemeClr w14:val="tx1"/>
                  </w14:solidFill>
                </w14:textFill>
              </w:rPr>
              <w:t>项目</w:t>
            </w:r>
            <w:r>
              <w:rPr>
                <w:rFonts w:hint="default" w:ascii="Times New Roman" w:hAnsi="Times New Roman" w:eastAsia="宋体" w:cs="Times New Roman"/>
                <w:color w:val="000000" w:themeColor="text1"/>
                <w:sz w:val="24"/>
                <w:szCs w:val="21"/>
                <w:highlight w:val="none"/>
                <w:shd w:val="clear" w:color="auto" w:fill="auto"/>
                <w14:textFill>
                  <w14:solidFill>
                    <w14:schemeClr w14:val="tx1"/>
                  </w14:solidFill>
                </w14:textFill>
              </w:rPr>
              <w:t>运行过程中存在的环境风险，必须严格执行国家的技术规范和操作规程要求，落实各项安全规章制度，加强监控和管理避免事故的发生。</w:t>
            </w:r>
          </w:p>
          <w:p>
            <w:pPr>
              <w:spacing w:line="360" w:lineRule="auto"/>
              <w:ind w:firstLine="482"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综上所述，在认真落实工程拟采取的措施及评价所提出的应急措施和对策后，本项目环境风险是可以接受的。</w:t>
            </w:r>
          </w:p>
          <w:p>
            <w:pPr>
              <w:pStyle w:val="2"/>
              <w:spacing w:after="0" w:line="360" w:lineRule="auto"/>
              <w:ind w:left="0" w:leftChars="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8.2.</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highlight w:val="none"/>
                <w14:textFill>
                  <w14:solidFill>
                    <w14:schemeClr w14:val="tx1"/>
                  </w14:solidFill>
                </w14:textFill>
              </w:rPr>
              <w:t>运营期生态影响分析</w:t>
            </w:r>
          </w:p>
          <w:p>
            <w:pPr>
              <w:pStyle w:val="23"/>
              <w:widowControl w:val="0"/>
              <w:spacing w:before="15" w:beforeAutospacing="0" w:after="0" w:afterAutospacing="0" w:line="360" w:lineRule="auto"/>
              <w:ind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根据现场踏勘，本项目所在区域</w:t>
            </w:r>
            <w:r>
              <w:rPr>
                <w:rFonts w:hint="default" w:ascii="Times New Roman" w:hAnsi="Times New Roman" w:eastAsia="宋体" w:cs="Times New Roman"/>
                <w:color w:val="000000" w:themeColor="text1"/>
                <w:lang w:eastAsia="zh-CN"/>
                <w14:textFill>
                  <w14:solidFill>
                    <w14:schemeClr w14:val="tx1"/>
                  </w14:solidFill>
                </w14:textFill>
              </w:rPr>
              <w:t>为建成的</w:t>
            </w:r>
            <w:r>
              <w:rPr>
                <w:rFonts w:hint="default" w:ascii="Times New Roman" w:hAnsi="Times New Roman" w:eastAsia="宋体" w:cs="Times New Roman"/>
                <w:color w:val="000000" w:themeColor="text1"/>
                <w14:textFill>
                  <w14:solidFill>
                    <w14:schemeClr w14:val="tx1"/>
                  </w14:solidFill>
                </w14:textFill>
              </w:rPr>
              <w:t>工业区，</w:t>
            </w:r>
            <w:r>
              <w:rPr>
                <w:rFonts w:hint="default" w:ascii="Times New Roman" w:hAnsi="Times New Roman" w:eastAsia="宋体" w:cs="Times New Roman"/>
                <w:color w:val="000000" w:themeColor="text1"/>
                <w:lang w:eastAsia="zh-CN"/>
                <w14:textFill>
                  <w14:solidFill>
                    <w14:schemeClr w14:val="tx1"/>
                  </w14:solidFill>
                </w14:textFill>
              </w:rPr>
              <w:t>工业区内是人工绿地植被，工业区周围是次生植被绿地，生态系统比较简单</w:t>
            </w:r>
            <w:r>
              <w:rPr>
                <w:rFonts w:hint="default" w:ascii="Times New Roman" w:hAnsi="Times New Roman" w:eastAsia="宋体" w:cs="Times New Roman"/>
                <w:color w:val="000000" w:themeColor="text1"/>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本项目营运期间污染物种类简单</w:t>
            </w:r>
            <w:r>
              <w:rPr>
                <w:rFonts w:hint="default" w:ascii="Times New Roman" w:hAnsi="Times New Roman" w:eastAsia="宋体" w:cs="Times New Roman"/>
                <w:color w:val="000000" w:themeColor="text1"/>
                <w:sz w:val="24"/>
                <w:lang w:eastAsia="zh-CN"/>
                <w14:textFill>
                  <w14:solidFill>
                    <w14:schemeClr w14:val="tx1"/>
                  </w14:solidFill>
                </w14:textFill>
              </w:rPr>
              <w:t>，不涉及重金属及有毒有害物质的排放，</w:t>
            </w:r>
            <w:r>
              <w:rPr>
                <w:rFonts w:hint="default" w:ascii="Times New Roman" w:hAnsi="Times New Roman" w:eastAsia="宋体" w:cs="Times New Roman"/>
                <w:color w:val="000000" w:themeColor="text1"/>
                <w:sz w:val="24"/>
                <w14:textFill>
                  <w14:solidFill>
                    <w14:schemeClr w14:val="tx1"/>
                  </w14:solidFill>
                </w14:textFill>
              </w:rPr>
              <w:t>固废均得到妥善处理，不会造成二次污染</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lang w:val="en-US" w:eastAsia="zh-CN" w:bidi="ar"/>
                <w14:textFill>
                  <w14:solidFill>
                    <w14:schemeClr w14:val="tx1"/>
                  </w14:solidFill>
                </w14:textFill>
              </w:rPr>
              <w:t>本项目污染治理设施可行，处理效率较高，污染物排放主要体现在降低周围环境质量，从而直接或间接影响生态环境。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snapToGrid w:val="0"/>
                <w:color w:val="000000" w:themeColor="text1"/>
                <w:kern w:val="0"/>
                <w:sz w:val="24"/>
                <w:szCs w:val="24"/>
                <w:lang w:val="en-US" w:eastAsia="zh-CN" w:bidi="ar"/>
                <w14:textFill>
                  <w14:solidFill>
                    <w14:schemeClr w14:val="tx1"/>
                  </w14:solidFill>
                </w14:textFill>
              </w:rPr>
              <w:t>总之，</w:t>
            </w:r>
            <w:r>
              <w:rPr>
                <w:rFonts w:hint="default" w:ascii="Times New Roman" w:hAnsi="Times New Roman" w:eastAsia="宋体" w:cs="Times New Roman"/>
                <w:b/>
                <w:bCs/>
                <w:color w:val="000000" w:themeColor="text1"/>
                <w:sz w:val="24"/>
                <w14:textFill>
                  <w14:solidFill>
                    <w14:schemeClr w14:val="tx1"/>
                  </w14:solidFill>
                </w14:textFill>
              </w:rPr>
              <w:t>本项目对周围生态环境影响轻微。</w:t>
            </w:r>
          </w:p>
          <w:p>
            <w:pPr>
              <w:pStyle w:val="10"/>
              <w:rPr>
                <w:rFonts w:hint="default" w:ascii="Times New Roman" w:hAnsi="Times New Roman" w:eastAsia="宋体" w:cs="Times New Roman"/>
                <w:b/>
                <w:bCs/>
                <w:color w:val="000000" w:themeColor="text1"/>
                <w:sz w:val="24"/>
                <w14:textFill>
                  <w14:solidFill>
                    <w14:schemeClr w14:val="tx1"/>
                  </w14:solidFill>
                </w14:textFill>
              </w:rPr>
            </w:pP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bl>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color w:val="000000" w:themeColor="text1"/>
          <w:sz w:val="32"/>
          <w:szCs w:val="32"/>
          <w:highlight w:val="none"/>
          <w14:textFill>
            <w14:solidFill>
              <w14:schemeClr w14:val="tx1"/>
            </w14:solidFill>
          </w14:textFill>
        </w:rPr>
        <w:br w:type="page"/>
      </w: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21" w:name="_Toc4675"/>
      <w:bookmarkStart w:id="22" w:name="_Toc13234"/>
      <w:r>
        <w:rPr>
          <w:rFonts w:hint="default" w:ascii="Times New Roman" w:hAnsi="Times New Roman" w:eastAsia="宋体" w:cs="Times New Roman"/>
          <w:b/>
          <w:bCs/>
          <w:color w:val="000000" w:themeColor="text1"/>
          <w:sz w:val="32"/>
          <w:szCs w:val="32"/>
          <w:highlight w:val="none"/>
          <w14:textFill>
            <w14:solidFill>
              <w14:schemeClr w14:val="tx1"/>
            </w14:solidFill>
          </w14:textFill>
        </w:rPr>
        <w:t>09.拟采取的防治措施及预期治理效果</w:t>
      </w:r>
      <w:bookmarkEnd w:id="21"/>
      <w:bookmarkEnd w:id="22"/>
    </w:p>
    <w:tbl>
      <w:tblPr>
        <w:tblStyle w:val="26"/>
        <w:tblW w:w="944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4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13642" w:hRule="atLeast"/>
        </w:trPr>
        <w:tc>
          <w:tcPr>
            <w:tcW w:w="9440" w:type="dxa"/>
          </w:tcPr>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9.1运营期防治措施可行性分析</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aps w:val="0"/>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caps w:val="0"/>
                <w:color w:val="000000" w:themeColor="text1"/>
                <w:sz w:val="24"/>
                <w:szCs w:val="24"/>
                <w:highlight w:val="none"/>
                <w14:textFill>
                  <w14:solidFill>
                    <w14:schemeClr w14:val="tx1"/>
                  </w14:solidFill>
                </w14:textFill>
              </w:rPr>
              <w:t>.1.</w:t>
            </w:r>
            <w:r>
              <w:rPr>
                <w:rFonts w:hint="default" w:ascii="Times New Roman" w:hAnsi="Times New Roman" w:eastAsia="宋体" w:cs="Times New Roman"/>
                <w:b/>
                <w:caps w:val="0"/>
                <w:color w:val="000000" w:themeColor="text1"/>
                <w:sz w:val="24"/>
                <w:szCs w:val="24"/>
                <w:highlight w:val="none"/>
                <w:shd w:val="clear" w:color="auto" w:fill="auto"/>
                <w14:textFill>
                  <w14:solidFill>
                    <w14:schemeClr w14:val="tx1"/>
                  </w14:solidFill>
                </w14:textFill>
              </w:rPr>
              <w:t>1</w:t>
            </w:r>
            <w:r>
              <w:rPr>
                <w:rFonts w:hint="default" w:ascii="Times New Roman" w:hAnsi="Times New Roman" w:eastAsia="宋体" w:cs="Times New Roman"/>
                <w:b/>
                <w:bCs/>
                <w:caps w:val="0"/>
                <w:color w:val="000000" w:themeColor="text1"/>
                <w:sz w:val="24"/>
                <w:szCs w:val="24"/>
                <w:highlight w:val="none"/>
                <w:shd w:val="clear" w:color="auto" w:fill="auto"/>
                <w14:textFill>
                  <w14:solidFill>
                    <w14:schemeClr w14:val="tx1"/>
                  </w14:solidFill>
                </w14:textFill>
              </w:rPr>
              <w:t>运营期</w:t>
            </w:r>
            <w:r>
              <w:rPr>
                <w:rFonts w:hint="default" w:ascii="Times New Roman" w:hAnsi="Times New Roman" w:eastAsia="宋体" w:cs="Times New Roman"/>
                <w:b/>
                <w:bCs/>
                <w:caps w:val="0"/>
                <w:color w:val="000000" w:themeColor="text1"/>
                <w:sz w:val="24"/>
                <w:szCs w:val="24"/>
                <w:highlight w:val="none"/>
                <w:shd w:val="clear" w:color="auto" w:fill="auto"/>
                <w:lang w:eastAsia="zh-CN"/>
                <w14:textFill>
                  <w14:solidFill>
                    <w14:schemeClr w14:val="tx1"/>
                  </w14:solidFill>
                </w14:textFill>
              </w:rPr>
              <w:t>废气</w:t>
            </w:r>
            <w:r>
              <w:rPr>
                <w:rFonts w:hint="default" w:ascii="Times New Roman" w:hAnsi="Times New Roman" w:eastAsia="宋体" w:cs="Times New Roman"/>
                <w:b/>
                <w:bCs/>
                <w:caps w:val="0"/>
                <w:color w:val="000000" w:themeColor="text1"/>
                <w:sz w:val="24"/>
                <w:szCs w:val="24"/>
                <w:highlight w:val="none"/>
                <w:shd w:val="clear" w:color="auto" w:fill="auto"/>
                <w14:textFill>
                  <w14:solidFill>
                    <w14:schemeClr w14:val="tx1"/>
                  </w14:solidFill>
                </w14:textFill>
              </w:rPr>
              <w:t>防治措施可行性分析</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aps w:val="0"/>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caps w:val="0"/>
                <w:color w:val="000000" w:themeColor="text1"/>
                <w:sz w:val="24"/>
                <w:szCs w:val="24"/>
                <w:highlight w:val="none"/>
                <w14:textFill>
                  <w14:solidFill>
                    <w14:schemeClr w14:val="tx1"/>
                  </w14:solidFill>
                </w14:textFill>
              </w:rPr>
              <w:t>.1.</w:t>
            </w:r>
            <w:r>
              <w:rPr>
                <w:rFonts w:hint="default" w:ascii="Times New Roman" w:hAnsi="Times New Roman" w:eastAsia="宋体" w:cs="Times New Roman"/>
                <w:b/>
                <w:caps w:val="0"/>
                <w:color w:val="000000" w:themeColor="text1"/>
                <w:sz w:val="24"/>
                <w:szCs w:val="24"/>
                <w:highlight w:val="none"/>
                <w:shd w:val="clear" w:color="auto" w:fill="auto"/>
                <w14:textFill>
                  <w14:solidFill>
                    <w14:schemeClr w14:val="tx1"/>
                  </w14:solidFill>
                </w14:textFill>
              </w:rPr>
              <w:t>1</w:t>
            </w:r>
            <w:r>
              <w:rPr>
                <w:rFonts w:hint="default" w:ascii="Times New Roman" w:hAnsi="Times New Roman" w:eastAsia="宋体" w:cs="Times New Roman"/>
                <w:b/>
                <w:caps w:val="0"/>
                <w:color w:val="000000" w:themeColor="text1"/>
                <w:sz w:val="24"/>
                <w:szCs w:val="24"/>
                <w:highlight w:val="none"/>
                <w:shd w:val="clear" w:color="auto" w:fill="auto"/>
                <w:lang w:val="en-US" w:eastAsia="zh-CN"/>
                <w14:textFill>
                  <w14:solidFill>
                    <w14:schemeClr w14:val="tx1"/>
                  </w14:solidFill>
                </w14:textFill>
              </w:rPr>
              <w:t>.1</w:t>
            </w:r>
            <w:r>
              <w:rPr>
                <w:rFonts w:hint="default" w:ascii="Times New Roman" w:hAnsi="Times New Roman" w:eastAsia="宋体" w:cs="Times New Roman"/>
                <w:b/>
                <w:bCs/>
                <w:caps w:val="0"/>
                <w:color w:val="000000" w:themeColor="text1"/>
                <w:sz w:val="24"/>
                <w:szCs w:val="24"/>
                <w:highlight w:val="none"/>
                <w:shd w:val="clear" w:color="auto" w:fill="auto"/>
                <w14:textFill>
                  <w14:solidFill>
                    <w14:schemeClr w14:val="tx1"/>
                  </w14:solidFill>
                </w14:textFill>
              </w:rPr>
              <w:t>废气</w:t>
            </w:r>
            <w:r>
              <w:rPr>
                <w:rFonts w:hint="default" w:ascii="Times New Roman" w:hAnsi="Times New Roman" w:eastAsia="宋体" w:cs="Times New Roman"/>
                <w:b/>
                <w:bCs/>
                <w:caps w:val="0"/>
                <w:color w:val="000000" w:themeColor="text1"/>
                <w:sz w:val="24"/>
                <w:highlight w:val="none"/>
                <w:shd w:val="clear" w:color="auto" w:fill="auto"/>
                <w14:textFill>
                  <w14:solidFill>
                    <w14:schemeClr w14:val="tx1"/>
                  </w14:solidFill>
                </w14:textFill>
              </w:rPr>
              <w:t>密闭及</w:t>
            </w:r>
            <w:r>
              <w:rPr>
                <w:rFonts w:hint="default" w:ascii="Times New Roman" w:hAnsi="Times New Roman" w:eastAsia="宋体" w:cs="Times New Roman"/>
                <w:b/>
                <w:bCs/>
                <w:caps w:val="0"/>
                <w:color w:val="000000" w:themeColor="text1"/>
                <w:sz w:val="24"/>
                <w:szCs w:val="24"/>
                <w:highlight w:val="none"/>
                <w:shd w:val="clear" w:color="auto" w:fill="auto"/>
                <w14:textFill>
                  <w14:solidFill>
                    <w14:schemeClr w14:val="tx1"/>
                  </w14:solidFill>
                </w14:textFill>
              </w:rPr>
              <w:t>收集措施分析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aps w:val="0"/>
                <w:color w:val="000000" w:themeColor="text1"/>
                <w:sz w:val="24"/>
                <w:szCs w:val="24"/>
                <w:highlight w:val="none"/>
                <w:shd w:val="clear" w:color="auto" w:fill="auto"/>
                <w14:textFill>
                  <w14:solidFill>
                    <w14:schemeClr w14:val="tx1"/>
                  </w14:solidFill>
                </w14:textFill>
              </w:rPr>
              <w:t>废气</w:t>
            </w: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密闭原则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val="0"/>
                <w:cap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2"/>
                <w:highlight w:val="none"/>
                <w:lang w:val="en-US" w:eastAsia="zh-CN"/>
                <w14:textFill>
                  <w14:solidFill>
                    <w14:schemeClr w14:val="tx1"/>
                  </w14:solidFill>
                </w14:textFill>
              </w:rPr>
              <w:t>（1）《中华人民共和国大气污染防治法》（2018年修订）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snapToGrid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22"/>
                <w:highlight w:val="none"/>
                <w:lang w:val="en-US" w:eastAsia="zh-CN" w:bidi="ar-SA"/>
                <w14:textFill>
                  <w14:solidFill>
                    <w14:schemeClr w14:val="tx1"/>
                  </w14:solidFill>
                </w14:textFill>
              </w:rPr>
              <w:t>第四十八条　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p>
            <w:pPr>
              <w:keepNext w:val="0"/>
              <w:keepLines w:val="0"/>
              <w:pageBreakBefore w:val="0"/>
              <w:kinsoku/>
              <w:overflowPunct/>
              <w:topLinePunct w:val="0"/>
              <w:bidi w:val="0"/>
              <w:adjustRightInd/>
              <w:snapToGrid/>
              <w:spacing w:line="360" w:lineRule="auto"/>
              <w:ind w:firstLine="482" w:firstLineChars="200"/>
              <w:outlineLvl w:val="9"/>
              <w:rPr>
                <w:rFonts w:hint="default" w:ascii="Times New Roman" w:hAnsi="Times New Roman" w:eastAsia="宋体" w:cs="Times New Roman"/>
                <w:color w:val="000000" w:themeColor="text1"/>
                <w:sz w:val="24"/>
                <w:szCs w:val="24"/>
                <w:lang w:val="en-US"/>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aps w:val="0"/>
                <w:color w:val="000000" w:themeColor="text1"/>
                <w:sz w:val="24"/>
                <w:szCs w:val="24"/>
                <w:highlight w:val="none"/>
                <w:shd w:val="clear" w:color="auto" w:fill="auto"/>
                <w14:textFill>
                  <w14:solidFill>
                    <w14:schemeClr w14:val="tx1"/>
                  </w14:solidFill>
                </w14:textFill>
              </w:rPr>
              <w:t>废气</w:t>
            </w: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密闭</w:t>
            </w:r>
            <w:r>
              <w:rPr>
                <w:rFonts w:hint="default" w:ascii="Times New Roman" w:hAnsi="Times New Roman" w:eastAsia="宋体" w:cs="Times New Roman"/>
                <w:b/>
                <w:bCs/>
                <w:caps w:val="0"/>
                <w:color w:val="000000" w:themeColor="text1"/>
                <w:sz w:val="24"/>
                <w:highlight w:val="none"/>
                <w:shd w:val="clear" w:color="auto" w:fill="auto"/>
                <w14:textFill>
                  <w14:solidFill>
                    <w14:schemeClr w14:val="tx1"/>
                  </w14:solidFill>
                </w14:textFill>
              </w:rPr>
              <w:t>及</w:t>
            </w:r>
            <w:r>
              <w:rPr>
                <w:rFonts w:hint="default" w:ascii="Times New Roman" w:hAnsi="Times New Roman" w:eastAsia="宋体" w:cs="Times New Roman"/>
                <w:b/>
                <w:bCs/>
                <w:caps w:val="0"/>
                <w:color w:val="000000" w:themeColor="text1"/>
                <w:sz w:val="24"/>
                <w:szCs w:val="24"/>
                <w:highlight w:val="none"/>
                <w:shd w:val="clear" w:color="auto" w:fill="auto"/>
                <w14:textFill>
                  <w14:solidFill>
                    <w14:schemeClr w14:val="tx1"/>
                  </w14:solidFill>
                </w14:textFill>
              </w:rPr>
              <w:t>收集措施要求</w:t>
            </w:r>
          </w:p>
          <w:p>
            <w:pPr>
              <w:keepNext w:val="0"/>
              <w:keepLines w:val="0"/>
              <w:pageBreakBefore w:val="0"/>
              <w:numPr>
                <w:ilvl w:val="0"/>
                <w:numId w:val="0"/>
              </w:numPr>
              <w:kinsoku/>
              <w:overflowPunct/>
              <w:topLinePunct w:val="0"/>
              <w:bidi w:val="0"/>
              <w:adjustRightInd/>
              <w:snapToGrid/>
              <w:spacing w:line="360" w:lineRule="auto"/>
              <w:ind w:firstLine="480" w:firstLineChars="200"/>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（1）本项目的热水炉和烘干炉均为密闭设备且自带密闭的收集措施，收集后通过15m高排气筒排放</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numPr>
                <w:ilvl w:val="0"/>
                <w:numId w:val="0"/>
              </w:numPr>
              <w:kinsoku/>
              <w:overflowPunct/>
              <w:topLinePunct w:val="0"/>
              <w:bidi w:val="0"/>
              <w:adjustRightInd/>
              <w:snapToGrid/>
              <w:spacing w:line="360" w:lineRule="auto"/>
              <w:ind w:firstLine="480" w:firstLineChars="200"/>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无法设置密闭</w:t>
            </w:r>
            <w:r>
              <w:rPr>
                <w:rFonts w:hint="default" w:ascii="Times New Roman" w:hAnsi="Times New Roman" w:eastAsia="宋体" w:cs="Times New Roman"/>
                <w:color w:val="000000" w:themeColor="text1"/>
                <w:sz w:val="24"/>
                <w:szCs w:val="24"/>
                <w:lang w:eastAsia="zh-CN"/>
                <w14:textFill>
                  <w14:solidFill>
                    <w14:schemeClr w14:val="tx1"/>
                  </w14:solidFill>
                </w14:textFill>
              </w:rPr>
              <w:t>的设备</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筛分粉尘产生</w:t>
            </w:r>
            <w:r>
              <w:rPr>
                <w:rFonts w:hint="default" w:ascii="Times New Roman" w:hAnsi="Times New Roman" w:eastAsia="宋体" w:cs="Times New Roman"/>
                <w:color w:val="000000" w:themeColor="text1"/>
                <w:sz w:val="24"/>
                <w:szCs w:val="24"/>
                <w14:textFill>
                  <w14:solidFill>
                    <w14:schemeClr w14:val="tx1"/>
                  </w14:solidFill>
                </w14:textFill>
              </w:rPr>
              <w:t>工段应尽可能设置集气罩、排风管道组成的排气系统，集气罩可采取顶吸</w:t>
            </w:r>
            <w:r>
              <w:rPr>
                <w:rFonts w:hint="default" w:ascii="Times New Roman" w:hAnsi="Times New Roman" w:eastAsia="宋体" w:cs="Times New Roman"/>
                <w:color w:val="000000" w:themeColor="text1"/>
                <w:sz w:val="24"/>
                <w:szCs w:val="24"/>
                <w:lang w:eastAsia="zh-CN"/>
                <w14:textFill>
                  <w14:solidFill>
                    <w14:schemeClr w14:val="tx1"/>
                  </w14:solidFill>
                </w14:textFill>
              </w:rPr>
              <w:t>等方式，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将废气</w:t>
            </w:r>
            <w:r>
              <w:rPr>
                <w:rFonts w:hint="default" w:ascii="Times New Roman" w:hAnsi="Times New Roman" w:eastAsia="宋体" w:cs="Times New Roman"/>
                <w:color w:val="000000" w:themeColor="text1"/>
                <w:sz w:val="24"/>
                <w:szCs w:val="24"/>
                <w14:textFill>
                  <w14:solidFill>
                    <w14:schemeClr w14:val="tx1"/>
                  </w14:solidFill>
                </w14:textFill>
              </w:rPr>
              <w:t>经排风管集中导入</w:t>
            </w:r>
            <w:r>
              <w:rPr>
                <w:rFonts w:hint="default" w:ascii="Times New Roman" w:hAnsi="Times New Roman" w:eastAsia="宋体" w:cs="Times New Roman"/>
                <w:color w:val="000000" w:themeColor="text1"/>
                <w:sz w:val="24"/>
                <w:szCs w:val="24"/>
                <w:lang w:eastAsia="zh-CN"/>
                <w14:textFill>
                  <w14:solidFill>
                    <w14:schemeClr w14:val="tx1"/>
                  </w14:solidFill>
                </w14:textFill>
              </w:rPr>
              <w:t>粉尘</w:t>
            </w:r>
            <w:r>
              <w:rPr>
                <w:rFonts w:hint="default" w:ascii="Times New Roman" w:hAnsi="Times New Roman" w:eastAsia="宋体" w:cs="Times New Roman"/>
                <w:color w:val="000000" w:themeColor="text1"/>
                <w:sz w:val="24"/>
                <w:szCs w:val="24"/>
                <w14:textFill>
                  <w14:solidFill>
                    <w14:schemeClr w14:val="tx1"/>
                  </w14:solidFill>
                </w14:textFill>
              </w:rPr>
              <w:t>废气净化设施</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进行有效处理</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snapToGrid w:val="0"/>
                <w:color w:val="000000" w:themeColor="text1"/>
                <w:kern w:val="2"/>
                <w:sz w:val="24"/>
                <w:szCs w:val="22"/>
                <w:highlight w:val="none"/>
                <w:lang w:val="en-US" w:eastAsia="zh-CN" w:bidi="ar-SA"/>
                <w14:textFill>
                  <w14:solidFill>
                    <w14:schemeClr w14:val="tx1"/>
                  </w14:solidFill>
                </w14:textFill>
              </w:rPr>
              <w:t>距集气罩开口面最远处的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w:t>
            </w:r>
            <w:r>
              <w:rPr>
                <w:rFonts w:hint="default" w:ascii="Times New Roman" w:hAnsi="Times New Roman" w:eastAsia="宋体" w:cs="Times New Roman"/>
                <w:bCs/>
                <w:snapToGrid w:val="0"/>
                <w:color w:val="000000" w:themeColor="text1"/>
                <w:kern w:val="2"/>
                <w:sz w:val="24"/>
                <w:szCs w:val="22"/>
                <w:highlight w:val="none"/>
                <w:lang w:val="en-US" w:eastAsia="zh-CN" w:bidi="ar-SA"/>
                <w14:textFill>
                  <w14:solidFill>
                    <w14:schemeClr w14:val="tx1"/>
                  </w14:solidFill>
                </w14:textFill>
              </w:rPr>
              <w:t>控制风速应不低于0.3米/秒</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val="0"/>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bCs w:val="0"/>
                <w:snapToGrid w:val="0"/>
                <w:color w:val="000000" w:themeColor="text1"/>
                <w:kern w:val="2"/>
                <w:sz w:val="24"/>
                <w:szCs w:val="22"/>
                <w:highlight w:val="none"/>
                <w:lang w:val="en-US" w:eastAsia="zh-CN" w:bidi="ar-SA"/>
                <w14:textFill>
                  <w14:solidFill>
                    <w14:schemeClr w14:val="tx1"/>
                  </w14:solidFill>
                </w14:textFill>
              </w:rPr>
              <w:t>废气处理风量计算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val="0"/>
                <w:snapToGrid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b/>
                <w:caps w:val="0"/>
                <w:color w:val="000000" w:themeColor="text1"/>
                <w:sz w:val="24"/>
                <w:szCs w:val="22"/>
                <w:highlight w:val="none"/>
                <w:shd w:val="clear" w:color="auto" w:fill="auto"/>
                <w:lang w:val="en-US" w:eastAsia="zh-CN"/>
                <w14:textFill>
                  <w14:solidFill>
                    <w14:schemeClr w14:val="tx1"/>
                  </w14:solidFill>
                </w14:textFill>
              </w:rPr>
              <w:t>（1）</w:t>
            </w:r>
            <w:r>
              <w:rPr>
                <w:rFonts w:hint="default" w:ascii="Times New Roman" w:hAnsi="Times New Roman" w:eastAsia="宋体" w:cs="Times New Roman"/>
                <w:b/>
                <w:caps w:val="0"/>
                <w:color w:val="000000" w:themeColor="text1"/>
                <w:sz w:val="24"/>
                <w:szCs w:val="22"/>
                <w:highlight w:val="none"/>
                <w:shd w:val="clear" w:color="auto" w:fill="auto"/>
                <w:lang w:eastAsia="zh-CN"/>
                <w14:textFill>
                  <w14:solidFill>
                    <w14:schemeClr w14:val="tx1"/>
                  </w14:solidFill>
                </w14:textFill>
              </w:rPr>
              <w:t>废气</w:t>
            </w:r>
            <w:r>
              <w:rPr>
                <w:rFonts w:hint="default" w:ascii="Times New Roman" w:hAnsi="Times New Roman" w:eastAsia="宋体" w:cs="Times New Roman"/>
                <w:b/>
                <w:bCs w:val="0"/>
                <w:snapToGrid w:val="0"/>
                <w:color w:val="000000" w:themeColor="text1"/>
                <w:kern w:val="2"/>
                <w:sz w:val="24"/>
                <w:szCs w:val="22"/>
                <w:highlight w:val="none"/>
                <w:lang w:val="en-US" w:eastAsia="zh-CN" w:bidi="ar-SA"/>
                <w14:textFill>
                  <w14:solidFill>
                    <w14:schemeClr w14:val="tx1"/>
                  </w14:solidFill>
                </w14:textFill>
              </w:rPr>
              <w:t>处理风量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Cs/>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4"/>
                <w:szCs w:val="22"/>
                <w:highlight w:val="none"/>
                <w14:textFill>
                  <w14:solidFill>
                    <w14:schemeClr w14:val="tx1"/>
                  </w14:solidFill>
                </w14:textFill>
              </w:rPr>
              <w:t>根据《大气污染治理工程技术导则》（HJ2020-2010）和</w:t>
            </w:r>
            <w:r>
              <w:rPr>
                <w:rFonts w:hint="default" w:ascii="Times New Roman" w:hAnsi="Times New Roman" w:eastAsia="宋体" w:cs="Times New Roman"/>
                <w:bCs/>
                <w:color w:val="000000" w:themeColor="text1"/>
                <w:sz w:val="24"/>
                <w:szCs w:val="22"/>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废气</w:t>
            </w:r>
            <w:r>
              <w:rPr>
                <w:rFonts w:hint="default" w:ascii="Times New Roman" w:hAnsi="Times New Roman" w:eastAsia="宋体" w:cs="Times New Roman"/>
                <w:bCs/>
                <w:color w:val="000000" w:themeColor="text1"/>
                <w:sz w:val="24"/>
                <w:szCs w:val="22"/>
                <w:highlight w:val="none"/>
                <w14:textFill>
                  <w14:solidFill>
                    <w14:schemeClr w14:val="tx1"/>
                  </w14:solidFill>
                </w14:textFill>
              </w:rPr>
              <w:t>处理工程技术手册</w:t>
            </w:r>
            <w:r>
              <w:rPr>
                <w:rFonts w:hint="default" w:ascii="Times New Roman" w:hAnsi="Times New Roman" w:eastAsia="宋体" w:cs="Times New Roman"/>
                <w:bCs/>
                <w:color w:val="000000" w:themeColor="text1"/>
                <w:sz w:val="24"/>
                <w:szCs w:val="22"/>
                <w:highlight w:val="none"/>
                <w:lang w:eastAsia="zh-CN"/>
                <w14:textFill>
                  <w14:solidFill>
                    <w14:schemeClr w14:val="tx1"/>
                  </w14:solidFill>
                </w14:textFill>
              </w:rPr>
              <w:t>》进行设计算各项处理风量</w:t>
            </w:r>
            <w:r>
              <w:rPr>
                <w:rFonts w:hint="default" w:ascii="Times New Roman" w:hAnsi="Times New Roman" w:eastAsia="宋体" w:cs="Times New Roman"/>
                <w:bCs/>
                <w:snapToGrid w:val="0"/>
                <w:color w:val="000000" w:themeColor="text1"/>
                <w:kern w:val="2"/>
                <w:sz w:val="24"/>
                <w:szCs w:val="22"/>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pacing w:val="11"/>
                <w:sz w:val="24"/>
                <w:szCs w:val="24"/>
                <w:lang w:eastAsia="zh-CN"/>
                <w14:textFill>
                  <w14:solidFill>
                    <w14:schemeClr w14:val="tx1"/>
                  </w14:solidFill>
                </w14:textFill>
              </w:rPr>
              <w:t>配备</w:t>
            </w:r>
            <w:r>
              <w:rPr>
                <w:rFonts w:hint="default" w:ascii="Times New Roman" w:hAnsi="Times New Roman" w:eastAsia="宋体" w:cs="Times New Roman"/>
                <w:b w:val="0"/>
                <w:bCs w:val="0"/>
                <w:color w:val="000000" w:themeColor="text1"/>
                <w:spacing w:val="11"/>
                <w:sz w:val="24"/>
                <w:szCs w:val="24"/>
                <w:lang w:val="en-US" w:eastAsia="zh-CN"/>
                <w14:textFill>
                  <w14:solidFill>
                    <w14:schemeClr w14:val="tx1"/>
                  </w14:solidFill>
                </w14:textFill>
              </w:rPr>
              <w:t>15000m</w:t>
            </w:r>
            <w:r>
              <w:rPr>
                <w:rFonts w:hint="default" w:ascii="Times New Roman" w:hAnsi="Times New Roman" w:eastAsia="宋体" w:cs="Times New Roman"/>
                <w:b w:val="0"/>
                <w:bCs w:val="0"/>
                <w:color w:val="000000" w:themeColor="text1"/>
                <w:spacing w:val="11"/>
                <w:sz w:val="24"/>
                <w:szCs w:val="24"/>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pacing w:val="11"/>
                <w:sz w:val="24"/>
                <w:szCs w:val="24"/>
                <w:lang w:val="en-US" w:eastAsia="zh-CN"/>
                <w14:textFill>
                  <w14:solidFill>
                    <w14:schemeClr w14:val="tx1"/>
                  </w14:solidFill>
                </w14:textFill>
              </w:rPr>
              <w:t>/h的排风设施处理粉尘废气，然后</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通过一根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15m高排气筒</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1#排气筒</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9.1.1.2废气防治措施技术可行性分析</w:t>
            </w:r>
          </w:p>
          <w:p>
            <w:pPr>
              <w:keepNext w:val="0"/>
              <w:keepLines w:val="0"/>
              <w:pageBreakBefore w:val="0"/>
              <w:kinsoku/>
              <w:overflowPunct/>
              <w:topLinePunct w:val="0"/>
              <w:bidi w:val="0"/>
              <w:adjustRightInd/>
              <w:snapToGrid/>
              <w:spacing w:line="360" w:lineRule="auto"/>
              <w:ind w:firstLine="482" w:firstLineChars="200"/>
              <w:rPr>
                <w:rFonts w:hint="default" w:ascii="Times New Roman" w:hAnsi="Times New Roman" w:eastAsia="宋体" w:cs="Times New Roman"/>
                <w:b/>
                <w:bCs w:val="0"/>
                <w:caps w:val="0"/>
                <w:color w:val="000000" w:themeColor="text1"/>
                <w:sz w:val="24"/>
                <w:szCs w:val="22"/>
                <w:highlight w:val="none"/>
                <w:shd w:val="clear" w:color="auto" w:fill="auto"/>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2"/>
                <w:highlight w:val="none"/>
                <w:lang w:val="en-US" w:eastAsia="zh-CN"/>
                <w14:textFill>
                  <w14:solidFill>
                    <w14:schemeClr w14:val="tx1"/>
                  </w14:solidFill>
                </w14:textFill>
              </w:rPr>
              <w:t>1、有</w:t>
            </w:r>
            <w:r>
              <w:rPr>
                <w:rFonts w:hint="default" w:ascii="Times New Roman" w:hAnsi="Times New Roman" w:eastAsia="宋体" w:cs="Times New Roman"/>
                <w:b/>
                <w:caps w:val="0"/>
                <w:color w:val="000000" w:themeColor="text1"/>
                <w:sz w:val="24"/>
                <w:szCs w:val="22"/>
                <w:highlight w:val="none"/>
                <w:shd w:val="clear" w:color="auto" w:fill="auto"/>
                <w:lang w:eastAsia="zh-CN"/>
                <w14:textFill>
                  <w14:solidFill>
                    <w14:schemeClr w14:val="tx1"/>
                  </w14:solidFill>
                </w14:textFill>
              </w:rPr>
              <w:t>组织废气防治措施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项目烘干筛分粉尘、热水炉燃烧废气、烘干炉燃烧废气均通过</w:t>
            </w:r>
            <w:r>
              <w:rPr>
                <w:rFonts w:hint="default" w:ascii="Times New Roman" w:hAnsi="Times New Roman" w:eastAsia="宋体" w:cs="Times New Roman"/>
                <w:color w:val="000000" w:themeColor="text1"/>
                <w:sz w:val="24"/>
                <w:szCs w:val="24"/>
                <w:lang w:eastAsia="zh-CN"/>
                <w14:textFill>
                  <w14:solidFill>
                    <w14:schemeClr w14:val="tx1"/>
                  </w14:solidFill>
                </w14:textFill>
              </w:rPr>
              <w:t>一根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15m高排气筒</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1#排气筒</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排放，1#排气筒配备15000m</w:t>
            </w:r>
            <w:r>
              <w:rPr>
                <w:rFonts w:hint="default" w:ascii="Times New Roman" w:hAnsi="Times New Roman" w:eastAsia="宋体" w:cs="Times New Roman"/>
                <w:snapToGrid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/h的排风设施。天然气属于清洁能源，天然气燃烧废气中污染物排放浓度较低，可无需上末端防治措施，因此本项目需要</w:t>
            </w:r>
            <w:r>
              <w:rPr>
                <w:rFonts w:hint="eastAsia" w:cs="Times New Roman"/>
                <w:snapToGrid w:val="0"/>
                <w:color w:val="000000" w:themeColor="text1"/>
                <w:kern w:val="2"/>
                <w:sz w:val="24"/>
                <w:szCs w:val="24"/>
                <w:lang w:val="en-US" w:eastAsia="zh-CN" w:bidi="ar-SA"/>
                <w14:textFill>
                  <w14:solidFill>
                    <w14:schemeClr w14:val="tx1"/>
                  </w14:solidFill>
                </w14:textFill>
              </w:rPr>
              <w:t>设置的</w:t>
            </w:r>
            <w:r>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末端处理设施的主要为颗粒物（粉尘）。</w:t>
            </w:r>
          </w:p>
          <w:p>
            <w:pPr>
              <w:keepNext w:val="0"/>
              <w:keepLines w:val="0"/>
              <w:pageBreakBefore w:val="0"/>
              <w:kinsoku/>
              <w:overflowPunct/>
              <w:topLinePunct w:val="0"/>
              <w:bidi w:val="0"/>
              <w:adjustRightInd/>
              <w:snapToGrid/>
              <w:spacing w:line="360" w:lineRule="auto"/>
              <w:ind w:firstLine="482" w:firstLineChars="200"/>
              <w:rPr>
                <w:rFonts w:hint="default" w:ascii="Times New Roman" w:hAnsi="Times New Roman" w:eastAsia="宋体" w:cs="Times New Roman"/>
                <w:bCs/>
                <w:color w:val="000000" w:themeColor="text1"/>
                <w:sz w:val="24"/>
                <w:szCs w:val="22"/>
                <w:highlight w:val="none"/>
                <w14:textFill>
                  <w14:solidFill>
                    <w14:schemeClr w14:val="tx1"/>
                  </w14:solidFill>
                </w14:textFill>
              </w:rPr>
            </w:pPr>
            <w:r>
              <w:rPr>
                <w:rFonts w:hint="default" w:ascii="Times New Roman" w:hAnsi="Times New Roman" w:eastAsia="宋体" w:cs="Times New Roman"/>
                <w:b/>
                <w:bCs w:val="0"/>
                <w:caps w:val="0"/>
                <w:color w:val="000000" w:themeColor="text1"/>
                <w:sz w:val="24"/>
                <w:szCs w:val="22"/>
                <w:highlight w:val="none"/>
                <w:shd w:val="clear" w:color="auto" w:fill="auto"/>
                <w:lang w:val="en-US" w:eastAsia="zh-CN"/>
                <w14:textFill>
                  <w14:solidFill>
                    <w14:schemeClr w14:val="tx1"/>
                  </w14:solidFill>
                </w14:textFill>
              </w:rPr>
              <w:t>（1）</w:t>
            </w:r>
            <w:r>
              <w:rPr>
                <w:rFonts w:hint="default" w:ascii="Times New Roman" w:hAnsi="Times New Roman" w:eastAsia="宋体" w:cs="Times New Roman"/>
                <w:b/>
                <w:bCs w:val="0"/>
                <w:caps w:val="0"/>
                <w:color w:val="000000" w:themeColor="text1"/>
                <w:sz w:val="24"/>
                <w:szCs w:val="22"/>
                <w:highlight w:val="none"/>
                <w:shd w:val="clear" w:color="auto" w:fill="auto"/>
                <w:lang w:eastAsia="zh-CN"/>
                <w14:textFill>
                  <w14:solidFill>
                    <w14:schemeClr w14:val="tx1"/>
                  </w14:solidFill>
                </w14:textFill>
              </w:rPr>
              <w:t>工艺方法选择</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目前国内处理烟</w:t>
            </w:r>
            <w:r>
              <w:rPr>
                <w:rFonts w:hint="default" w:ascii="Times New Roman" w:hAnsi="Times New Roman" w:eastAsia="宋体" w:cs="Times New Roman"/>
                <w:bCs/>
                <w:color w:val="000000" w:themeColor="text1"/>
                <w:sz w:val="24"/>
                <w:lang w:eastAsia="zh-CN"/>
                <w14:textFill>
                  <w14:solidFill>
                    <w14:schemeClr w14:val="tx1"/>
                  </w14:solidFill>
                </w14:textFill>
              </w:rPr>
              <w:t>（粉）</w:t>
            </w:r>
            <w:r>
              <w:rPr>
                <w:rFonts w:hint="default" w:ascii="Times New Roman" w:hAnsi="Times New Roman" w:eastAsia="宋体" w:cs="Times New Roman"/>
                <w:bCs/>
                <w:color w:val="000000" w:themeColor="text1"/>
                <w:sz w:val="24"/>
                <w14:textFill>
                  <w14:solidFill>
                    <w14:schemeClr w14:val="tx1"/>
                  </w14:solidFill>
                </w14:textFill>
              </w:rPr>
              <w:t>尘废气的工艺主要有</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旋风除尘、湿法旋流水膜除尘</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布袋除尘</w:t>
            </w:r>
            <w:r>
              <w:rPr>
                <w:rFonts w:hint="default" w:ascii="Times New Roman" w:hAnsi="Times New Roman" w:eastAsia="宋体" w:cs="Times New Roman"/>
                <w:bCs/>
                <w:color w:val="000000" w:themeColor="text1"/>
                <w:sz w:val="24"/>
                <w:lang w:eastAsia="zh-CN"/>
                <w14:textFill>
                  <w14:solidFill>
                    <w14:schemeClr w14:val="tx1"/>
                  </w14:solidFill>
                </w14:textFill>
              </w:rPr>
              <w:t>、高效静电</w:t>
            </w:r>
            <w:r>
              <w:rPr>
                <w:rFonts w:hint="default" w:ascii="Times New Roman" w:hAnsi="Times New Roman" w:eastAsia="宋体" w:cs="Times New Roman"/>
                <w:bCs/>
                <w:color w:val="000000" w:themeColor="text1"/>
                <w:sz w:val="24"/>
                <w14:textFill>
                  <w14:solidFill>
                    <w14:schemeClr w14:val="tx1"/>
                  </w14:solidFill>
                </w14:textFill>
              </w:rPr>
              <w:t>除尘几种工艺。在这几种除尘工艺中，都各有其</w:t>
            </w:r>
            <w:r>
              <w:rPr>
                <w:rFonts w:hint="default" w:ascii="Times New Roman" w:hAnsi="Times New Roman" w:eastAsia="宋体" w:cs="Times New Roman"/>
                <w:bCs/>
                <w:color w:val="000000" w:themeColor="text1"/>
                <w:sz w:val="24"/>
                <w:lang w:val="en-US" w:eastAsia="zh-CN"/>
                <w14:textFill>
                  <w14:solidFill>
                    <w14:schemeClr w14:val="tx1"/>
                  </w14:solidFill>
                </w14:textFill>
              </w:rPr>
              <w:t>优缺</w:t>
            </w:r>
            <w:r>
              <w:rPr>
                <w:rFonts w:hint="default" w:ascii="Times New Roman" w:hAnsi="Times New Roman" w:eastAsia="宋体" w:cs="Times New Roman"/>
                <w:bCs/>
                <w:color w:val="000000" w:themeColor="text1"/>
                <w:sz w:val="24"/>
                <w14:textFill>
                  <w14:solidFill>
                    <w14:schemeClr w14:val="tx1"/>
                  </w14:solidFill>
                </w14:textFill>
              </w:rPr>
              <w:t>点</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就以上除尘工艺作了一个比较，其比较如下</w:t>
            </w:r>
            <w:r>
              <w:rPr>
                <w:rFonts w:hint="default" w:ascii="Times New Roman" w:hAnsi="Times New Roman" w:eastAsia="宋体" w:cs="Times New Roman"/>
                <w:bCs/>
                <w:color w:val="000000" w:themeColor="text1"/>
                <w:sz w:val="24"/>
                <w:lang w:eastAsia="zh-CN"/>
                <w14:textFill>
                  <w14:solidFill>
                    <w14:schemeClr w14:val="tx1"/>
                  </w14:solidFill>
                </w14:textFill>
              </w:rPr>
              <w:t>表</w:t>
            </w:r>
            <w:r>
              <w:rPr>
                <w:rFonts w:hint="default" w:ascii="Times New Roman" w:hAnsi="Times New Roman" w:eastAsia="宋体" w:cs="Times New Roman"/>
                <w:bCs/>
                <w:color w:val="000000" w:themeColor="text1"/>
                <w:sz w:val="24"/>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 xml:space="preserve"> </w:t>
            </w:r>
          </w:p>
          <w:p>
            <w:pPr>
              <w:keepNext w:val="0"/>
              <w:keepLines w:val="0"/>
              <w:pageBreakBefore w:val="0"/>
              <w:widowControl w:val="0"/>
              <w:tabs>
                <w:tab w:val="left" w:pos="720"/>
              </w:tabs>
              <w:kinsoku/>
              <w:wordWrap/>
              <w:overflowPunct/>
              <w:topLinePunct w:val="0"/>
              <w:autoSpaceDE/>
              <w:autoSpaceDN/>
              <w:bidi w:val="0"/>
              <w:adjustRightInd/>
              <w:snapToGrid/>
              <w:spacing w:before="157" w:beforeLines="50"/>
              <w:jc w:val="center"/>
              <w:textAlignment w:val="auto"/>
              <w:outlineLvl w:val="9"/>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 xml:space="preserve">表9.1-1  </w:t>
            </w:r>
            <w:r>
              <w:rPr>
                <w:rFonts w:hint="default" w:ascii="Times New Roman" w:hAnsi="Times New Roman" w:eastAsia="宋体" w:cs="Times New Roman"/>
                <w:b/>
                <w:bCs w:val="0"/>
                <w:color w:val="000000" w:themeColor="text1"/>
                <w:sz w:val="24"/>
                <w14:textFill>
                  <w14:solidFill>
                    <w14:schemeClr w14:val="tx1"/>
                  </w14:solidFill>
                </w14:textFill>
              </w:rPr>
              <w:t>烟尘废气处理工艺类比分析</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151"/>
              <w:gridCol w:w="1220"/>
              <w:gridCol w:w="1046"/>
              <w:gridCol w:w="987"/>
              <w:gridCol w:w="988"/>
              <w:gridCol w:w="1023"/>
              <w:gridCol w:w="16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6"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净化设备</w:t>
                  </w:r>
                </w:p>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种    类</w:t>
                  </w:r>
                </w:p>
              </w:tc>
              <w:tc>
                <w:tcPr>
                  <w:tcW w:w="1151"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粉尘粒径</w:t>
                  </w:r>
                </w:p>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界限μm</w:t>
                  </w:r>
                </w:p>
              </w:tc>
              <w:tc>
                <w:tcPr>
                  <w:tcW w:w="1220"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压力损失 Pa</w:t>
                  </w:r>
                </w:p>
              </w:tc>
              <w:tc>
                <w:tcPr>
                  <w:tcW w:w="1046"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运行费用比较</w:t>
                  </w:r>
                </w:p>
              </w:tc>
              <w:tc>
                <w:tcPr>
                  <w:tcW w:w="987"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投资费用比较</w:t>
                  </w:r>
                </w:p>
              </w:tc>
              <w:tc>
                <w:tcPr>
                  <w:tcW w:w="988"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可维</w:t>
                  </w:r>
                </w:p>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护性</w:t>
                  </w:r>
                </w:p>
              </w:tc>
              <w:tc>
                <w:tcPr>
                  <w:tcW w:w="1023"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除尘</w:t>
                  </w:r>
                </w:p>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效率</w:t>
                  </w:r>
                </w:p>
              </w:tc>
              <w:tc>
                <w:tcPr>
                  <w:tcW w:w="1603"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优缺点分析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6"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旋风收尘</w:t>
                  </w:r>
                </w:p>
              </w:tc>
              <w:tc>
                <w:tcPr>
                  <w:tcW w:w="1151"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w:t>
                  </w:r>
                </w:p>
              </w:tc>
              <w:tc>
                <w:tcPr>
                  <w:tcW w:w="1220"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800～1500</w:t>
                  </w:r>
                </w:p>
              </w:tc>
              <w:tc>
                <w:tcPr>
                  <w:tcW w:w="1046"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较小</w:t>
                  </w:r>
                </w:p>
              </w:tc>
              <w:tc>
                <w:tcPr>
                  <w:tcW w:w="987"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较小</w:t>
                  </w:r>
                </w:p>
              </w:tc>
              <w:tc>
                <w:tcPr>
                  <w:tcW w:w="988"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简单</w:t>
                  </w:r>
                </w:p>
              </w:tc>
              <w:tc>
                <w:tcPr>
                  <w:tcW w:w="1023"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较低</w:t>
                  </w:r>
                </w:p>
              </w:tc>
              <w:tc>
                <w:tcPr>
                  <w:tcW w:w="1603"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一般作予收尘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6"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洗涤收尘</w:t>
                  </w:r>
                </w:p>
              </w:tc>
              <w:tc>
                <w:tcPr>
                  <w:tcW w:w="1151"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5～10</w:t>
                  </w:r>
                </w:p>
              </w:tc>
              <w:tc>
                <w:tcPr>
                  <w:tcW w:w="1220"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600～1700</w:t>
                  </w:r>
                </w:p>
              </w:tc>
              <w:tc>
                <w:tcPr>
                  <w:tcW w:w="1046"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中等</w:t>
                  </w:r>
                </w:p>
              </w:tc>
              <w:tc>
                <w:tcPr>
                  <w:tcW w:w="987"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中等</w:t>
                  </w:r>
                </w:p>
              </w:tc>
              <w:tc>
                <w:tcPr>
                  <w:tcW w:w="988"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简单</w:t>
                  </w:r>
                </w:p>
              </w:tc>
              <w:tc>
                <w:tcPr>
                  <w:tcW w:w="1023"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较高</w:t>
                  </w:r>
                </w:p>
              </w:tc>
              <w:tc>
                <w:tcPr>
                  <w:tcW w:w="1603"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要二次处理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6"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布袋收尘</w:t>
                  </w:r>
                </w:p>
              </w:tc>
              <w:tc>
                <w:tcPr>
                  <w:tcW w:w="1151"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0.1</w:t>
                  </w:r>
                </w:p>
              </w:tc>
              <w:tc>
                <w:tcPr>
                  <w:tcW w:w="1220"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1000～1500</w:t>
                  </w:r>
                </w:p>
              </w:tc>
              <w:tc>
                <w:tcPr>
                  <w:tcW w:w="1046"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中等</w:t>
                  </w:r>
                </w:p>
              </w:tc>
              <w:tc>
                <w:tcPr>
                  <w:tcW w:w="987"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中等</w:t>
                  </w:r>
                </w:p>
              </w:tc>
              <w:tc>
                <w:tcPr>
                  <w:tcW w:w="988"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较易</w:t>
                  </w:r>
                </w:p>
              </w:tc>
              <w:tc>
                <w:tcPr>
                  <w:tcW w:w="1023"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高</w:t>
                  </w:r>
                </w:p>
              </w:tc>
              <w:tc>
                <w:tcPr>
                  <w:tcW w:w="1603"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不适应湿度大</w:t>
                  </w:r>
                </w:p>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温度高的烟尘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06"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静电收尘</w:t>
                  </w:r>
                </w:p>
              </w:tc>
              <w:tc>
                <w:tcPr>
                  <w:tcW w:w="1151"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0.1</w:t>
                  </w:r>
                </w:p>
              </w:tc>
              <w:tc>
                <w:tcPr>
                  <w:tcW w:w="1220"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50～130</w:t>
                  </w:r>
                </w:p>
              </w:tc>
              <w:tc>
                <w:tcPr>
                  <w:tcW w:w="1046"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较小</w:t>
                  </w:r>
                </w:p>
              </w:tc>
              <w:tc>
                <w:tcPr>
                  <w:tcW w:w="987"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较大</w:t>
                  </w:r>
                </w:p>
              </w:tc>
              <w:tc>
                <w:tcPr>
                  <w:tcW w:w="988"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较易</w:t>
                  </w:r>
                </w:p>
              </w:tc>
              <w:tc>
                <w:tcPr>
                  <w:tcW w:w="1023"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高</w:t>
                  </w:r>
                </w:p>
              </w:tc>
              <w:tc>
                <w:tcPr>
                  <w:tcW w:w="1603" w:type="dxa"/>
                  <w:tcBorders>
                    <w:tl2br w:val="nil"/>
                    <w:tr2bl w:val="nil"/>
                  </w:tcBorders>
                  <w:noWrap w:val="0"/>
                  <w:vAlign w:val="center"/>
                </w:tcPr>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适用性较广</w:t>
                  </w:r>
                </w:p>
                <w:p>
                  <w:pPr>
                    <w:keepNext w:val="0"/>
                    <w:keepLines w:val="0"/>
                    <w:pageBreakBefore w:val="0"/>
                    <w:widowControl w:val="0"/>
                    <w:tabs>
                      <w:tab w:val="left" w:pos="720"/>
                    </w:tabs>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运行费用低</w:t>
                  </w:r>
                </w:p>
              </w:tc>
            </w:tr>
          </w:tbl>
          <w:p>
            <w:pPr>
              <w:keepNext w:val="0"/>
              <w:keepLines w:val="0"/>
              <w:pageBreakBefore w:val="0"/>
              <w:kinsoku/>
              <w:overflowPunct/>
              <w:topLinePunct w:val="0"/>
              <w:bidi w:val="0"/>
              <w:adjustRightInd/>
              <w:snapToGrid/>
              <w:spacing w:line="360" w:lineRule="auto"/>
              <w:ind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2"/>
                <w:highlight w:val="none"/>
                <w:lang w:eastAsia="zh-CN"/>
                <w14:textFill>
                  <w14:solidFill>
                    <w14:schemeClr w14:val="tx1"/>
                  </w14:solidFill>
                </w14:textFill>
              </w:rPr>
              <w:t>由于</w:t>
            </w:r>
            <w:r>
              <w:rPr>
                <w:rFonts w:hint="default" w:ascii="Times New Roman" w:hAnsi="Times New Roman" w:eastAsia="宋体" w:cs="Times New Roman"/>
                <w:bCs/>
                <w:color w:val="000000" w:themeColor="text1"/>
                <w:sz w:val="24"/>
                <w:szCs w:val="22"/>
                <w:highlight w:val="none"/>
                <w14:textFill>
                  <w14:solidFill>
                    <w14:schemeClr w14:val="tx1"/>
                  </w14:solidFill>
                </w14:textFill>
              </w:rPr>
              <w:t>本项目</w:t>
            </w:r>
            <w:r>
              <w:rPr>
                <w:rFonts w:hint="default" w:ascii="Times New Roman" w:hAnsi="Times New Roman" w:eastAsia="宋体" w:cs="Times New Roman"/>
                <w:bCs/>
                <w:color w:val="000000" w:themeColor="text1"/>
                <w:sz w:val="24"/>
                <w:szCs w:val="22"/>
                <w:highlight w:val="none"/>
                <w:lang w:eastAsia="zh-CN"/>
                <w14:textFill>
                  <w14:solidFill>
                    <w14:schemeClr w14:val="tx1"/>
                  </w14:solidFill>
                </w14:textFill>
              </w:rPr>
              <w:t>烘干过程中产生的废气湿度较大，因此不适合采用布袋除尘，结合项目的实际情况，本项目</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生的</w:t>
            </w:r>
            <w:r>
              <w:rPr>
                <w:rFonts w:hint="default" w:ascii="Times New Roman" w:hAnsi="Times New Roman" w:eastAsia="宋体" w:cs="Times New Roman"/>
                <w:color w:val="000000" w:themeColor="text1"/>
                <w:sz w:val="24"/>
                <w:szCs w:val="22"/>
                <w:highlight w:val="none"/>
                <w:u w:val="none"/>
                <w:lang w:eastAsia="zh-CN"/>
                <w14:textFill>
                  <w14:solidFill>
                    <w14:schemeClr w14:val="tx1"/>
                  </w14:solidFill>
                </w14:textFill>
              </w:rPr>
              <w:t>废气</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经</w:t>
            </w:r>
            <w:r>
              <w:rPr>
                <w:rFonts w:hint="default" w:ascii="Times New Roman" w:hAnsi="Times New Roman" w:eastAsia="宋体" w:cs="Times New Roman"/>
                <w:caps w:val="0"/>
                <w:color w:val="000000" w:themeColor="text1"/>
                <w:sz w:val="24"/>
                <w:szCs w:val="22"/>
                <w:highlight w:val="none"/>
                <w:shd w:val="clear" w:color="auto" w:fill="auto"/>
                <w14:textFill>
                  <w14:solidFill>
                    <w14:schemeClr w14:val="tx1"/>
                  </w14:solidFill>
                </w14:textFill>
              </w:rPr>
              <w:t>设置的</w:t>
            </w:r>
            <w:r>
              <w:rPr>
                <w:rFonts w:hint="default" w:ascii="Times New Roman" w:hAnsi="Times New Roman" w:eastAsia="宋体" w:cs="Times New Roman"/>
                <w:caps w:val="0"/>
                <w:color w:val="000000" w:themeColor="text1"/>
                <w:sz w:val="24"/>
                <w:szCs w:val="22"/>
                <w:highlight w:val="none"/>
                <w:shd w:val="clear" w:color="auto" w:fill="auto"/>
                <w:lang w:eastAsia="zh-CN"/>
                <w14:textFill>
                  <w14:solidFill>
                    <w14:schemeClr w14:val="tx1"/>
                  </w14:solidFill>
                </w14:textFill>
              </w:rPr>
              <w:t>收集设施</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进入“</w:t>
            </w:r>
            <w:r>
              <w:rPr>
                <w:rFonts w:hint="default" w:ascii="Times New Roman" w:hAnsi="Times New Roman" w:eastAsia="宋体" w:cs="Times New Roman"/>
                <w:b w:val="0"/>
                <w:bCs w:val="0"/>
                <w:caps w:val="0"/>
                <w:color w:val="000000" w:themeColor="text1"/>
                <w:sz w:val="24"/>
                <w:highlight w:val="none"/>
                <w:lang w:eastAsia="zh-CN"/>
                <w14:textFill>
                  <w14:solidFill>
                    <w14:schemeClr w14:val="tx1"/>
                  </w14:solidFill>
                </w14:textFill>
              </w:rPr>
              <w:t>旋风除尘</w:t>
            </w:r>
            <w:r>
              <w:rPr>
                <w:rFonts w:hint="default" w:ascii="Times New Roman" w:hAnsi="Times New Roman" w:eastAsia="宋体" w:cs="Times New Roman"/>
                <w:b w:val="0"/>
                <w:bCs w:val="0"/>
                <w:caps w:val="0"/>
                <w:color w:val="000000" w:themeColor="text1"/>
                <w:sz w:val="24"/>
                <w:highlight w:val="none"/>
                <w:lang w:val="en-US" w:eastAsia="zh-CN"/>
                <w14:textFill>
                  <w14:solidFill>
                    <w14:schemeClr w14:val="tx1"/>
                  </w14:solidFill>
                </w14:textFill>
              </w:rPr>
              <w:t>+麻石水膜除尘（洗涤收尘）</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”装置处理</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p>
          <w:p>
            <w:pPr>
              <w:keepNext w:val="0"/>
              <w:keepLines w:val="0"/>
              <w:pageBreakBefore w:val="0"/>
              <w:widowControl/>
              <w:kinsoku/>
              <w:overflowPunct/>
              <w:topLinePunct w:val="0"/>
              <w:bidi w:val="0"/>
              <w:adjustRightInd/>
              <w:snapToGrid/>
              <w:spacing w:afterAutospacing="0" w:line="360" w:lineRule="auto"/>
              <w:ind w:firstLine="480" w:firstLineChars="200"/>
              <w:jc w:val="left"/>
              <w:rPr>
                <w:rFonts w:hint="default" w:ascii="Times New Roman" w:hAnsi="Times New Roman" w:eastAsia="宋体" w:cs="Times New Roman"/>
                <w:cap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4"/>
                <w:highlight w:val="none"/>
                <w:lang w:val="en-US" w:eastAsia="zh-CN"/>
                <w14:textFill>
                  <w14:solidFill>
                    <w14:schemeClr w14:val="tx1"/>
                  </w14:solidFill>
                </w14:textFill>
              </w:rPr>
              <w:t>废气处理工艺流程图如下：</w:t>
            </w:r>
          </w:p>
          <w:p>
            <w:pPr>
              <w:keepNext w:val="0"/>
              <w:keepLines w:val="0"/>
              <w:pageBreakBefore w:val="0"/>
              <w:widowControl/>
              <w:kinsoku/>
              <w:wordWrap/>
              <w:overflowPunct/>
              <w:topLinePunct w:val="0"/>
              <w:autoSpaceDE/>
              <w:autoSpaceDN/>
              <w:bidi w:val="0"/>
              <w:adjustRightInd/>
              <w:snapToGrid w:val="0"/>
              <w:spacing w:afterAutospacing="0" w:line="240" w:lineRule="auto"/>
              <w:jc w:val="center"/>
              <w:textAlignment w:val="auto"/>
              <w:outlineLvl w:val="9"/>
              <w:rPr>
                <w:rFonts w:hint="default" w:ascii="Times New Roman" w:hAnsi="Times New Roman" w:eastAsia="宋体" w:cs="Times New Roman"/>
                <w:caps w:val="0"/>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4"/>
                <w:highlight w:val="none"/>
                <w14:textFill>
                  <w14:solidFill>
                    <w14:schemeClr w14:val="tx1"/>
                  </w14:solidFill>
                </w14:textFill>
              </w:rPr>
              <mc:AlternateContent>
                <mc:Choice Requires="wpc">
                  <w:drawing>
                    <wp:inline distT="0" distB="0" distL="114300" distR="114300">
                      <wp:extent cx="5786755" cy="611505"/>
                      <wp:effectExtent l="0" t="0" r="0" b="0"/>
                      <wp:docPr id="71" name="画布 71"/>
                      <wp:cNvGraphicFramePr/>
                      <a:graphic xmlns:a="http://schemas.openxmlformats.org/drawingml/2006/main">
                        <a:graphicData uri="http://schemas.microsoft.com/office/word/2010/wordprocessingCanvas">
                          <wpc:wpc>
                            <wpc:bg>
                              <a:noFill/>
                            </wpc:bg>
                            <wpc:whole>
                              <a:ln w="9525">
                                <a:noFill/>
                              </a:ln>
                            </wpc:whole>
                            <wpg:wgp>
                              <wpg:cNvPr id="18" name="组合 18"/>
                              <wpg:cNvGrpSpPr/>
                              <wpg:grpSpPr>
                                <a:xfrm>
                                  <a:off x="58420" y="0"/>
                                  <a:ext cx="5616575" cy="611505"/>
                                  <a:chOff x="199" y="239"/>
                                  <a:chExt cx="8845" cy="1600"/>
                                </a:xfrm>
                              </wpg:grpSpPr>
                              <wps:wsp>
                                <wps:cNvPr id="82" name="文本框 49"/>
                                <wps:cNvSpPr txBox="1"/>
                                <wps:spPr>
                                  <a:xfrm>
                                    <a:off x="3792" y="538"/>
                                    <a:ext cx="3005" cy="783"/>
                                  </a:xfrm>
                                  <a:prstGeom prst="rect">
                                    <a:avLst/>
                                  </a:prstGeom>
                                  <a:noFill/>
                                  <a:ln w="9525" cap="flat" cmpd="sng">
                                    <a:solidFill>
                                      <a:srgbClr val="000001"/>
                                    </a:solidFill>
                                    <a:prstDash val="solid"/>
                                    <a:miter/>
                                    <a:headEnd type="none" w="med" len="med"/>
                                    <a:tailEnd type="none" w="med" len="med"/>
                                  </a:ln>
                                </wps:spPr>
                                <wps:txbx>
                                  <w:txbxContent>
                                    <w:p>
                                      <w:pPr>
                                        <w:jc w:val="center"/>
                                        <w:rPr>
                                          <w:rFonts w:hint="eastAsia"/>
                                          <w:lang w:eastAsia="zh-CN"/>
                                        </w:rPr>
                                      </w:pPr>
                                      <w:r>
                                        <w:rPr>
                                          <w:rFonts w:hint="eastAsia"/>
                                          <w:lang w:eastAsia="zh-CN"/>
                                        </w:rPr>
                                        <w:t>旋风除尘+麻石水膜除尘</w:t>
                                      </w:r>
                                    </w:p>
                                  </w:txbxContent>
                                </wps:txbx>
                                <wps:bodyPr upright="1"/>
                              </wps:wsp>
                              <wps:wsp>
                                <wps:cNvPr id="4" name="文本框 45"/>
                                <wps:cNvSpPr txBox="1"/>
                                <wps:spPr>
                                  <a:xfrm>
                                    <a:off x="199" y="239"/>
                                    <a:ext cx="1802" cy="1600"/>
                                  </a:xfrm>
                                  <a:prstGeom prst="rect">
                                    <a:avLst/>
                                  </a:prstGeom>
                                  <a:noFill/>
                                  <a:ln w="9525" cap="flat" cmpd="sng">
                                    <a:no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9"/>
                                        <w:rPr>
                                          <w:rFonts w:hint="eastAsia" w:cs="Times New Roman"/>
                                          <w:bCs/>
                                          <w:color w:val="auto"/>
                                          <w:sz w:val="18"/>
                                          <w:szCs w:val="18"/>
                                          <w:highlight w:val="none"/>
                                          <w:lang w:eastAsia="zh-CN"/>
                                        </w:rPr>
                                      </w:pPr>
                                      <w:r>
                                        <w:rPr>
                                          <w:rFonts w:hint="eastAsia" w:cs="Times New Roman"/>
                                          <w:bCs/>
                                          <w:color w:val="auto"/>
                                          <w:sz w:val="18"/>
                                          <w:szCs w:val="18"/>
                                          <w:highlight w:val="none"/>
                                          <w:lang w:eastAsia="zh-CN"/>
                                        </w:rPr>
                                        <w:t>筛分烘干粉尘、</w:t>
                                      </w:r>
                                    </w:p>
                                    <w:p>
                                      <w:pPr>
                                        <w:pStyle w:val="2"/>
                                        <w:keepNext w:val="0"/>
                                        <w:keepLines w:val="0"/>
                                        <w:pageBreakBefore w:val="0"/>
                                        <w:widowControl w:val="0"/>
                                        <w:kinsoku/>
                                        <w:wordWrap/>
                                        <w:overflowPunct/>
                                        <w:topLinePunct w:val="0"/>
                                        <w:autoSpaceDE/>
                                        <w:autoSpaceDN/>
                                        <w:bidi w:val="0"/>
                                        <w:adjustRightInd/>
                                        <w:spacing w:after="0" w:line="240" w:lineRule="auto"/>
                                        <w:ind w:left="0" w:leftChars="0" w:firstLine="0" w:firstLineChars="0"/>
                                        <w:textAlignment w:val="auto"/>
                                        <w:rPr>
                                          <w:rFonts w:hint="eastAsia"/>
                                          <w:sz w:val="18"/>
                                          <w:szCs w:val="18"/>
                                          <w:lang w:eastAsia="zh-CN"/>
                                        </w:rPr>
                                      </w:pPr>
                                      <w:r>
                                        <w:rPr>
                                          <w:rFonts w:hint="eastAsia" w:cs="Times New Roman"/>
                                          <w:bCs/>
                                          <w:color w:val="auto"/>
                                          <w:sz w:val="18"/>
                                          <w:szCs w:val="18"/>
                                          <w:highlight w:val="none"/>
                                          <w:lang w:eastAsia="zh-CN"/>
                                        </w:rPr>
                                        <w:t>烘干炉燃烧废气、热水炉燃烧废气</w:t>
                                      </w:r>
                                    </w:p>
                                  </w:txbxContent>
                                </wps:txbx>
                                <wps:bodyPr upright="1"/>
                              </wps:wsp>
                              <wps:wsp>
                                <wps:cNvPr id="30" name="直接连接符 46"/>
                                <wps:cNvCnPr/>
                                <wps:spPr>
                                  <a:xfrm>
                                    <a:off x="1716" y="765"/>
                                    <a:ext cx="400" cy="1"/>
                                  </a:xfrm>
                                  <a:prstGeom prst="line">
                                    <a:avLst/>
                                  </a:prstGeom>
                                  <a:ln w="9525" cap="flat" cmpd="sng">
                                    <a:solidFill>
                                      <a:srgbClr val="000001"/>
                                    </a:solidFill>
                                    <a:prstDash val="solid"/>
                                    <a:headEnd type="none" w="med" len="med"/>
                                    <a:tailEnd type="triangle" w="med" len="med"/>
                                  </a:ln>
                                </wps:spPr>
                                <wps:bodyPr upright="1"/>
                              </wps:wsp>
                              <wps:wsp>
                                <wps:cNvPr id="80" name="文本框 47"/>
                                <wps:cNvSpPr txBox="1"/>
                                <wps:spPr>
                                  <a:xfrm>
                                    <a:off x="2147" y="538"/>
                                    <a:ext cx="1191" cy="829"/>
                                  </a:xfrm>
                                  <a:prstGeom prst="rect">
                                    <a:avLst/>
                                  </a:prstGeom>
                                  <a:noFill/>
                                  <a:ln w="9525" cap="flat" cmpd="sng">
                                    <a:solidFill>
                                      <a:srgbClr val="000001"/>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收集系统</w:t>
                                      </w:r>
                                    </w:p>
                                  </w:txbxContent>
                                </wps:txbx>
                                <wps:bodyPr upright="1"/>
                              </wps:wsp>
                              <wps:wsp>
                                <wps:cNvPr id="81" name="直接连接符 48"/>
                                <wps:cNvCnPr/>
                                <wps:spPr>
                                  <a:xfrm>
                                    <a:off x="3352" y="765"/>
                                    <a:ext cx="412" cy="1"/>
                                  </a:xfrm>
                                  <a:prstGeom prst="line">
                                    <a:avLst/>
                                  </a:prstGeom>
                                  <a:ln w="9525" cap="flat" cmpd="sng">
                                    <a:solidFill>
                                      <a:srgbClr val="000001"/>
                                    </a:solidFill>
                                    <a:prstDash val="solid"/>
                                    <a:headEnd type="none" w="med" len="med"/>
                                    <a:tailEnd type="triangle" w="med" len="med"/>
                                  </a:ln>
                                </wps:spPr>
                                <wps:bodyPr upright="1"/>
                              </wps:wsp>
                              <wps:wsp>
                                <wps:cNvPr id="83" name="直接连接符 50"/>
                                <wps:cNvCnPr/>
                                <wps:spPr>
                                  <a:xfrm>
                                    <a:off x="6808" y="765"/>
                                    <a:ext cx="425" cy="1"/>
                                  </a:xfrm>
                                  <a:prstGeom prst="line">
                                    <a:avLst/>
                                  </a:prstGeom>
                                  <a:ln w="9525" cap="flat" cmpd="sng">
                                    <a:solidFill>
                                      <a:srgbClr val="000001"/>
                                    </a:solidFill>
                                    <a:prstDash val="solid"/>
                                    <a:headEnd type="none" w="med" len="med"/>
                                    <a:tailEnd type="triangle" w="med" len="med"/>
                                  </a:ln>
                                </wps:spPr>
                                <wps:bodyPr upright="1"/>
                              </wps:wsp>
                              <wps:wsp>
                                <wps:cNvPr id="84" name="文本框 51"/>
                                <wps:cNvSpPr txBox="1"/>
                                <wps:spPr>
                                  <a:xfrm>
                                    <a:off x="7246" y="538"/>
                                    <a:ext cx="1798" cy="864"/>
                                  </a:xfrm>
                                  <a:prstGeom prst="rect">
                                    <a:avLst/>
                                  </a:prstGeom>
                                  <a:noFill/>
                                  <a:ln w="9525" cap="flat" cmpd="sng">
                                    <a:solidFill>
                                      <a:srgbClr val="000001"/>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15m排气筒排放</w:t>
                                      </w:r>
                                    </w:p>
                                  </w:txbxContent>
                                </wps:txbx>
                                <wps:bodyPr upright="1"/>
                              </wps:wsp>
                            </wpg:wgp>
                          </wpc:wpc>
                        </a:graphicData>
                      </a:graphic>
                    </wp:inline>
                  </w:drawing>
                </mc:Choice>
                <mc:Fallback>
                  <w:pict>
                    <v:group id="_x0000_s1026" o:spid="_x0000_s1026" o:spt="203" style="height:48.15pt;width:455.65pt;" coordsize="5786755,611505" editas="canvas" o:gfxdata="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CZ8NB/VAAAABAEAAA8AAAAAAAAAAQAgAAAAIgAAAGRycy9kb3ducmV2LnhtbFBLAQIUABQA&#10;AAAIAIdO4kCTSc4BuwMAALYSAAAOAAAAAAAAAAEAIAAAACQBAABkcnMvZTJvRG9jLnhtbFBLBQYA&#10;AAAABgAGAFkBAABRBwAAAAA=&#10;">
                      <o:lock v:ext="edit" aspectratio="f"/>
                      <v:shape id="_x0000_s1026" o:spid="_x0000_s1026" style="position:absolute;left:0;top:0;height:611505;width:5786755;" filled="f" stroked="f" coordsize="21600,21600" o:gfxdata="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AmfDQf1QAAAAQBAAAPAAAAAAAAAAEAIAAAACIAAABkcnMvZG93bnJldi54bWxQ&#10;SwECFAAUAAAACACHTuJAXel8w8IDAAA4EgAADgAAAAAAAAABACAAAAAkAQAAZHJzL2Uyb0RvYy54&#10;bWxQSwUGAAAAAAYABgBZAQAAWAcAAAAA&#10;">
                        <v:fill on="f" focussize="0,0"/>
                        <v:stroke on="f"/>
                        <v:imagedata o:title=""/>
                        <o:lock v:ext="edit" aspectratio="f"/>
                      </v:shape>
                      <v:group id="_x0000_s1026" o:spid="_x0000_s1026" o:spt="203" style="position:absolute;left:58420;top:0;height:611505;width:5616575;" coordorigin="199,239" coordsize="8845,1600" o:gfxdata="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">
                        <o:lock v:ext="edit" aspectratio="f"/>
                        <v:shape id="文本框 49" o:spid="_x0000_s1026" o:spt="202" type="#_x0000_t202" style="position:absolute;left:3792;top:538;height:783;width:3005;" filled="f" stroked="t" coordsize="21600,21600" o:gfxdata="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B+l7sAAADb&#10;AAAADwAAAAAAAAABACAAAAAiAAAAZHJzL2Rvd25yZXYueG1sUEsBAhQAFAAAAAgAh07iQDMvBZ47&#10;AAAAOQAAABAAAAAAAAAAAQAgAAAACgEAAGRycy9zaGFwZXhtbC54bWxQSwUGAAAAAAYABgBbAQAA&#10;tAMAAAAA&#10;">
                          <v:fill on="f" focussize="0,0"/>
                          <v:stroke color="#000001" joinstyle="miter"/>
                          <v:imagedata o:title=""/>
                          <o:lock v:ext="edit" aspectratio="f"/>
                          <v:textbox>
                            <w:txbxContent>
                              <w:p>
                                <w:pPr>
                                  <w:jc w:val="center"/>
                                  <w:rPr>
                                    <w:rFonts w:hint="eastAsia"/>
                                    <w:lang w:eastAsia="zh-CN"/>
                                  </w:rPr>
                                </w:pPr>
                                <w:r>
                                  <w:rPr>
                                    <w:rFonts w:hint="eastAsia"/>
                                    <w:lang w:eastAsia="zh-CN"/>
                                  </w:rPr>
                                  <w:t>旋风除尘+麻石水膜除尘</w:t>
                                </w:r>
                              </w:p>
                            </w:txbxContent>
                          </v:textbox>
                        </v:shape>
                        <v:shape id="文本框 45" o:spid="_x0000_s1026" o:spt="202" type="#_x0000_t202" style="position:absolute;left:199;top:239;height:1600;width:1802;"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fill on="f" focussize="0,0"/>
                          <v:stroke on="f"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ind w:left="0" w:leftChars="0"/>
                                  <w:jc w:val="center"/>
                                  <w:textAlignment w:val="auto"/>
                                  <w:outlineLvl w:val="9"/>
                                  <w:rPr>
                                    <w:rFonts w:hint="eastAsia" w:cs="Times New Roman"/>
                                    <w:bCs/>
                                    <w:color w:val="auto"/>
                                    <w:sz w:val="18"/>
                                    <w:szCs w:val="18"/>
                                    <w:highlight w:val="none"/>
                                    <w:lang w:eastAsia="zh-CN"/>
                                  </w:rPr>
                                </w:pPr>
                                <w:r>
                                  <w:rPr>
                                    <w:rFonts w:hint="eastAsia" w:cs="Times New Roman"/>
                                    <w:bCs/>
                                    <w:color w:val="auto"/>
                                    <w:sz w:val="18"/>
                                    <w:szCs w:val="18"/>
                                    <w:highlight w:val="none"/>
                                    <w:lang w:eastAsia="zh-CN"/>
                                  </w:rPr>
                                  <w:t>筛分烘干粉尘、</w:t>
                                </w:r>
                              </w:p>
                              <w:p>
                                <w:pPr>
                                  <w:pStyle w:val="2"/>
                                  <w:keepNext w:val="0"/>
                                  <w:keepLines w:val="0"/>
                                  <w:pageBreakBefore w:val="0"/>
                                  <w:widowControl w:val="0"/>
                                  <w:kinsoku/>
                                  <w:wordWrap/>
                                  <w:overflowPunct/>
                                  <w:topLinePunct w:val="0"/>
                                  <w:autoSpaceDE/>
                                  <w:autoSpaceDN/>
                                  <w:bidi w:val="0"/>
                                  <w:adjustRightInd/>
                                  <w:spacing w:after="0" w:line="240" w:lineRule="auto"/>
                                  <w:ind w:left="0" w:leftChars="0" w:firstLine="0" w:firstLineChars="0"/>
                                  <w:textAlignment w:val="auto"/>
                                  <w:rPr>
                                    <w:rFonts w:hint="eastAsia"/>
                                    <w:sz w:val="18"/>
                                    <w:szCs w:val="18"/>
                                    <w:lang w:eastAsia="zh-CN"/>
                                  </w:rPr>
                                </w:pPr>
                                <w:r>
                                  <w:rPr>
                                    <w:rFonts w:hint="eastAsia" w:cs="Times New Roman"/>
                                    <w:bCs/>
                                    <w:color w:val="auto"/>
                                    <w:sz w:val="18"/>
                                    <w:szCs w:val="18"/>
                                    <w:highlight w:val="none"/>
                                    <w:lang w:eastAsia="zh-CN"/>
                                  </w:rPr>
                                  <w:t>烘干炉燃烧废气、热水炉燃烧废气</w:t>
                                </w:r>
                              </w:p>
                            </w:txbxContent>
                          </v:textbox>
                        </v:shape>
                        <v:line id="直接连接符 46" o:spid="_x0000_s1026" o:spt="20" style="position:absolute;left:1716;top:765;height:1;width:400;" filled="f" stroked="t" coordsize="21600,21600" o:gfxdata="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e4QPK5AAAA2wAA&#10;AA8AAAAAAAAAAQAgAAAAIgAAAGRycy9kb3ducmV2LnhtbFBLAQIUABQAAAAIAIdO4kAzLwWeOwAA&#10;ADkAAAAQAAAAAAAAAAEAIAAAAAgBAABkcnMvc2hhcGV4bWwueG1sUEsFBgAAAAAGAAYAWwEAALID&#10;AAAAAA==&#10;">
                          <v:fill on="f" focussize="0,0"/>
                          <v:stroke color="#000001" joinstyle="round" endarrow="block"/>
                          <v:imagedata o:title=""/>
                          <o:lock v:ext="edit" aspectratio="f"/>
                        </v:line>
                        <v:shape id="文本框 47" o:spid="_x0000_s1026" o:spt="202" type="#_x0000_t202" style="position:absolute;left:2147;top:538;height:829;width:1191;" filled="f" stroked="t" coordsize="21600,21600" o:gfxdata="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z5Fe7gAAADbAAAA&#10;DwAAAAAAAAABACAAAAAiAAAAZHJzL2Rvd25yZXYueG1sUEsBAhQAFAAAAAgAh07iQDMvBZ47AAAA&#10;OQAAABAAAAAAAAAAAQAgAAAABwEAAGRycy9zaGFwZXhtbC54bWxQSwUGAAAAAAYABgBbAQAAsQMA&#10;AAAA&#10;">
                          <v:fill on="f" focussize="0,0"/>
                          <v:stroke color="#000001" joinstyle="miter"/>
                          <v:imagedata o:title=""/>
                          <o:lock v:ext="edit" aspectratio="f"/>
                          <v:textbox>
                            <w:txbxContent>
                              <w:p>
                                <w:pPr>
                                  <w:jc w:val="center"/>
                                  <w:rPr>
                                    <w:rFonts w:hint="eastAsia" w:eastAsia="宋体"/>
                                    <w:lang w:eastAsia="zh-CN"/>
                                  </w:rPr>
                                </w:pPr>
                                <w:r>
                                  <w:rPr>
                                    <w:rFonts w:hint="eastAsia"/>
                                    <w:lang w:eastAsia="zh-CN"/>
                                  </w:rPr>
                                  <w:t>收集系统</w:t>
                                </w:r>
                              </w:p>
                            </w:txbxContent>
                          </v:textbox>
                        </v:shape>
                        <v:line id="直接连接符 48" o:spid="_x0000_s1026" o:spt="20" style="position:absolute;left:3352;top:765;height:1;width:412;" filled="f" stroked="t" coordsize="21600,21600" o:gfxdata="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ssjr4A&#10;AADbAAAADwAAAAAAAAABACAAAAAiAAAAZHJzL2Rvd25yZXYueG1sUEsBAhQAFAAAAAgAh07iQDMv&#10;BZ47AAAAOQAAABAAAAAAAAAAAQAgAAAADQEAAGRycy9zaGFwZXhtbC54bWxQSwUGAAAAAAYABgBb&#10;AQAAtwMAAAAA&#10;">
                          <v:fill on="f" focussize="0,0"/>
                          <v:stroke color="#000001" joinstyle="round" endarrow="block"/>
                          <v:imagedata o:title=""/>
                          <o:lock v:ext="edit" aspectratio="f"/>
                        </v:line>
                        <v:line id="直接连接符 50" o:spid="_x0000_s1026" o:spt="20" style="position:absolute;left:6808;top:765;height:1;width:425;" filled="f" stroked="t" coordsize="21600,21600" o:gfxdata="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VF2K8AAAA&#10;2wAAAA8AAAAAAAAAAQAgAAAAIgAAAGRycy9kb3ducmV2LnhtbFBLAQIUABQAAAAIAIdO4kAzLwWe&#10;OwAAADkAAAAQAAAAAAAAAAEAIAAAAAsBAABkcnMvc2hhcGV4bWwueG1sUEsFBgAAAAAGAAYAWwEA&#10;ALUDAAAAAA==&#10;">
                          <v:fill on="f" focussize="0,0"/>
                          <v:stroke color="#000001" joinstyle="round" endarrow="block"/>
                          <v:imagedata o:title=""/>
                          <o:lock v:ext="edit" aspectratio="f"/>
                        </v:line>
                        <v:shape id="文本框 51" o:spid="_x0000_s1026" o:spt="202" type="#_x0000_t202" style="position:absolute;left:7246;top:538;height:864;width:1798;" filled="f" stroked="t" coordsize="21600,21600" o:gfxdata="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Q3i8AAAA&#10;2wAAAA8AAAAAAAAAAQAgAAAAIgAAAGRycy9kb3ducmV2LnhtbFBLAQIUABQAAAAIAIdO4kAzLwWe&#10;OwAAADkAAAAQAAAAAAAAAAEAIAAAAAsBAABkcnMvc2hhcGV4bWwueG1sUEsFBgAAAAAGAAYAWwEA&#10;ALUDAAAAAA==&#10;">
                          <v:fill on="f" focussize="0,0"/>
                          <v:stroke color="#000001" joinstyle="miter"/>
                          <v:imagedata o:title=""/>
                          <o:lock v:ext="edit" aspectratio="f"/>
                          <v:textbox>
                            <w:txbxContent>
                              <w:p>
                                <w:pPr>
                                  <w:rPr>
                                    <w:rFonts w:hint="eastAsia" w:eastAsia="宋体"/>
                                    <w:lang w:val="en-US" w:eastAsia="zh-CN"/>
                                  </w:rPr>
                                </w:pPr>
                                <w:r>
                                  <w:rPr>
                                    <w:rFonts w:hint="eastAsia"/>
                                    <w:lang w:val="en-US" w:eastAsia="zh-CN"/>
                                  </w:rPr>
                                  <w:t>15m排气筒排放</w:t>
                                </w:r>
                              </w:p>
                            </w:txbxContent>
                          </v:textbox>
                        </v:shape>
                      </v:group>
                      <w10:wrap type="none"/>
                      <w10:anchorlock/>
                    </v:group>
                  </w:pict>
                </mc:Fallback>
              </mc:AlternateContent>
            </w:r>
          </w:p>
          <w:p>
            <w:pPr>
              <w:keepNext w:val="0"/>
              <w:keepLines w:val="0"/>
              <w:pageBreakBefore w:val="0"/>
              <w:widowControl/>
              <w:kinsoku/>
              <w:wordWrap/>
              <w:overflowPunct/>
              <w:topLinePunct w:val="0"/>
              <w:autoSpaceDE/>
              <w:autoSpaceDN/>
              <w:bidi w:val="0"/>
              <w:adjustRightInd/>
              <w:snapToGrid/>
              <w:spacing w:afterAutospacing="0" w:line="360" w:lineRule="auto"/>
              <w:ind w:firstLine="0" w:firstLineChars="0"/>
              <w:jc w:val="center"/>
              <w:textAlignment w:val="auto"/>
              <w:outlineLvl w:val="9"/>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Autospacing="0" w:line="360" w:lineRule="auto"/>
              <w:ind w:firstLine="0" w:firstLineChars="0"/>
              <w:jc w:val="center"/>
              <w:textAlignment w:val="auto"/>
              <w:outlineLvl w:val="9"/>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t xml:space="preserve">图9.1-1 </w:t>
            </w: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本项目粉尘处理</w:t>
            </w:r>
            <w:r>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t>工艺流程图</w:t>
            </w:r>
          </w:p>
          <w:p>
            <w:pPr>
              <w:keepNext w:val="0"/>
              <w:keepLines w:val="0"/>
              <w:pageBreakBefore w:val="0"/>
              <w:widowControl/>
              <w:kinsoku/>
              <w:wordWrap/>
              <w:overflowPunct/>
              <w:topLinePunct w:val="0"/>
              <w:autoSpaceDE/>
              <w:autoSpaceDN/>
              <w:bidi w:val="0"/>
              <w:adjustRightInd/>
              <w:snapToGrid/>
              <w:spacing w:afterAutospacing="0" w:line="360" w:lineRule="auto"/>
              <w:ind w:firstLine="482" w:firstLineChars="200"/>
              <w:jc w:val="both"/>
              <w:textAlignment w:val="auto"/>
              <w:outlineLvl w:val="9"/>
              <w:rPr>
                <w:rFonts w:hint="default" w:ascii="Times New Roman" w:hAnsi="Times New Roman" w:eastAsia="宋体" w:cs="Times New Roman"/>
                <w:b/>
                <w:bCs w:val="0"/>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aps w:val="0"/>
                <w:color w:val="000000" w:themeColor="text1"/>
                <w:sz w:val="24"/>
                <w:szCs w:val="24"/>
                <w:highlight w:val="none"/>
                <w:lang w:val="en-US" w:eastAsia="zh-CN"/>
                <w14:textFill>
                  <w14:solidFill>
                    <w14:schemeClr w14:val="tx1"/>
                  </w14:solidFill>
                </w14:textFill>
              </w:rPr>
              <w:t>（2）净化</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装置简介</w:t>
            </w:r>
          </w:p>
          <w:p>
            <w:pPr>
              <w:keepNext w:val="0"/>
              <w:keepLines w:val="0"/>
              <w:pageBreakBefore w:val="0"/>
              <w:widowControl/>
              <w:kinsoku/>
              <w:wordWrap/>
              <w:overflowPunct/>
              <w:topLinePunct w:val="0"/>
              <w:autoSpaceDE/>
              <w:autoSpaceDN/>
              <w:bidi w:val="0"/>
              <w:adjustRightInd/>
              <w:snapToGrid/>
              <w:spacing w:afterAutospacing="0" w:line="360" w:lineRule="auto"/>
              <w:ind w:firstLine="482" w:firstLineChars="200"/>
              <w:jc w:val="both"/>
              <w:textAlignment w:val="auto"/>
              <w:outlineLvl w:val="9"/>
              <w:rPr>
                <w:rFonts w:hint="default" w:ascii="Times New Roman" w:hAnsi="Times New Roman" w:eastAsia="宋体" w:cs="Times New Roman"/>
                <w:b w:val="0"/>
                <w:bCs/>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val="0"/>
                <w:caps w:val="0"/>
                <w:color w:val="000000" w:themeColor="text1"/>
                <w:sz w:val="24"/>
                <w:szCs w:val="24"/>
                <w:highlight w:val="none"/>
                <w:lang w:val="en-US" w:eastAsia="zh-CN"/>
                <w14:textFill>
                  <w14:solidFill>
                    <w14:schemeClr w14:val="tx1"/>
                  </w14:solidFill>
                </w14:textFill>
              </w:rPr>
              <w:t>1）旋风除尘：</w:t>
            </w:r>
            <w:r>
              <w:rPr>
                <w:rFonts w:hint="default" w:ascii="Times New Roman" w:hAnsi="Times New Roman" w:eastAsia="宋体" w:cs="Times New Roman"/>
                <w:b w:val="0"/>
                <w:bCs/>
                <w:caps w:val="0"/>
                <w:color w:val="000000" w:themeColor="text1"/>
                <w:sz w:val="24"/>
                <w:szCs w:val="24"/>
                <w:highlight w:val="none"/>
                <w:lang w:val="en-US" w:eastAsia="zh-CN"/>
                <w14:textFill>
                  <w14:solidFill>
                    <w14:schemeClr w14:val="tx1"/>
                  </w14:solidFill>
                </w14:textFill>
              </w:rPr>
              <w:t>旋风除尘器是由进气管、排气管、圆筒体、圆锥体和灰斗组成。旋风除尘器结构简单，易于制造、安装和维护管理，设备投资和操作费用都较低，已广泛用于从气流中分离固体和液体粒子，或从液体中分离固体粒子。在普通操作条件下，作用于粒子上的离心力是重力的5~2500倍，所以旋风除尘器的效率显著高于重力沉降室。利用这一个原理基础成功研究出了一款除尘效率为百分之九十以上的旋风除尘装置。在机械式除尘器中，旋风式除尘器是效率最高的一种。它适用于非黏性及非纤维性粉尘的去除，大多用来去除5μm以上的粒子，并联的多管旋风除尘器装置对3μm的粒子也具有80~85%的除尘效率。选用耐高温、耐磨蚀和腐蚀的特种金属或陶瓷材料构造的旋风除尘器，可在温度高达1000℃，压力达500×105Pa的条件下操作。从技术、经济诸方面考虑旋风除尘器压力损失控制范围一般为500~2000Pa。因此，它属于中效除尘器，且可用于高温烟气的净化，是应用广泛的一种除尘器，多应用于锅炉烟气除尘、多级除尘及预除尘。它的主要缺点是对细小尘粒(&lt;5μm)的去除效率较低。</w:t>
            </w:r>
          </w:p>
          <w:p>
            <w:pPr>
              <w:spacing w:line="360" w:lineRule="auto"/>
              <w:ind w:firstLine="482" w:firstLineChars="200"/>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bCs w:val="0"/>
                <w:caps w:val="0"/>
                <w:color w:val="000000" w:themeColor="text1"/>
                <w:sz w:val="24"/>
                <w:szCs w:val="24"/>
                <w:highlight w:val="none"/>
                <w:lang w:val="en-US" w:eastAsia="zh-CN"/>
                <w14:textFill>
                  <w14:solidFill>
                    <w14:schemeClr w14:val="tx1"/>
                  </w14:solidFill>
                </w14:textFill>
              </w:rPr>
              <w:t>2）麻石水膜除尘：</w:t>
            </w:r>
            <w:r>
              <w:rPr>
                <w:rFonts w:hint="default" w:ascii="Times New Roman" w:hAnsi="Times New Roman" w:eastAsia="宋体" w:cs="Times New Roman"/>
                <w:b w:val="0"/>
                <w:bCs/>
                <w:caps w:val="0"/>
                <w:color w:val="000000" w:themeColor="text1"/>
                <w:sz w:val="24"/>
                <w:szCs w:val="24"/>
                <w:highlight w:val="none"/>
                <w:lang w:val="en-US" w:eastAsia="zh-CN"/>
                <w14:textFill>
                  <w14:solidFill>
                    <w14:schemeClr w14:val="tx1"/>
                  </w14:solidFill>
                </w14:textFill>
              </w:rPr>
              <w:t>含尘气体由筒体下部顺切向引入，旋转上升，尘粒受离心力作用而被分离，抛向筒体内壁，被筒体内壁流动的水膜层所吸附，随水流到底部锥体，经排尘口卸出。水膜层的形成是由布置在筒体的上部几个喷嘴、将水顺切向喷至器壁。这样，在筒体内壁始终覆盖一层旋转向下流动的很薄水膜，达到提高除尘效果的目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t>（3）净化效率分析</w:t>
            </w:r>
          </w:p>
          <w:p>
            <w:pPr>
              <w:keepNext w:val="0"/>
              <w:keepLines w:val="0"/>
              <w:pageBreakBefore w:val="0"/>
              <w:kinsoku/>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2"/>
                <w:highlight w:val="none"/>
                <w:lang w:val="en-US" w:eastAsia="zh-CN"/>
                <w14:textFill>
                  <w14:solidFill>
                    <w14:schemeClr w14:val="tx1"/>
                  </w14:solidFill>
                </w14:textFill>
              </w:rPr>
              <w:t>“旋风除尘+麻石水膜除尘”装置</w:t>
            </w:r>
            <w:r>
              <w:rPr>
                <w:rFonts w:hint="default" w:ascii="Times New Roman" w:hAnsi="Times New Roman" w:eastAsia="宋体" w:cs="Times New Roman"/>
                <w:bCs/>
                <w:color w:val="000000" w:themeColor="text1"/>
                <w:sz w:val="24"/>
                <w:szCs w:val="22"/>
                <w:highlight w:val="none"/>
                <w14:textFill>
                  <w14:solidFill>
                    <w14:schemeClr w14:val="tx1"/>
                  </w14:solidFill>
                </w14:textFill>
              </w:rPr>
              <w:t>具有处理风量大、占地面积小、除尘效率</w:t>
            </w:r>
            <w:r>
              <w:rPr>
                <w:rFonts w:hint="default" w:ascii="Times New Roman" w:hAnsi="Times New Roman" w:eastAsia="宋体" w:cs="Times New Roman"/>
                <w:bCs/>
                <w:color w:val="000000" w:themeColor="text1"/>
                <w:sz w:val="24"/>
                <w:szCs w:val="22"/>
                <w:highlight w:val="none"/>
                <w:lang w:eastAsia="zh-CN"/>
                <w14:textFill>
                  <w14:solidFill>
                    <w14:schemeClr w14:val="tx1"/>
                  </w14:solidFill>
                </w14:textFill>
              </w:rPr>
              <w:t>高，运行经济的特点，</w:t>
            </w:r>
            <w:r>
              <w:rPr>
                <w:rFonts w:hint="default" w:ascii="Times New Roman" w:hAnsi="Times New Roman" w:eastAsia="宋体" w:cs="Times New Roman"/>
                <w:bCs/>
                <w:color w:val="000000" w:themeColor="text1"/>
                <w:sz w:val="24"/>
                <w:szCs w:val="22"/>
                <w:highlight w:val="none"/>
                <w14:textFill>
                  <w14:solidFill>
                    <w14:schemeClr w14:val="tx1"/>
                  </w14:solidFill>
                </w14:textFill>
              </w:rPr>
              <w:t>本项目</w:t>
            </w:r>
            <w:r>
              <w:rPr>
                <w:rFonts w:hint="default" w:ascii="Times New Roman" w:hAnsi="Times New Roman" w:eastAsia="宋体" w:cs="Times New Roman"/>
                <w:bCs/>
                <w:color w:val="000000" w:themeColor="text1"/>
                <w:sz w:val="24"/>
                <w:szCs w:val="22"/>
                <w:highlight w:val="none"/>
                <w:lang w:eastAsia="zh-CN"/>
                <w14:textFill>
                  <w14:solidFill>
                    <w14:schemeClr w14:val="tx1"/>
                  </w14:solidFill>
                </w14:textFill>
              </w:rPr>
              <w:t>废气经收集后</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进入“旋风除尘+麻石水膜除尘”装置处理，颗粒物的总处理效率达到99%</w:t>
            </w:r>
            <w:r>
              <w:rPr>
                <w:rFonts w:hint="default" w:ascii="Times New Roman" w:hAnsi="Times New Roman" w:eastAsia="宋体" w:cs="Times New Roman"/>
                <w:caps w:val="0"/>
                <w:color w:val="000000" w:themeColor="text1"/>
                <w:sz w:val="24"/>
                <w:szCs w:val="24"/>
                <w:highlight w:val="none"/>
                <w:shd w:val="clear" w:color="auto" w:fill="auto"/>
                <w:lang w:val="en-US" w:eastAsia="zh-CN"/>
                <w14:textFill>
                  <w14:solidFill>
                    <w14:schemeClr w14:val="tx1"/>
                  </w14:solidFill>
                </w14:textFill>
              </w:rPr>
              <w:t>以上</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颗粒物</w:t>
            </w:r>
            <w:r>
              <w:rPr>
                <w:rFonts w:hint="default" w:ascii="Times New Roman" w:hAnsi="Times New Roman" w:eastAsia="宋体" w:cs="Times New Roman"/>
                <w:bCs/>
                <w:color w:val="000000" w:themeColor="text1"/>
                <w:sz w:val="24"/>
                <w:szCs w:val="24"/>
                <w:highlight w:val="none"/>
                <w14:textFill>
                  <w14:solidFill>
                    <w14:schemeClr w14:val="tx1"/>
                  </w14:solidFill>
                </w14:textFill>
              </w:rPr>
              <w:t>排放</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浓度</w:t>
            </w:r>
            <w:r>
              <w:rPr>
                <w:rFonts w:hint="default" w:ascii="Times New Roman" w:hAnsi="Times New Roman" w:eastAsia="宋体" w:cs="Times New Roman"/>
                <w:bCs/>
                <w:color w:val="000000" w:themeColor="text1"/>
                <w:sz w:val="24"/>
                <w:szCs w:val="24"/>
                <w:highlight w:val="none"/>
                <w14:textFill>
                  <w14:solidFill>
                    <w14:schemeClr w14:val="tx1"/>
                  </w14:solidFill>
                </w14:textFill>
              </w:rPr>
              <w:t>可达到了</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广东省地方环境标准《锅炉大气污染物排放标准》（DB 44/765-2019）中表2 新建锅炉大气污染物排放浓度限值燃气锅炉标准</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要求，废气处理达标后</w:t>
            </w:r>
            <w:r>
              <w:rPr>
                <w:rFonts w:hint="default" w:ascii="Times New Roman" w:hAnsi="Times New Roman" w:eastAsia="宋体" w:cs="Times New Roman"/>
                <w:bCs/>
                <w:color w:val="000000" w:themeColor="text1"/>
                <w:sz w:val="24"/>
                <w:szCs w:val="24"/>
                <w:highlight w:val="none"/>
                <w14:textFill>
                  <w14:solidFill>
                    <w14:schemeClr w14:val="tx1"/>
                  </w14:solidFill>
                </w14:textFill>
              </w:rPr>
              <w:t>通过</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根</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Cs/>
                <w:color w:val="000000" w:themeColor="text1"/>
                <w:sz w:val="24"/>
                <w:szCs w:val="24"/>
                <w:highlight w:val="none"/>
                <w14:textFill>
                  <w14:solidFill>
                    <w14:schemeClr w14:val="tx1"/>
                  </w14:solidFill>
                </w14:textFill>
              </w:rPr>
              <w:t>m高的排气筒</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1#排气筒</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排放</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废气</w:t>
            </w:r>
            <w:r>
              <w:rPr>
                <w:rFonts w:hint="default" w:ascii="Times New Roman" w:hAnsi="Times New Roman" w:eastAsia="宋体" w:cs="Times New Roman"/>
                <w:color w:val="000000" w:themeColor="text1"/>
                <w:sz w:val="24"/>
                <w:szCs w:val="24"/>
                <w14:textFill>
                  <w14:solidFill>
                    <w14:schemeClr w14:val="tx1"/>
                  </w14:solidFill>
                </w14:textFill>
              </w:rPr>
              <w:t>能够做到稳定达标排放。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caps w:val="0"/>
                <w:color w:val="000000" w:themeColor="text1"/>
                <w:sz w:val="24"/>
                <w:szCs w:val="22"/>
                <w:highlight w:val="none"/>
                <w:shd w:val="clear" w:color="auto" w:fill="auto"/>
                <w14:textFill>
                  <w14:solidFill>
                    <w14:schemeClr w14:val="tx1"/>
                  </w14:solidFill>
                </w14:textFill>
              </w:rPr>
            </w:pPr>
            <w:r>
              <w:rPr>
                <w:rFonts w:hint="default" w:ascii="Times New Roman" w:hAnsi="Times New Roman" w:eastAsia="宋体" w:cs="Times New Roman"/>
                <w:b/>
                <w:caps w:val="0"/>
                <w:color w:val="000000" w:themeColor="text1"/>
                <w:sz w:val="24"/>
                <w:szCs w:val="22"/>
                <w:highlight w:val="none"/>
                <w:shd w:val="clear" w:color="auto" w:fill="auto"/>
                <w:lang w:val="en-US" w:eastAsia="zh-CN"/>
                <w14:textFill>
                  <w14:solidFill>
                    <w14:schemeClr w14:val="tx1"/>
                  </w14:solidFill>
                </w14:textFill>
              </w:rPr>
              <w:t>2、</w:t>
            </w:r>
            <w:r>
              <w:rPr>
                <w:rFonts w:hint="default" w:ascii="Times New Roman" w:hAnsi="Times New Roman" w:eastAsia="宋体" w:cs="Times New Roman"/>
                <w:b/>
                <w:caps w:val="0"/>
                <w:color w:val="000000" w:themeColor="text1"/>
                <w:sz w:val="24"/>
                <w:szCs w:val="22"/>
                <w:highlight w:val="none"/>
                <w:shd w:val="clear" w:color="auto" w:fill="auto"/>
                <w:lang w:eastAsia="zh-CN"/>
                <w14:textFill>
                  <w14:solidFill>
                    <w14:schemeClr w14:val="tx1"/>
                  </w14:solidFill>
                </w14:textFill>
              </w:rPr>
              <w:t>无组织排放废气防治措施</w:t>
            </w:r>
          </w:p>
          <w:p>
            <w:pPr>
              <w:keepNext w:val="0"/>
              <w:keepLines w:val="0"/>
              <w:pageBreakBefore w:val="0"/>
              <w:kinsoku/>
              <w:overflowPunct/>
              <w:topLinePunct w:val="0"/>
              <w:bidi w:val="0"/>
              <w:adjustRightInd/>
              <w:snapToGrid/>
              <w:spacing w:line="360" w:lineRule="auto"/>
              <w:ind w:firstLine="480" w:firstLineChars="200"/>
              <w:rPr>
                <w:rFonts w:hint="default" w:ascii="Times New Roman" w:hAnsi="Times New Roman" w:eastAsia="宋体" w:cs="Times New Roman"/>
                <w:bCs/>
                <w:color w:val="000000" w:themeColor="text1"/>
                <w:sz w:val="24"/>
                <w:szCs w:val="22"/>
                <w:highlight w:val="none"/>
                <w:lang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项目外购已经清洗好的、洁净的粒径范围在2.5cm~5cm之间的石英矿，该粒径的物料在装卸过程中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基本没有粉尘产生。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此外，本项目</w:t>
            </w:r>
            <w:r>
              <w:rPr>
                <w:rFonts w:hint="default" w:ascii="Times New Roman" w:hAnsi="Times New Roman" w:eastAsia="宋体" w:cs="Times New Roman"/>
                <w:color w:val="000000" w:themeColor="text1"/>
                <w:sz w:val="24"/>
                <w:szCs w:val="24"/>
                <w:highlight w:val="none"/>
                <w14:textFill>
                  <w14:solidFill>
                    <w14:schemeClr w14:val="tx1"/>
                  </w14:solidFill>
                </w14:textFill>
              </w:rPr>
              <w:t>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车间内作业，同时在厂房上方</w:t>
            </w:r>
            <w:r>
              <w:rPr>
                <w:rFonts w:hint="default" w:ascii="Times New Roman" w:hAnsi="Times New Roman" w:eastAsia="宋体" w:cs="Times New Roman"/>
                <w:color w:val="000000" w:themeColor="text1"/>
                <w:sz w:val="24"/>
                <w:szCs w:val="24"/>
                <w:highlight w:val="none"/>
                <w14:textFill>
                  <w14:solidFill>
                    <w14:schemeClr w14:val="tx1"/>
                  </w14:solidFill>
                </w14:textFill>
              </w:rPr>
              <w:t>设罝排气风机加强车间通风，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工作</w:t>
            </w:r>
            <w:r>
              <w:rPr>
                <w:rFonts w:hint="default" w:ascii="Times New Roman" w:hAnsi="Times New Roman" w:eastAsia="宋体" w:cs="Times New Roman"/>
                <w:color w:val="000000" w:themeColor="text1"/>
                <w:sz w:val="24"/>
                <w:szCs w:val="24"/>
                <w:highlight w:val="none"/>
                <w14:textFill>
                  <w14:solidFill>
                    <w14:schemeClr w14:val="tx1"/>
                  </w14:solidFill>
                </w14:textFill>
              </w:rPr>
              <w:t>人员在工作过程中戴口罩，做好卫生防护措施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。建设单位应及时清扫车间地面，在必要情况下洒水降尘。</w:t>
            </w:r>
            <w:r>
              <w:rPr>
                <w:rFonts w:hint="default" w:ascii="Times New Roman" w:hAnsi="Times New Roman" w:eastAsia="宋体" w:cs="Times New Roman"/>
                <w:color w:val="000000" w:themeColor="text1"/>
                <w:sz w:val="24"/>
                <w:szCs w:val="24"/>
                <w:highlight w:val="none"/>
                <w14:textFill>
                  <w14:solidFill>
                    <w14:schemeClr w14:val="tx1"/>
                  </w14:solidFill>
                </w14:textFill>
              </w:rPr>
              <w:t>综上措施</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，本项目无组织排放的</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粉尘</w:t>
            </w:r>
            <w:r>
              <w:rPr>
                <w:rFonts w:hint="default" w:ascii="Times New Roman" w:hAnsi="Times New Roman" w:eastAsia="宋体" w:cs="Times New Roman"/>
                <w:bCs/>
                <w:color w:val="000000" w:themeColor="text1"/>
                <w:sz w:val="24"/>
                <w:szCs w:val="22"/>
                <w:highlight w:val="none"/>
                <w14:textFill>
                  <w14:solidFill>
                    <w14:schemeClr w14:val="tx1"/>
                  </w14:solidFill>
                </w14:textFill>
              </w:rPr>
              <w:t>能达到</w:t>
            </w:r>
            <w:r>
              <w:rPr>
                <w:rFonts w:hint="default" w:ascii="Times New Roman" w:hAnsi="Times New Roman" w:eastAsia="宋体" w:cs="Times New Roman"/>
                <w:color w:val="000000" w:themeColor="text1"/>
                <w:kern w:val="0"/>
                <w:sz w:val="24"/>
                <w14:textFill>
                  <w14:solidFill>
                    <w14:schemeClr w14:val="tx1"/>
                  </w14:solidFill>
                </w14:textFill>
              </w:rPr>
              <w:t>广东省地方标准《大气污染物排放限值》(DB44/27-2001)中的无组织排放限值</w:t>
            </w:r>
            <w:r>
              <w:rPr>
                <w:rFonts w:hint="default" w:ascii="Times New Roman" w:hAnsi="Times New Roman" w:eastAsia="宋体" w:cs="Times New Roman"/>
                <w:bCs/>
                <w:color w:val="000000" w:themeColor="text1"/>
                <w:sz w:val="24"/>
                <w:szCs w:val="22"/>
                <w:highlight w:val="none"/>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2"/>
                <w:highlight w:val="none"/>
                <w:lang w:eastAsia="zh-CN"/>
                <w14:textFill>
                  <w14:solidFill>
                    <w14:schemeClr w14:val="tx1"/>
                  </w14:solidFill>
                </w14:textFill>
              </w:rPr>
              <w:t>综上所述，本项目的废气防治措施是合理可行的。</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9.</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14:textFill>
                  <w14:solidFill>
                    <w14:schemeClr w14:val="tx1"/>
                  </w14:solidFill>
                </w14:textFill>
              </w:rPr>
              <w:t>2污（废）水</w:t>
            </w:r>
            <w:r>
              <w:rPr>
                <w:rFonts w:hint="default" w:ascii="Times New Roman" w:hAnsi="Times New Roman" w:eastAsia="宋体" w:cs="Times New Roman"/>
                <w:b/>
                <w:bCs/>
                <w:color w:val="000000" w:themeColor="text1"/>
                <w:sz w:val="24"/>
                <w:szCs w:val="24"/>
                <w14:textFill>
                  <w14:solidFill>
                    <w14:schemeClr w14:val="tx1"/>
                  </w14:solidFill>
                </w14:textFill>
              </w:rPr>
              <w:t>防治措施</w:t>
            </w:r>
            <w:r>
              <w:rPr>
                <w:rFonts w:hint="default" w:ascii="Times New Roman" w:hAnsi="Times New Roman" w:eastAsia="宋体" w:cs="Times New Roman"/>
                <w:b/>
                <w:color w:val="000000" w:themeColor="text1"/>
                <w:sz w:val="24"/>
                <w:szCs w:val="24"/>
                <w14:textFill>
                  <w14:solidFill>
                    <w14:schemeClr w14:val="tx1"/>
                  </w14:solidFill>
                </w14:textFill>
              </w:rPr>
              <w:t>可行性分析</w:t>
            </w:r>
            <w:r>
              <w:rPr>
                <w:rFonts w:hint="default" w:ascii="Times New Roman" w:hAnsi="Times New Roman" w:eastAsia="宋体" w:cs="Times New Roman"/>
                <w:b/>
                <w:bCs/>
                <w:color w:val="000000" w:themeColor="text1"/>
                <w:sz w:val="24"/>
                <w:szCs w:val="24"/>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9.</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1.2.1</w:t>
            </w:r>
            <w:r>
              <w:rPr>
                <w:rFonts w:hint="default" w:ascii="Times New Roman" w:hAnsi="Times New Roman" w:eastAsia="宋体" w:cs="Times New Roman"/>
                <w:b/>
                <w:color w:val="000000" w:themeColor="text1"/>
                <w:sz w:val="24"/>
                <w:szCs w:val="24"/>
                <w14:textFill>
                  <w14:solidFill>
                    <w14:schemeClr w14:val="tx1"/>
                  </w14:solidFill>
                </w14:textFill>
              </w:rPr>
              <w:t>污（废）水排放量及</w:t>
            </w:r>
            <w:r>
              <w:rPr>
                <w:rFonts w:hint="default" w:ascii="Times New Roman" w:hAnsi="Times New Roman" w:eastAsia="宋体" w:cs="Times New Roman"/>
                <w:b/>
                <w:bCs/>
                <w:color w:val="000000" w:themeColor="text1"/>
                <w:sz w:val="24"/>
                <w:szCs w:val="24"/>
                <w14:textFill>
                  <w14:solidFill>
                    <w14:schemeClr w14:val="tx1"/>
                  </w14:solidFill>
                </w14:textFill>
              </w:rPr>
              <w:t>特征</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工业废水</w:t>
            </w:r>
            <w:r>
              <w:rPr>
                <w:rFonts w:hint="default" w:ascii="Times New Roman" w:hAnsi="Times New Roman" w:eastAsia="宋体" w:cs="Times New Roman"/>
                <w:b/>
                <w:color w:val="000000" w:themeColor="text1"/>
                <w:sz w:val="24"/>
                <w:szCs w:val="24"/>
                <w14:textFill>
                  <w14:solidFill>
                    <w14:schemeClr w14:val="tx1"/>
                  </w14:solidFill>
                </w14:textFill>
              </w:rPr>
              <w:t>放排量及</w:t>
            </w:r>
            <w:r>
              <w:rPr>
                <w:rFonts w:hint="default" w:ascii="Times New Roman" w:hAnsi="Times New Roman" w:eastAsia="宋体" w:cs="Times New Roman"/>
                <w:b/>
                <w:bCs/>
                <w:color w:val="000000" w:themeColor="text1"/>
                <w:sz w:val="24"/>
                <w:szCs w:val="24"/>
                <w14:textFill>
                  <w14:solidFill>
                    <w14:schemeClr w14:val="tx1"/>
                  </w14:solidFill>
                </w14:textFill>
              </w:rPr>
              <w:t>特征</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highlight w:val="none"/>
                <w:lang w:val="en-US" w:eastAsia="zh-CN"/>
                <w14:textFill>
                  <w14:solidFill>
                    <w14:schemeClr w14:val="tx1"/>
                  </w14:solidFill>
                </w14:textFill>
              </w:rPr>
              <w:t>（1）洗砂废水:</w:t>
            </w:r>
            <w:r>
              <w:rPr>
                <w:rFonts w:hint="default" w:ascii="Times New Roman" w:hAnsi="Times New Roman" w:eastAsia="宋体" w:cs="Times New Roman"/>
                <w:caps w:val="0"/>
                <w:smallCaps w:val="0"/>
                <w:color w:val="000000" w:themeColor="text1"/>
                <w:sz w:val="24"/>
                <w:szCs w:val="24"/>
                <w:u w:val="none"/>
                <w14:textFill>
                  <w14:solidFill>
                    <w14:schemeClr w14:val="tx1"/>
                  </w14:solidFill>
                </w14:textFill>
              </w:rPr>
              <w:t>本项目</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产生的</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洗砂</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废水经</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洗砂</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废水</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循环处理设施处理后</w:t>
            </w:r>
            <w:r>
              <w:rPr>
                <w:rFonts w:hint="default" w:ascii="Times New Roman" w:hAnsi="Times New Roman" w:eastAsia="宋体" w:cs="Times New Roman"/>
                <w:b w:val="0"/>
                <w:bCs w:val="0"/>
                <w:caps w:val="0"/>
                <w:smallCaps w:val="0"/>
                <w:color w:val="000000" w:themeColor="text1"/>
                <w:sz w:val="24"/>
                <w:szCs w:val="24"/>
                <w:u w:val="none"/>
                <w14:textFill>
                  <w14:solidFill>
                    <w14:schemeClr w14:val="tx1"/>
                  </w14:solidFill>
                </w14:textFill>
              </w:rPr>
              <w:t>，清水流入循环水池，由水泵泵送至各用水点</w:t>
            </w:r>
            <w:r>
              <w:rPr>
                <w:rFonts w:hint="default" w:ascii="Times New Roman" w:hAnsi="Times New Roman" w:eastAsia="宋体" w:cs="Times New Roman"/>
                <w:b w:val="0"/>
                <w:bCs w:val="0"/>
                <w:caps w:val="0"/>
                <w:smallCaps w:val="0"/>
                <w:color w:val="000000" w:themeColor="text1"/>
                <w:sz w:val="24"/>
                <w:szCs w:val="24"/>
                <w:u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循环使用，不外排</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val="0"/>
                <w:color w:val="000000" w:themeColor="text1"/>
                <w:sz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lang w:val="en-US" w:eastAsia="zh-CN"/>
                <w14:textFill>
                  <w14:solidFill>
                    <w14:schemeClr w14:val="tx1"/>
                  </w14:solidFill>
                </w14:textFill>
              </w:rPr>
              <w:t>（2）生产废水</w: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项目营运期使用草酸溶液对石英砂进行酸洗</w:t>
            </w:r>
            <w:r>
              <w:rPr>
                <w:rFonts w:hint="eastAsia" w:cs="Times New Roman"/>
                <w:bCs/>
                <w:color w:val="000000" w:themeColor="text1"/>
                <w:sz w:val="24"/>
                <w:lang w:eastAsia="zh-CN"/>
                <w14:textFill>
                  <w14:solidFill>
                    <w14:schemeClr w14:val="tx1"/>
                  </w14:solidFill>
                </w14:textFill>
              </w:rPr>
              <w:t>，然后</w:t>
            </w:r>
            <w:r>
              <w:rPr>
                <w:rFonts w:hint="default" w:ascii="Times New Roman" w:hAnsi="Times New Roman" w:eastAsia="宋体" w:cs="Times New Roman"/>
                <w:bCs/>
                <w:color w:val="000000" w:themeColor="text1"/>
                <w:sz w:val="24"/>
                <w:lang w:eastAsia="zh-CN"/>
                <w14:textFill>
                  <w14:solidFill>
                    <w14:schemeClr w14:val="tx1"/>
                  </w14:solidFill>
                </w14:textFill>
              </w:rPr>
              <w:t>进行水洗</w:t>
            </w:r>
            <w:r>
              <w:rPr>
                <w:rFonts w:hint="default" w:ascii="Times New Roman" w:hAnsi="Times New Roman" w:eastAsia="宋体" w:cs="Times New Roman"/>
                <w:bCs/>
                <w:color w:val="000000" w:themeColor="text1"/>
                <w:sz w:val="24"/>
                <w14:textFill>
                  <w14:solidFill>
                    <w14:schemeClr w14:val="tx1"/>
                  </w14:solidFill>
                </w14:textFill>
              </w:rPr>
              <w:t>，</w:t>
            </w:r>
            <w:r>
              <w:rPr>
                <w:rFonts w:hint="default" w:ascii="Times New Roman" w:hAnsi="Times New Roman" w:eastAsia="宋体" w:cs="Times New Roman"/>
                <w:bCs/>
                <w:color w:val="000000" w:themeColor="text1"/>
                <w:sz w:val="24"/>
                <w:lang w:eastAsia="zh-CN"/>
                <w14:textFill>
                  <w14:solidFill>
                    <w14:schemeClr w14:val="tx1"/>
                  </w14:solidFill>
                </w14:textFill>
              </w:rPr>
              <w:t>该过程生产</w:t>
            </w:r>
            <w:r>
              <w:rPr>
                <w:rFonts w:hint="default" w:ascii="Times New Roman" w:hAnsi="Times New Roman" w:eastAsia="宋体" w:cs="Times New Roman"/>
                <w:bCs/>
                <w:color w:val="000000" w:themeColor="text1"/>
                <w:sz w:val="24"/>
                <w14:textFill>
                  <w14:solidFill>
                    <w14:schemeClr w14:val="tx1"/>
                  </w14:solidFill>
                </w14:textFill>
              </w:rPr>
              <w:t>废水产生量约</w:t>
            </w:r>
            <w:r>
              <w:rPr>
                <w:rFonts w:hint="default" w:ascii="Times New Roman" w:hAnsi="Times New Roman" w:eastAsia="宋体" w:cs="Times New Roman"/>
                <w:bCs/>
                <w:color w:val="000000" w:themeColor="text1"/>
                <w:sz w:val="24"/>
                <w:lang w:val="en-US" w:eastAsia="zh-CN"/>
                <w14:textFill>
                  <w14:solidFill>
                    <w14:schemeClr w14:val="tx1"/>
                  </w14:solidFill>
                </w14:textFill>
              </w:rPr>
              <w:t>27900</w:t>
            </w:r>
            <w:r>
              <w:rPr>
                <w:rFonts w:hint="default" w:ascii="Times New Roman" w:hAnsi="Times New Roman" w:eastAsia="宋体" w:cs="Times New Roman"/>
                <w:bCs/>
                <w:color w:val="000000" w:themeColor="text1"/>
                <w:sz w:val="24"/>
                <w14:textFill>
                  <w14:solidFill>
                    <w14:schemeClr w14:val="tx1"/>
                  </w14:solidFill>
                </w14:textFill>
              </w:rPr>
              <w:t>t/a，</w:t>
            </w:r>
            <w:r>
              <w:rPr>
                <w:rFonts w:hint="default" w:ascii="Times New Roman" w:hAnsi="Times New Roman" w:eastAsia="宋体" w:cs="Times New Roman"/>
                <w:color w:val="000000" w:themeColor="text1"/>
                <w:sz w:val="24"/>
                <w14:textFill>
                  <w14:solidFill>
                    <w14:schemeClr w14:val="tx1"/>
                  </w14:solidFill>
                </w14:textFill>
              </w:rPr>
              <w:t>主要污染物</w:t>
            </w:r>
            <w:r>
              <w:rPr>
                <w:rFonts w:hint="default" w:ascii="Times New Roman" w:hAnsi="Times New Roman" w:eastAsia="宋体" w:cs="Times New Roman"/>
                <w:color w:val="000000" w:themeColor="text1"/>
                <w:sz w:val="24"/>
                <w:lang w:eastAsia="zh-CN"/>
                <w14:textFill>
                  <w14:solidFill>
                    <w14:schemeClr w14:val="tx1"/>
                  </w14:solidFill>
                </w14:textFill>
              </w:rPr>
              <w:t>为</w:t>
            </w:r>
            <w:r>
              <w:rPr>
                <w:rFonts w:hint="default" w:ascii="Times New Roman" w:hAnsi="Times New Roman" w:eastAsia="宋体" w:cs="Times New Roman"/>
                <w:color w:val="000000" w:themeColor="text1"/>
                <w:sz w:val="24"/>
                <w14:textFill>
                  <w14:solidFill>
                    <w14:schemeClr w14:val="tx1"/>
                  </w14:solidFill>
                </w14:textFill>
              </w:rPr>
              <w:t>CODc</w:t>
            </w:r>
            <w:r>
              <w:rPr>
                <w:rFonts w:hint="default" w:ascii="Times New Roman" w:hAnsi="Times New Roman" w:eastAsia="宋体" w:cs="Times New Roman"/>
                <w:color w:val="000000" w:themeColor="text1"/>
                <w:sz w:val="24"/>
                <w:vertAlign w:val="subscript"/>
                <w14:textFill>
                  <w14:solidFill>
                    <w14:schemeClr w14:val="tx1"/>
                  </w14:solidFill>
                </w14:textFill>
              </w:rPr>
              <w:t>r</w:t>
            </w:r>
            <w:r>
              <w:rPr>
                <w:rFonts w:hint="default" w:ascii="Times New Roman" w:hAnsi="Times New Roman" w:eastAsia="宋体" w:cs="Times New Roman"/>
                <w:color w:val="000000" w:themeColor="text1"/>
                <w:sz w:val="24"/>
                <w14:textFill>
                  <w14:solidFill>
                    <w14:schemeClr w14:val="tx1"/>
                  </w14:solidFill>
                </w14:textFill>
              </w:rPr>
              <w:t>、SS</w:t>
            </w:r>
            <w:r>
              <w:rPr>
                <w:rFonts w:hint="default" w:ascii="Times New Roman" w:hAnsi="Times New Roman" w:eastAsia="宋体" w:cs="Times New Roman"/>
                <w:color w:val="000000" w:themeColor="text1"/>
                <w:sz w:val="24"/>
                <w:lang w:eastAsia="zh-CN"/>
                <w14:textFill>
                  <w14:solidFill>
                    <w14:schemeClr w14:val="tx1"/>
                  </w14:solidFill>
                </w14:textFill>
              </w:rPr>
              <w:t>以及</w:t>
            </w:r>
            <w:r>
              <w:rPr>
                <w:rFonts w:hint="default" w:ascii="Times New Roman" w:hAnsi="Times New Roman" w:eastAsia="宋体" w:cs="Times New Roman"/>
                <w:color w:val="000000" w:themeColor="text1"/>
                <w:sz w:val="24"/>
                <w:lang w:val="en-US" w:eastAsia="zh-CN"/>
                <w14:textFill>
                  <w14:solidFill>
                    <w14:schemeClr w14:val="tx1"/>
                  </w14:solidFill>
                </w14:textFill>
              </w:rPr>
              <w:t>H</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4"/>
                <w:lang w:val="en-US"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具有难生化的特点。</w:t>
            </w:r>
            <w:r>
              <w:rPr>
                <w:rFonts w:hint="default" w:ascii="Times New Roman" w:hAnsi="Times New Roman" w:eastAsia="宋体" w:cs="Times New Roman"/>
                <w:bCs/>
                <w:color w:val="000000" w:themeColor="text1"/>
                <w:sz w:val="24"/>
                <w14:textFill>
                  <w14:solidFill>
                    <w14:schemeClr w14:val="tx1"/>
                  </w14:solidFill>
                </w14:textFill>
              </w:rPr>
              <w:t>项目产生的生产废水经处理达标后</w:t>
            </w:r>
            <w:r>
              <w:rPr>
                <w:rFonts w:hint="default" w:ascii="Times New Roman" w:hAnsi="Times New Roman" w:eastAsia="宋体"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lang w:val="en-US" w:eastAsia="zh-CN"/>
                <w14:textFill>
                  <w14:solidFill>
                    <w14:schemeClr w14:val="tx1"/>
                  </w14:solidFill>
                </w14:textFill>
              </w:rPr>
              <w:t>10</w:t>
            </w:r>
            <w:r>
              <w:rPr>
                <w:rFonts w:hint="default" w:ascii="Times New Roman" w:hAnsi="Times New Roman" w:eastAsia="宋体" w:cs="Times New Roman"/>
                <w:bCs/>
                <w:color w:val="000000" w:themeColor="text1"/>
                <w:sz w:val="24"/>
                <w14:textFill>
                  <w14:solidFill>
                    <w14:schemeClr w14:val="tx1"/>
                  </w14:solidFill>
                </w14:textFill>
              </w:rPr>
              <w:t>%经排污管网排放至附近地表水潖江河下游（佛冈县城湖滨段至北江与浰江交汇处），</w:t>
            </w:r>
            <w:r>
              <w:rPr>
                <w:rFonts w:hint="default" w:ascii="Times New Roman" w:hAnsi="Times New Roman" w:eastAsia="宋体" w:cs="Times New Roman"/>
                <w:bCs/>
                <w:color w:val="000000" w:themeColor="text1"/>
                <w:sz w:val="24"/>
                <w:lang w:val="en-US" w:eastAsia="zh-CN"/>
                <w14:textFill>
                  <w14:solidFill>
                    <w14:schemeClr w14:val="tx1"/>
                  </w14:solidFill>
                </w14:textFill>
              </w:rPr>
              <w:t>9</w:t>
            </w:r>
            <w:r>
              <w:rPr>
                <w:rFonts w:hint="default" w:ascii="Times New Roman" w:hAnsi="Times New Roman" w:eastAsia="宋体" w:cs="Times New Roman"/>
                <w:bCs/>
                <w:color w:val="000000" w:themeColor="text1"/>
                <w:sz w:val="24"/>
                <w14:textFill>
                  <w14:solidFill>
                    <w14:schemeClr w14:val="tx1"/>
                  </w14:solidFill>
                </w14:textFill>
              </w:rPr>
              <w:t>0%回用于生产。</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outlineLvl w:val="9"/>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snapToGrid w:val="0"/>
                <w:color w:val="000000" w:themeColor="text1"/>
                <w:kern w:val="2"/>
                <w:sz w:val="24"/>
                <w:szCs w:val="24"/>
                <w:lang w:val="en-US" w:eastAsia="zh-CN" w:bidi="ar-SA"/>
                <w14:textFill>
                  <w14:solidFill>
                    <w14:schemeClr w14:val="tx1"/>
                  </w14:solidFill>
                </w14:textFill>
              </w:rPr>
              <w:t>生活污水</w:t>
            </w:r>
            <w:r>
              <w:rPr>
                <w:rFonts w:hint="default" w:ascii="Times New Roman" w:hAnsi="Times New Roman" w:eastAsia="宋体" w:cs="Times New Roman"/>
                <w:b/>
                <w:color w:val="000000" w:themeColor="text1"/>
                <w:sz w:val="24"/>
                <w:szCs w:val="24"/>
                <w14:textFill>
                  <w14:solidFill>
                    <w14:schemeClr w14:val="tx1"/>
                  </w14:solidFill>
                </w14:textFill>
              </w:rPr>
              <w:t>放排量及</w:t>
            </w:r>
            <w:r>
              <w:rPr>
                <w:rFonts w:hint="default" w:ascii="Times New Roman" w:hAnsi="Times New Roman" w:eastAsia="宋体" w:cs="Times New Roman"/>
                <w:b/>
                <w:bCs/>
                <w:color w:val="000000" w:themeColor="text1"/>
                <w:sz w:val="24"/>
                <w:szCs w:val="24"/>
                <w14:textFill>
                  <w14:solidFill>
                    <w14:schemeClr w14:val="tx1"/>
                  </w14:solidFill>
                </w14:textFill>
              </w:rPr>
              <w:t>特征</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w:t>
            </w:r>
            <w:r>
              <w:rPr>
                <w:rFonts w:hint="default" w:ascii="Times New Roman" w:hAnsi="Times New Roman" w:eastAsia="宋体" w:cs="Times New Roman"/>
                <w:color w:val="000000" w:themeColor="text1"/>
                <w:sz w:val="24"/>
                <w14:textFill>
                  <w14:solidFill>
                    <w14:schemeClr w14:val="tx1"/>
                  </w14:solidFill>
                </w14:textFill>
              </w:rPr>
              <w:t>项目不设员工食堂和宿舍</w:t>
            </w:r>
            <w:r>
              <w:rPr>
                <w:rFonts w:hint="default" w:ascii="Times New Roman" w:hAnsi="Times New Roman" w:eastAsia="宋体" w:cs="Times New Roman"/>
                <w:color w:val="000000" w:themeColor="text1"/>
                <w:sz w:val="24"/>
                <w:lang w:eastAsia="zh-CN"/>
                <w14:textFill>
                  <w14:solidFill>
                    <w14:schemeClr w14:val="tx1"/>
                  </w14:solidFill>
                </w14:textFill>
              </w:rPr>
              <w:t>，只有</w:t>
            </w:r>
            <w:r>
              <w:rPr>
                <w:rFonts w:hint="default" w:ascii="Times New Roman" w:hAnsi="Times New Roman" w:eastAsia="宋体" w:cs="Times New Roman"/>
                <w:color w:val="000000" w:themeColor="text1"/>
                <w:sz w:val="24"/>
                <w14:textFill>
                  <w14:solidFill>
                    <w14:schemeClr w14:val="tx1"/>
                  </w14:solidFill>
                </w14:textFill>
              </w:rPr>
              <w:t>员工上班产生的</w:t>
            </w:r>
            <w:r>
              <w:rPr>
                <w:rFonts w:hint="default" w:ascii="Times New Roman" w:hAnsi="Times New Roman" w:eastAsia="宋体" w:cs="Times New Roman"/>
                <w:color w:val="000000" w:themeColor="text1"/>
                <w:sz w:val="24"/>
                <w:szCs w:val="24"/>
                <w14:textFill>
                  <w14:solidFill>
                    <w14:schemeClr w14:val="tx1"/>
                  </w14:solidFill>
                </w14:textFill>
              </w:rPr>
              <w:t>厕所冲洗</w:t>
            </w:r>
            <w:r>
              <w:rPr>
                <w:rFonts w:hint="default" w:ascii="Times New Roman" w:hAnsi="Times New Roman" w:eastAsia="宋体" w:cs="Times New Roman"/>
                <w:bCs/>
                <w:color w:val="000000" w:themeColor="text1"/>
                <w:sz w:val="24"/>
                <w:szCs w:val="28"/>
                <w14:textFill>
                  <w14:solidFill>
                    <w14:schemeClr w14:val="tx1"/>
                  </w14:solidFill>
                </w14:textFill>
              </w:rPr>
              <w:t>污水</w:t>
            </w:r>
            <w:r>
              <w:rPr>
                <w:rFonts w:hint="default" w:ascii="Times New Roman" w:hAnsi="Times New Roman" w:eastAsia="宋体" w:cs="Times New Roman"/>
                <w:bCs/>
                <w:color w:val="000000" w:themeColor="text1"/>
                <w:sz w:val="24"/>
                <w:szCs w:val="28"/>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产生量约为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144</w:t>
            </w:r>
            <w:r>
              <w:rPr>
                <w:rFonts w:hint="default" w:ascii="Times New Roman" w:hAnsi="Times New Roman" w:eastAsia="宋体" w:cs="Times New Roman"/>
                <w:color w:val="000000" w:themeColor="text1"/>
                <w:spacing w:val="-4"/>
                <w:sz w:val="24"/>
                <w:szCs w:val="28"/>
                <w:highlight w:val="none"/>
                <w14:textFill>
                  <w14:solidFill>
                    <w14:schemeClr w14:val="tx1"/>
                  </w14:solidFill>
                </w14:textFill>
              </w:rPr>
              <w:t>m³</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432</w:t>
            </w:r>
            <w:r>
              <w:rPr>
                <w:rFonts w:hint="default" w:ascii="Times New Roman" w:hAnsi="Times New Roman" w:eastAsia="宋体" w:cs="Times New Roman"/>
                <w:color w:val="000000" w:themeColor="text1"/>
                <w:spacing w:val="-4"/>
                <w:sz w:val="24"/>
                <w:szCs w:val="28"/>
                <w:highlight w:val="none"/>
                <w14:textFill>
                  <w14:solidFill>
                    <w14:schemeClr w14:val="tx1"/>
                  </w14:solidFill>
                </w14:textFill>
              </w:rPr>
              <w:t>m³/a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，主要污染物</w:t>
            </w:r>
            <w:r>
              <w:rPr>
                <w:rFonts w:hint="default" w:ascii="Times New Roman" w:hAnsi="Times New Roman" w:eastAsia="宋体" w:cs="Times New Roman"/>
                <w:color w:val="000000" w:themeColor="text1"/>
                <w:sz w:val="24"/>
                <w:lang w:eastAsia="zh-CN"/>
                <w14:textFill>
                  <w14:solidFill>
                    <w14:schemeClr w14:val="tx1"/>
                  </w14:solidFill>
                </w14:textFill>
              </w:rPr>
              <w:t>为</w:t>
            </w:r>
            <w:r>
              <w:rPr>
                <w:rFonts w:hint="default" w:ascii="Times New Roman" w:hAnsi="Times New Roman" w:eastAsia="宋体" w:cs="Times New Roman"/>
                <w:color w:val="000000" w:themeColor="text1"/>
                <w:sz w:val="24"/>
                <w14:textFill>
                  <w14:solidFill>
                    <w14:schemeClr w14:val="tx1"/>
                  </w14:solidFill>
                </w14:textFill>
              </w:rPr>
              <w:t>CODc</w:t>
            </w:r>
            <w:r>
              <w:rPr>
                <w:rFonts w:hint="default" w:ascii="Times New Roman" w:hAnsi="Times New Roman" w:eastAsia="宋体" w:cs="Times New Roman"/>
                <w:color w:val="000000" w:themeColor="text1"/>
                <w:sz w:val="24"/>
                <w:vertAlign w:val="subscript"/>
                <w14:textFill>
                  <w14:solidFill>
                    <w14:schemeClr w14:val="tx1"/>
                  </w14:solidFill>
                </w14:textFill>
              </w:rPr>
              <w:t>r</w:t>
            </w:r>
            <w:r>
              <w:rPr>
                <w:rFonts w:hint="default" w:ascii="Times New Roman" w:hAnsi="Times New Roman" w:eastAsia="宋体" w:cs="Times New Roman"/>
                <w:color w:val="000000" w:themeColor="text1"/>
                <w:sz w:val="24"/>
                <w14:textFill>
                  <w14:solidFill>
                    <w14:schemeClr w14:val="tx1"/>
                  </w14:solidFill>
                </w14:textFill>
              </w:rPr>
              <w:t>、BOD</w:t>
            </w:r>
            <w:r>
              <w:rPr>
                <w:rFonts w:hint="default" w:ascii="Times New Roman" w:hAnsi="Times New Roman" w:eastAsia="宋体" w:cs="Times New Roman"/>
                <w:color w:val="000000" w:themeColor="text1"/>
                <w:sz w:val="24"/>
                <w:vertAlign w:val="subscript"/>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、SS和</w:t>
            </w:r>
            <w:r>
              <w:rPr>
                <w:rFonts w:hint="default" w:ascii="Times New Roman" w:hAnsi="Times New Roman" w:eastAsia="宋体" w:cs="Times New Roman"/>
                <w:b w:val="0"/>
                <w:bCs w:val="0"/>
                <w:color w:val="000000" w:themeColor="text1"/>
                <w:sz w:val="24"/>
                <w14:textFill>
                  <w14:solidFill>
                    <w14:schemeClr w14:val="tx1"/>
                  </w14:solidFill>
                </w14:textFill>
              </w:rPr>
              <w:t>NH</w:t>
            </w:r>
            <w:r>
              <w:rPr>
                <w:rFonts w:hint="default" w:ascii="Times New Roman" w:hAnsi="Times New Roman" w:eastAsia="宋体" w:cs="Times New Roman"/>
                <w:b w:val="0"/>
                <w:bCs w:val="0"/>
                <w:color w:val="000000" w:themeColor="text1"/>
                <w:sz w:val="24"/>
                <w:vertAlign w:val="subscript"/>
                <w14:textFill>
                  <w14:solidFill>
                    <w14:schemeClr w14:val="tx1"/>
                  </w14:solidFill>
                </w14:textFill>
              </w:rPr>
              <w:t>3</w:t>
            </w:r>
            <w:r>
              <w:rPr>
                <w:rFonts w:hint="default" w:ascii="Times New Roman" w:hAnsi="Times New Roman" w:eastAsia="宋体" w:cs="Times New Roman"/>
                <w:b w:val="0"/>
                <w:bCs w:val="0"/>
                <w:color w:val="000000" w:themeColor="text1"/>
                <w:sz w:val="24"/>
                <w14:textFill>
                  <w14:solidFill>
                    <w14:schemeClr w14:val="tx1"/>
                  </w14:solidFill>
                </w14:textFill>
              </w:rPr>
              <w:t>-N。</w:t>
            </w:r>
            <w:r>
              <w:rPr>
                <w:rFonts w:hint="default" w:ascii="Times New Roman" w:hAnsi="Times New Roman" w:eastAsia="宋体" w:cs="Times New Roman"/>
                <w:color w:val="000000" w:themeColor="text1"/>
                <w:sz w:val="24"/>
                <w:szCs w:val="24"/>
                <w14:textFill>
                  <w14:solidFill>
                    <w14:schemeClr w14:val="tx1"/>
                  </w14:solidFill>
                </w14:textFill>
              </w:rPr>
              <w:t>厕所冲洗</w:t>
            </w:r>
            <w:r>
              <w:rPr>
                <w:rFonts w:hint="default" w:ascii="Times New Roman" w:hAnsi="Times New Roman" w:eastAsia="宋体" w:cs="Times New Roman"/>
                <w:bCs/>
                <w:color w:val="000000" w:themeColor="text1"/>
                <w:sz w:val="24"/>
                <w:szCs w:val="28"/>
                <w14:textFill>
                  <w14:solidFill>
                    <w14:schemeClr w14:val="tx1"/>
                  </w14:solidFill>
                </w14:textFill>
              </w:rPr>
              <w:t>污水主要污染物为</w:t>
            </w:r>
            <w:r>
              <w:rPr>
                <w:rFonts w:hint="default" w:ascii="Times New Roman" w:hAnsi="Times New Roman" w:eastAsia="宋体" w:cs="Times New Roman"/>
                <w:color w:val="000000" w:themeColor="text1"/>
                <w:sz w:val="24"/>
                <w:szCs w:val="24"/>
                <w14:textFill>
                  <w14:solidFill>
                    <w14:schemeClr w14:val="tx1"/>
                  </w14:solidFill>
                </w14:textFill>
              </w:rPr>
              <w:t>COD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Cr</w:t>
            </w:r>
            <w:r>
              <w:rPr>
                <w:rFonts w:hint="default" w:ascii="Times New Roman" w:hAnsi="Times New Roman" w:eastAsia="宋体" w:cs="Times New Roman"/>
                <w:color w:val="000000" w:themeColor="text1"/>
                <w:sz w:val="24"/>
                <w:szCs w:val="24"/>
                <w14:textFill>
                  <w14:solidFill>
                    <w14:schemeClr w14:val="tx1"/>
                  </w14:solidFill>
                </w14:textFill>
              </w:rPr>
              <w:t>、BOD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-N、LAS、SS</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厕所冲洗</w:t>
            </w:r>
            <w:r>
              <w:rPr>
                <w:rFonts w:hint="default" w:ascii="Times New Roman" w:hAnsi="Times New Roman" w:eastAsia="宋体" w:cs="Times New Roman"/>
                <w:bCs/>
                <w:color w:val="000000" w:themeColor="text1"/>
                <w:sz w:val="24"/>
                <w:szCs w:val="28"/>
                <w14:textFill>
                  <w14:solidFill>
                    <w14:schemeClr w14:val="tx1"/>
                  </w14:solidFill>
                </w14:textFill>
              </w:rPr>
              <w:t>污水</w:t>
            </w:r>
            <w:r>
              <w:rPr>
                <w:rFonts w:hint="default" w:ascii="Times New Roman" w:hAnsi="Times New Roman" w:eastAsia="宋体" w:cs="Times New Roman"/>
                <w:color w:val="000000" w:themeColor="text1"/>
                <w:sz w:val="24"/>
                <w:szCs w:val="24"/>
                <w14:textFill>
                  <w14:solidFill>
                    <w14:schemeClr w14:val="tx1"/>
                  </w14:solidFill>
                </w14:textFill>
              </w:rPr>
              <w:t>具有</w:t>
            </w:r>
            <w:r>
              <w:rPr>
                <w:rFonts w:hint="default" w:ascii="Times New Roman" w:hAnsi="Times New Roman" w:eastAsia="宋体" w:cs="Times New Roman"/>
                <w:color w:val="000000" w:themeColor="text1"/>
                <w:sz w:val="24"/>
                <w:szCs w:val="24"/>
                <w:shd w:val="clear" w:color="auto" w:fill="FFFFFF"/>
                <w14:textFill>
                  <w14:solidFill>
                    <w14:schemeClr w14:val="tx1"/>
                  </w14:solidFill>
                </w14:textFill>
              </w:rPr>
              <w:t>可生化性较强等特点。</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9.</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14:textFill>
                  <w14:solidFill>
                    <w14:schemeClr w14:val="tx1"/>
                  </w14:solidFill>
                </w14:textFill>
              </w:rPr>
              <w:t>2.</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14:textFill>
                  <w14:solidFill>
                    <w14:schemeClr w14:val="tx1"/>
                  </w14:solidFill>
                </w14:textFill>
              </w:rPr>
              <w:t>污（废）水处理工艺选择</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生物法是目前污（废）水处理最常用的方法之一，它具有应用范围广、适应性强、经济高效无害等特点。一般情况下，常用的生物法有传统活性污泥法和生物接触氧化法两种处理工艺。根据厕所冲洗污水都具有同质性的特征，拟采用A/O生物接触氧化工艺，设计处理水量为</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/d</w:t>
            </w:r>
            <w:r>
              <w:rPr>
                <w:rFonts w:hint="default" w:ascii="Times New Roman" w:hAnsi="Times New Roman" w:eastAsia="宋体" w:cs="Times New Roman"/>
                <w:snapToGrid w:val="0"/>
                <w:color w:val="000000" w:themeColor="text1"/>
                <w:kern w:val="2"/>
                <w:sz w:val="24"/>
                <w:szCs w:val="24"/>
                <w:lang w:val="en-US" w:eastAsia="zh-CN" w:bidi="ar-SA"/>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outlineLvl w:val="9"/>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9.</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14:textFill>
                  <w14:solidFill>
                    <w14:schemeClr w14:val="tx1"/>
                  </w14:solidFill>
                </w14:textFill>
              </w:rPr>
              <w:t>2.</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14:textFill>
                  <w14:solidFill>
                    <w14:schemeClr w14:val="tx1"/>
                  </w14:solidFill>
                </w14:textFill>
              </w:rPr>
              <w:t>污（废）水处理工艺流程</w:t>
            </w:r>
          </w:p>
          <w:p>
            <w:pPr>
              <w:keepNext w:val="0"/>
              <w:keepLines w:val="0"/>
              <w:pageBreakBefore w:val="0"/>
              <w:kinsoku/>
              <w:overflowPunct/>
              <w:topLinePunct w:val="0"/>
              <w:bidi w:val="0"/>
              <w:adjustRightInd/>
              <w:snapToGrid/>
              <w:spacing w:line="360" w:lineRule="auto"/>
              <w:ind w:firstLine="480" w:firstLineChars="200"/>
              <w:outlineLvl w:val="9"/>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14:textFill>
                  <w14:solidFill>
                    <w14:schemeClr w14:val="tx1"/>
                  </w14:solidFill>
                </w14:textFill>
              </w:rPr>
              <w:t>其处理工艺</w:t>
            </w:r>
            <w:r>
              <w:rPr>
                <w:rFonts w:hint="default" w:ascii="Times New Roman" w:hAnsi="Times New Roman" w:eastAsia="宋体" w:cs="Times New Roman"/>
                <w:b w:val="0"/>
                <w:bCs/>
                <w:color w:val="000000" w:themeColor="text1"/>
                <w:sz w:val="24"/>
                <w:szCs w:val="24"/>
                <w14:textFill>
                  <w14:solidFill>
                    <w14:schemeClr w14:val="tx1"/>
                  </w14:solidFill>
                </w14:textFill>
              </w:rPr>
              <w:t>流程</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详见图9.</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p>
          <w:p>
            <w:pPr>
              <w:pStyle w:val="2"/>
              <w:keepNext w:val="0"/>
              <w:keepLines w:val="0"/>
              <w:pageBreakBefore w:val="0"/>
              <w:kinsoku/>
              <w:overflowPunct/>
              <w:topLinePunct w:val="0"/>
              <w:bidi w:val="0"/>
              <w:adjustRightInd/>
              <w:snapToGrid/>
              <w:spacing w:after="0" w:line="240" w:lineRule="auto"/>
              <w:ind w:left="0" w:leftChars="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mc:AlternateContent>
                <mc:Choice Requires="wpc">
                  <w:drawing>
                    <wp:inline distT="0" distB="0" distL="114300" distR="114300">
                      <wp:extent cx="5819140" cy="850265"/>
                      <wp:effectExtent l="0" t="4445" r="0" b="2540"/>
                      <wp:docPr id="173" name="画布 27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g:wgp>
                              <wpg:cNvPr id="172" name="组合 385"/>
                              <wpg:cNvGrpSpPr/>
                              <wpg:grpSpPr>
                                <a:xfrm>
                                  <a:off x="256540" y="0"/>
                                  <a:ext cx="5276850" cy="812772"/>
                                  <a:chOff x="390" y="975"/>
                                  <a:chExt cx="8310" cy="1279"/>
                                </a:xfrm>
                              </wpg:grpSpPr>
                              <wps:wsp>
                                <wps:cNvPr id="153" name="文本框 2792"/>
                                <wps:cNvSpPr txBox="1"/>
                                <wps:spPr>
                                  <a:xfrm>
                                    <a:off x="2220" y="1800"/>
                                    <a:ext cx="1065" cy="454"/>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r>
                                        <w:rPr>
                                          <w:rFonts w:hint="eastAsia"/>
                                        </w:rPr>
                                        <w:t>清水池</w:t>
                                      </w:r>
                                    </w:p>
                                  </w:txbxContent>
                                </wps:txbx>
                                <wps:bodyPr upright="1"/>
                              </wps:wsp>
                              <wps:wsp>
                                <wps:cNvPr id="154" name="文本框 2776"/>
                                <wps:cNvSpPr txBox="1"/>
                                <wps:spPr>
                                  <a:xfrm>
                                    <a:off x="2115" y="975"/>
                                    <a:ext cx="1425" cy="454"/>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pPr>
                                      <w:r>
                                        <w:rPr>
                                          <w:rFonts w:hint="eastAsia"/>
                                        </w:rPr>
                                        <w:t>化粪池</w:t>
                                      </w:r>
                                    </w:p>
                                  </w:txbxContent>
                                </wps:txbx>
                                <wps:bodyPr upright="1"/>
                              </wps:wsp>
                              <wps:wsp>
                                <wps:cNvPr id="155" name="文本框 2777"/>
                                <wps:cNvSpPr txBox="1"/>
                                <wps:spPr>
                                  <a:xfrm>
                                    <a:off x="390" y="975"/>
                                    <a:ext cx="1186" cy="454"/>
                                  </a:xfrm>
                                  <a:prstGeom prst="rect">
                                    <a:avLst/>
                                  </a:prstGeom>
                                  <a:noFill/>
                                  <a:ln w="9525">
                                    <a:noFill/>
                                  </a:ln>
                                </wps:spPr>
                                <wps:txbx>
                                  <w:txbxContent>
                                    <w:p>
                                      <w:r>
                                        <w:rPr>
                                          <w:rFonts w:hint="eastAsia"/>
                                        </w:rPr>
                                        <w:t>冲厕污水</w:t>
                                      </w:r>
                                    </w:p>
                                  </w:txbxContent>
                                </wps:txbx>
                                <wps:bodyPr upright="1"/>
                              </wps:wsp>
                              <wps:wsp>
                                <wps:cNvPr id="156" name="自选图形 2778"/>
                                <wps:cNvCnPr/>
                                <wps:spPr>
                                  <a:xfrm>
                                    <a:off x="1561" y="1223"/>
                                    <a:ext cx="493" cy="1"/>
                                  </a:xfrm>
                                  <a:prstGeom prst="straightConnector1">
                                    <a:avLst/>
                                  </a:prstGeom>
                                  <a:ln w="9525" cap="flat" cmpd="sng">
                                    <a:solidFill>
                                      <a:srgbClr val="000001"/>
                                    </a:solidFill>
                                    <a:prstDash val="solid"/>
                                    <a:headEnd type="none" w="med" len="med"/>
                                    <a:tailEnd type="triangle" w="med" len="med"/>
                                  </a:ln>
                                </wps:spPr>
                                <wps:bodyPr/>
                              </wps:wsp>
                              <wps:wsp>
                                <wps:cNvPr id="157" name="文本框 2779"/>
                                <wps:cNvSpPr txBox="1"/>
                                <wps:spPr>
                                  <a:xfrm>
                                    <a:off x="7275" y="1800"/>
                                    <a:ext cx="1425" cy="454"/>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r>
                                        <w:rPr>
                                          <w:rFonts w:hint="eastAsia"/>
                                        </w:rPr>
                                        <w:t>O级生化池</w:t>
                                      </w:r>
                                    </w:p>
                                  </w:txbxContent>
                                </wps:txbx>
                                <wps:bodyPr upright="1"/>
                              </wps:wsp>
                              <wps:wsp>
                                <wps:cNvPr id="158" name="文本框 2780"/>
                                <wps:cNvSpPr txBox="1"/>
                                <wps:spPr>
                                  <a:xfrm>
                                    <a:off x="7226" y="975"/>
                                    <a:ext cx="1474" cy="454"/>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r>
                                        <w:rPr>
                                          <w:rFonts w:hint="eastAsia"/>
                                        </w:rPr>
                                        <w:t>A级生化池</w:t>
                                      </w:r>
                                    </w:p>
                                  </w:txbxContent>
                                </wps:txbx>
                                <wps:bodyPr upright="1"/>
                              </wps:wsp>
                              <wps:wsp>
                                <wps:cNvPr id="159" name="自选图形 2781"/>
                                <wps:cNvCnPr/>
                                <wps:spPr>
                                  <a:xfrm>
                                    <a:off x="3540" y="1225"/>
                                    <a:ext cx="493" cy="1"/>
                                  </a:xfrm>
                                  <a:prstGeom prst="straightConnector1">
                                    <a:avLst/>
                                  </a:prstGeom>
                                  <a:ln w="9525" cap="flat" cmpd="sng">
                                    <a:solidFill>
                                      <a:srgbClr val="000001"/>
                                    </a:solidFill>
                                    <a:prstDash val="solid"/>
                                    <a:headEnd type="none" w="med" len="med"/>
                                    <a:tailEnd type="triangle" w="med" len="med"/>
                                  </a:ln>
                                </wps:spPr>
                                <wps:bodyPr/>
                              </wps:wsp>
                              <wps:wsp>
                                <wps:cNvPr id="160" name="文本框 2782"/>
                                <wps:cNvSpPr txBox="1"/>
                                <wps:spPr>
                                  <a:xfrm>
                                    <a:off x="5713" y="975"/>
                                    <a:ext cx="1020" cy="454"/>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r>
                                        <w:rPr>
                                          <w:rFonts w:hint="eastAsia"/>
                                        </w:rPr>
                                        <w:t>初沉池</w:t>
                                      </w:r>
                                    </w:p>
                                  </w:txbxContent>
                                </wps:txbx>
                                <wps:bodyPr upright="1"/>
                              </wps:wsp>
                              <wps:wsp>
                                <wps:cNvPr id="161" name="文本框 2783"/>
                                <wps:cNvSpPr txBox="1"/>
                                <wps:spPr>
                                  <a:xfrm>
                                    <a:off x="4033" y="975"/>
                                    <a:ext cx="1187" cy="454"/>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pPr>
                                      <w:r>
                                        <w:rPr>
                                          <w:rFonts w:hint="eastAsia"/>
                                        </w:rPr>
                                        <w:t>调节池</w:t>
                                      </w:r>
                                    </w:p>
                                  </w:txbxContent>
                                </wps:txbx>
                                <wps:bodyPr upright="1"/>
                              </wps:wsp>
                              <wps:wsp>
                                <wps:cNvPr id="162" name="自选图形 2784"/>
                                <wps:cNvCnPr/>
                                <wps:spPr>
                                  <a:xfrm>
                                    <a:off x="5220" y="1208"/>
                                    <a:ext cx="493" cy="1"/>
                                  </a:xfrm>
                                  <a:prstGeom prst="straightConnector1">
                                    <a:avLst/>
                                  </a:prstGeom>
                                  <a:ln w="9525" cap="flat" cmpd="sng">
                                    <a:solidFill>
                                      <a:srgbClr val="000001"/>
                                    </a:solidFill>
                                    <a:prstDash val="solid"/>
                                    <a:headEnd type="none" w="med" len="med"/>
                                    <a:tailEnd type="triangle" w="med" len="med"/>
                                  </a:ln>
                                </wps:spPr>
                                <wps:bodyPr/>
                              </wps:wsp>
                              <wps:wsp>
                                <wps:cNvPr id="163" name="自选图形 2785"/>
                                <wps:cNvCnPr/>
                                <wps:spPr>
                                  <a:xfrm>
                                    <a:off x="6733" y="1222"/>
                                    <a:ext cx="493" cy="1"/>
                                  </a:xfrm>
                                  <a:prstGeom prst="straightConnector1">
                                    <a:avLst/>
                                  </a:prstGeom>
                                  <a:ln w="9525" cap="flat" cmpd="sng">
                                    <a:solidFill>
                                      <a:srgbClr val="000001"/>
                                    </a:solidFill>
                                    <a:prstDash val="solid"/>
                                    <a:headEnd type="none" w="med" len="med"/>
                                    <a:tailEnd type="triangle" w="med" len="med"/>
                                  </a:ln>
                                </wps:spPr>
                                <wps:bodyPr/>
                              </wps:wsp>
                              <wps:wsp>
                                <wps:cNvPr id="164" name="自选图形 2786"/>
                                <wps:cNvCnPr/>
                                <wps:spPr>
                                  <a:xfrm>
                                    <a:off x="7963" y="1429"/>
                                    <a:ext cx="2" cy="391"/>
                                  </a:xfrm>
                                  <a:prstGeom prst="straightConnector1">
                                    <a:avLst/>
                                  </a:prstGeom>
                                  <a:ln w="9525" cap="flat" cmpd="sng">
                                    <a:solidFill>
                                      <a:srgbClr val="000001"/>
                                    </a:solidFill>
                                    <a:prstDash val="solid"/>
                                    <a:headEnd type="none" w="med" len="med"/>
                                    <a:tailEnd type="triangle" w="med" len="med"/>
                                  </a:ln>
                                </wps:spPr>
                                <wps:bodyPr/>
                              </wps:wsp>
                              <wps:wsp>
                                <wps:cNvPr id="165" name="自选图形 2787"/>
                                <wps:cNvCnPr/>
                                <wps:spPr>
                                  <a:xfrm flipH="1">
                                    <a:off x="6765" y="2027"/>
                                    <a:ext cx="510" cy="1"/>
                                  </a:xfrm>
                                  <a:prstGeom prst="straightConnector1">
                                    <a:avLst/>
                                  </a:prstGeom>
                                  <a:ln w="9525" cap="flat" cmpd="sng">
                                    <a:solidFill>
                                      <a:srgbClr val="000001"/>
                                    </a:solidFill>
                                    <a:prstDash val="solid"/>
                                    <a:headEnd type="none" w="med" len="med"/>
                                    <a:tailEnd type="triangle" w="med" len="med"/>
                                  </a:ln>
                                </wps:spPr>
                                <wps:bodyPr/>
                              </wps:wsp>
                              <wps:wsp>
                                <wps:cNvPr id="166" name="文本框 2788"/>
                                <wps:cNvSpPr txBox="1"/>
                                <wps:spPr>
                                  <a:xfrm>
                                    <a:off x="5713" y="1800"/>
                                    <a:ext cx="1020" cy="454"/>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r>
                                        <w:rPr>
                                          <w:rFonts w:hint="eastAsia"/>
                                        </w:rPr>
                                        <w:t>二沉池</w:t>
                                      </w:r>
                                    </w:p>
                                  </w:txbxContent>
                                </wps:txbx>
                                <wps:bodyPr upright="1"/>
                              </wps:wsp>
                              <wps:wsp>
                                <wps:cNvPr id="167" name="自选图形 2789"/>
                                <wps:cNvCnPr/>
                                <wps:spPr>
                                  <a:xfrm flipH="1">
                                    <a:off x="5089" y="2027"/>
                                    <a:ext cx="624" cy="1"/>
                                  </a:xfrm>
                                  <a:prstGeom prst="straightConnector1">
                                    <a:avLst/>
                                  </a:prstGeom>
                                  <a:ln w="9525" cap="flat" cmpd="sng">
                                    <a:solidFill>
                                      <a:srgbClr val="000001"/>
                                    </a:solidFill>
                                    <a:prstDash val="solid"/>
                                    <a:headEnd type="none" w="med" len="med"/>
                                    <a:tailEnd type="triangle" w="med" len="med"/>
                                  </a:ln>
                                </wps:spPr>
                                <wps:bodyPr/>
                              </wps:wsp>
                              <wps:wsp>
                                <wps:cNvPr id="168" name="文本框 2790"/>
                                <wps:cNvSpPr txBox="1"/>
                                <wps:spPr>
                                  <a:xfrm>
                                    <a:off x="3885" y="1800"/>
                                    <a:ext cx="1185" cy="454"/>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r>
                                        <w:rPr>
                                          <w:rFonts w:hint="eastAsia"/>
                                        </w:rPr>
                                        <w:t>过滤消毒</w:t>
                                      </w:r>
                                    </w:p>
                                  </w:txbxContent>
                                </wps:txbx>
                                <wps:bodyPr upright="1"/>
                              </wps:wsp>
                              <wps:wsp>
                                <wps:cNvPr id="169" name="自选图形 2791"/>
                                <wps:cNvCnPr/>
                                <wps:spPr>
                                  <a:xfrm flipH="1">
                                    <a:off x="3318" y="2027"/>
                                    <a:ext cx="567" cy="1"/>
                                  </a:xfrm>
                                  <a:prstGeom prst="straightConnector1">
                                    <a:avLst/>
                                  </a:prstGeom>
                                  <a:ln w="9525" cap="flat" cmpd="sng">
                                    <a:solidFill>
                                      <a:srgbClr val="000001"/>
                                    </a:solidFill>
                                    <a:prstDash val="solid"/>
                                    <a:headEnd type="none" w="med" len="med"/>
                                    <a:tailEnd type="triangle" w="med" len="med"/>
                                  </a:ln>
                                </wps:spPr>
                                <wps:bodyPr/>
                              </wps:wsp>
                              <wps:wsp>
                                <wps:cNvPr id="170" name="自选图形 2793"/>
                                <wps:cNvCnPr/>
                                <wps:spPr>
                                  <a:xfrm flipH="1">
                                    <a:off x="1710" y="2027"/>
                                    <a:ext cx="510" cy="1"/>
                                  </a:xfrm>
                                  <a:prstGeom prst="straightConnector1">
                                    <a:avLst/>
                                  </a:prstGeom>
                                  <a:ln w="9525" cap="flat" cmpd="sng">
                                    <a:solidFill>
                                      <a:srgbClr val="000001"/>
                                    </a:solidFill>
                                    <a:prstDash val="solid"/>
                                    <a:headEnd type="none" w="med" len="med"/>
                                    <a:tailEnd type="triangle" w="med" len="med"/>
                                  </a:ln>
                                </wps:spPr>
                                <wps:bodyPr/>
                              </wps:wsp>
                              <wps:wsp>
                                <wps:cNvPr id="171" name="文本框 2794"/>
                                <wps:cNvSpPr txBox="1"/>
                                <wps:spPr>
                                  <a:xfrm>
                                    <a:off x="1013" y="1800"/>
                                    <a:ext cx="772" cy="454"/>
                                  </a:xfrm>
                                  <a:prstGeom prst="rect">
                                    <a:avLst/>
                                  </a:prstGeom>
                                  <a:noFill/>
                                  <a:ln w="9525">
                                    <a:noFill/>
                                  </a:ln>
                                </wps:spPr>
                                <wps:txbx>
                                  <w:txbxContent>
                                    <w:p>
                                      <w:pPr>
                                        <w:rPr>
                                          <w:rFonts w:hint="eastAsia" w:eastAsia="宋体"/>
                                          <w:lang w:eastAsia="zh-CN"/>
                                        </w:rPr>
                                      </w:pPr>
                                      <w:r>
                                        <w:rPr>
                                          <w:rFonts w:hint="eastAsia"/>
                                          <w:lang w:eastAsia="zh-CN"/>
                                        </w:rPr>
                                        <w:t>潖江</w:t>
                                      </w:r>
                                    </w:p>
                                  </w:txbxContent>
                                </wps:txbx>
                                <wps:bodyPr upright="1"/>
                              </wps:wsp>
                            </wpg:wgp>
                          </wpc:wpc>
                        </a:graphicData>
                      </a:graphic>
                    </wp:inline>
                  </w:drawing>
                </mc:Choice>
                <mc:Fallback>
                  <w:pict>
                    <v:group id="画布 2771" o:spid="_x0000_s1026" o:spt="203" style="height:66.95pt;width:458.2pt;" coordsize="5819140,850265" editas="canvas" o:gfxdata="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AAAAAGRycy9QSwECFAAUAAAA&#10;CACHTuJAFYUB1tcAAAAFAQAADwAAAAAAAAABACAAAAAiAAAAZHJzL2Rvd25yZXYueG1sUEsBAhQA&#10;FAAAAAgAh07iQEcLfV2DBQAAzDAAAA4AAAAAAAAAAQAgAAAAJgEAAGRycy9lMm9Eb2MueG1sUEsF&#10;BgAAAAAGAAYAWQEAABsJAAAAAA==&#10;">
                      <o:lock v:ext="edit" aspectratio="f"/>
                      <v:shape id="画布 2771" o:spid="_x0000_s1026" style="position:absolute;left:0;top:0;height:850265;width:5819140;" filled="f" stroked="f" coordsize="21600,21600" o:gfxdata="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AAAAAGRycy9QSwECFAAUAAAA&#10;CACHTuJAFYUB1tcAAAAFAQAADwAAAAAAAAABACAAAAAiAAAAZHJzL2Rvd25yZXYueG1sUEsBAhQA&#10;FAAAAAgAh07iQGkQLT6DBQAASzAAAA4AAAAAAAAAAQAgAAAAJgEAAGRycy9lMm9Eb2MueG1sUEsF&#10;BgAAAAAGAAYAWQEAABsJAAAAAA==&#10;">
                        <v:fill on="f" focussize="0,0"/>
                        <v:stroke on="f"/>
                        <v:imagedata o:title=""/>
                        <o:lock v:ext="edit" aspectratio="t"/>
                      </v:shape>
                      <v:group id="组合 385" o:spid="_x0000_s1026" o:spt="203" style="position:absolute;left:256540;top:0;height:812772;width:5276850;" coordorigin="390,975" coordsize="8310,1279" o:gfxdata="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">
                        <o:lock v:ext="edit" aspectratio="f"/>
                        <v:shape id="文本框 2792" o:spid="_x0000_s1026" o:spt="202" type="#_x0000_t202" style="position:absolute;left:2220;top:1800;height:454;width:1065;" fillcolor="#FFFFFF" filled="t" stroked="t" coordsize="21600,21600" o:gfxdata="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8oYEr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color="#000001" joinstyle="miter"/>
                          <v:imagedata o:title=""/>
                          <o:lock v:ext="edit" aspectratio="f"/>
                          <v:textbox>
                            <w:txbxContent>
                              <w:p>
                                <w:r>
                                  <w:rPr>
                                    <w:rFonts w:hint="eastAsia"/>
                                  </w:rPr>
                                  <w:t>清水池</w:t>
                                </w:r>
                              </w:p>
                            </w:txbxContent>
                          </v:textbox>
                        </v:shape>
                        <v:shape id="文本框 2776" o:spid="_x0000_s1026" o:spt="202" type="#_x0000_t202" style="position:absolute;left:2115;top:975;height:454;width:1425;" fillcolor="#FFFFFF" filled="t" stroked="t" coordsize="21600,21600" o:gfxdata="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AZr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color="#000001" joinstyle="miter"/>
                          <v:imagedata o:title=""/>
                          <o:lock v:ext="edit" aspectratio="f"/>
                          <v:textbox>
                            <w:txbxContent>
                              <w:p>
                                <w:pPr>
                                  <w:jc w:val="center"/>
                                </w:pPr>
                                <w:r>
                                  <w:rPr>
                                    <w:rFonts w:hint="eastAsia"/>
                                  </w:rPr>
                                  <w:t>化粪池</w:t>
                                </w:r>
                              </w:p>
                            </w:txbxContent>
                          </v:textbox>
                        </v:shape>
                        <v:shape id="文本框 2777" o:spid="_x0000_s1026" o:spt="202" type="#_x0000_t202" style="position:absolute;left:390;top:975;height:454;width:1186;" filled="f" stroked="f" coordsize="21600,21600" o:gfxdata="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qU6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r>
                                  <w:rPr>
                                    <w:rFonts w:hint="eastAsia"/>
                                  </w:rPr>
                                  <w:t>冲厕污水</w:t>
                                </w:r>
                              </w:p>
                            </w:txbxContent>
                          </v:textbox>
                        </v:shape>
                        <v:shape id="自选图形 2778" o:spid="_x0000_s1026" o:spt="32" type="#_x0000_t32" style="position:absolute;left:1561;top:1223;height:1;width:493;" filled="f" stroked="t" coordsize="21600,21600" o:gfxdata="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l9UfvQAA&#10;ANwAAAAPAAAAAAAAAAEAIAAAACIAAABkcnMvZG93bnJldi54bWxQSwECFAAUAAAACACHTuJAMy8F&#10;njsAAAA5AAAAEAAAAAAAAAABACAAAAAMAQAAZHJzL3NoYXBleG1sLnhtbFBLBQYAAAAABgAGAFsB&#10;AAC2AwAAAAA=&#10;">
                          <v:fill on="f" focussize="0,0"/>
                          <v:stroke color="#000001" joinstyle="round" endarrow="block"/>
                          <v:imagedata o:title=""/>
                          <o:lock v:ext="edit" aspectratio="f"/>
                        </v:shape>
                        <v:shape id="文本框 2779" o:spid="_x0000_s1026" o:spt="202" type="#_x0000_t202" style="position:absolute;left:7275;top:1800;height:454;width:1425;" fillcolor="#FFFFFF" filled="t" stroked="t" coordsize="21600,21600" o:gfxdata="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PEeEb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color="#000001" joinstyle="miter"/>
                          <v:imagedata o:title=""/>
                          <o:lock v:ext="edit" aspectratio="f"/>
                          <v:textbox>
                            <w:txbxContent>
                              <w:p>
                                <w:r>
                                  <w:rPr>
                                    <w:rFonts w:hint="eastAsia"/>
                                  </w:rPr>
                                  <w:t>O级生化池</w:t>
                                </w:r>
                              </w:p>
                            </w:txbxContent>
                          </v:textbox>
                        </v:shape>
                        <v:shape id="文本框 2780" o:spid="_x0000_s1026" o:spt="202" type="#_x0000_t202" style="position:absolute;left:7226;top:975;height:454;width:1474;" fillcolor="#FFFFFF" filled="t" stroked="t" coordsize="21600,21600" o:gfxdata="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bopj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000001" joinstyle="miter"/>
                          <v:imagedata o:title=""/>
                          <o:lock v:ext="edit" aspectratio="f"/>
                          <v:textbox>
                            <w:txbxContent>
                              <w:p>
                                <w:r>
                                  <w:rPr>
                                    <w:rFonts w:hint="eastAsia"/>
                                  </w:rPr>
                                  <w:t>A级生化池</w:t>
                                </w:r>
                              </w:p>
                            </w:txbxContent>
                          </v:textbox>
                        </v:shape>
                        <v:shape id="自选图形 2781" o:spid="_x0000_s1026" o:spt="32" type="#_x0000_t32" style="position:absolute;left:3540;top:1225;height:1;width:493;" filled="f" stroked="t" coordsize="21600,21600" o:gfxdata="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Bbb4A&#10;AADcAAAADwAAAAAAAAABACAAAAAiAAAAZHJzL2Rvd25yZXYueG1sUEsBAhQAFAAAAAgAh07iQDMv&#10;BZ47AAAAOQAAABAAAAAAAAAAAQAgAAAADQEAAGRycy9zaGFwZXhtbC54bWxQSwUGAAAAAAYABgBb&#10;AQAAtwMAAAAA&#10;">
                          <v:fill on="f" focussize="0,0"/>
                          <v:stroke color="#000001" joinstyle="round" endarrow="block"/>
                          <v:imagedata o:title=""/>
                          <o:lock v:ext="edit" aspectratio="f"/>
                        </v:shape>
                        <v:shape id="文本框 2782" o:spid="_x0000_s1026" o:spt="202" type="#_x0000_t202" style="position:absolute;left:5713;top:975;height:454;width:1020;" fillcolor="#FFFFFF" filled="t" stroked="t" coordsize="21600,21600" o:gfxdata="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EzY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000001" joinstyle="miter"/>
                          <v:imagedata o:title=""/>
                          <o:lock v:ext="edit" aspectratio="f"/>
                          <v:textbox>
                            <w:txbxContent>
                              <w:p>
                                <w:r>
                                  <w:rPr>
                                    <w:rFonts w:hint="eastAsia"/>
                                  </w:rPr>
                                  <w:t>初沉池</w:t>
                                </w:r>
                              </w:p>
                            </w:txbxContent>
                          </v:textbox>
                        </v:shape>
                        <v:shape id="文本框 2783" o:spid="_x0000_s1026" o:spt="202" type="#_x0000_t202" style="position:absolute;left:4033;top:975;height:454;width:1187;" fillcolor="#FFFFFF" filled="t" stroked="t" coordsize="21600,21600" o:gfxdata="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jpQ7sAAADc&#10;AAAADwAAAAAAAAABACAAAAAiAAAAZHJzL2Rvd25yZXYueG1sUEsBAhQAFAAAAAgAh07iQDMvBZ47&#10;AAAAOQAAABAAAAAAAAAAAQAgAAAACgEAAGRycy9zaGFwZXhtbC54bWxQSwUGAAAAAAYABgBbAQAA&#10;tAMAAAAA&#10;">
                          <v:fill type="gradient" on="t" color2="#FFFFFF" angle="90" focus="100%" focussize="0,0">
                            <o:fill type="gradientUnscaled" v:ext="backwardCompatible"/>
                          </v:fill>
                          <v:stroke color="#000001" joinstyle="miter"/>
                          <v:imagedata o:title=""/>
                          <o:lock v:ext="edit" aspectratio="f"/>
                          <v:textbox>
                            <w:txbxContent>
                              <w:p>
                                <w:pPr>
                                  <w:jc w:val="center"/>
                                </w:pPr>
                                <w:r>
                                  <w:rPr>
                                    <w:rFonts w:hint="eastAsia"/>
                                  </w:rPr>
                                  <w:t>调节池</w:t>
                                </w:r>
                              </w:p>
                            </w:txbxContent>
                          </v:textbox>
                        </v:shape>
                        <v:shape id="自选图形 2784" o:spid="_x0000_s1026" o:spt="32" type="#_x0000_t32" style="position:absolute;left:5220;top:1208;height:1;width:493;" filled="f" stroked="t" coordsize="21600,21600" o:gfxdata="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AZob4A&#10;AADcAAAADwAAAAAAAAABACAAAAAiAAAAZHJzL2Rvd25yZXYueG1sUEsBAhQAFAAAAAgAh07iQDMv&#10;BZ47AAAAOQAAABAAAAAAAAAAAQAgAAAADQEAAGRycy9zaGFwZXhtbC54bWxQSwUGAAAAAAYABgBb&#10;AQAAtwMAAAAA&#10;">
                          <v:fill on="f" focussize="0,0"/>
                          <v:stroke color="#000001" joinstyle="round" endarrow="block"/>
                          <v:imagedata o:title=""/>
                          <o:lock v:ext="edit" aspectratio="f"/>
                        </v:shape>
                        <v:shape id="自选图形 2785" o:spid="_x0000_s1026" o:spt="32" type="#_x0000_t32" style="position:absolute;left:6733;top:1222;height:1;width:493;" filled="f" stroked="t" coordsize="21600,21600" o:gfxdata="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y8Or4A&#10;AADcAAAADwAAAAAAAAABACAAAAAiAAAAZHJzL2Rvd25yZXYueG1sUEsBAhQAFAAAAAgAh07iQDMv&#10;BZ47AAAAOQAAABAAAAAAAAAAAQAgAAAADQEAAGRycy9zaGFwZXhtbC54bWxQSwUGAAAAAAYABgBb&#10;AQAAtwMAAAAA&#10;">
                          <v:fill on="f" focussize="0,0"/>
                          <v:stroke color="#000001" joinstyle="round" endarrow="block"/>
                          <v:imagedata o:title=""/>
                          <o:lock v:ext="edit" aspectratio="f"/>
                        </v:shape>
                        <v:shape id="自选图形 2786" o:spid="_x0000_s1026" o:spt="32" type="#_x0000_t32" style="position:absolute;left:7963;top:1429;height:391;width:2;" filled="f" stroked="t" coordsize="21600,21600" o:gfxdata="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ZSROvQAA&#10;ANwAAAAPAAAAAAAAAAEAIAAAACIAAABkcnMvZG93bnJldi54bWxQSwECFAAUAAAACACHTuJAMy8F&#10;njsAAAA5AAAAEAAAAAAAAAABACAAAAAMAQAAZHJzL3NoYXBleG1sLnhtbFBLBQYAAAAABgAGAFsB&#10;AAC2AwAAAAA=&#10;">
                          <v:fill on="f" focussize="0,0"/>
                          <v:stroke color="#000001" joinstyle="round" endarrow="block"/>
                          <v:imagedata o:title=""/>
                          <o:lock v:ext="edit" aspectratio="f"/>
                        </v:shape>
                        <v:shape id="自选图形 2787" o:spid="_x0000_s1026" o:spt="32" type="#_x0000_t32" style="position:absolute;left:6765;top:2027;flip:x;height:1;width:510;" filled="f" stroked="t" coordsize="21600,21600" o:gfxdata="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j7vxLgAAADcAAAA&#10;DwAAAAAAAAABACAAAAAiAAAAZHJzL2Rvd25yZXYueG1sUEsBAhQAFAAAAAgAh07iQDMvBZ47AAAA&#10;OQAAABAAAAAAAAAAAQAgAAAABwEAAGRycy9zaGFwZXhtbC54bWxQSwUGAAAAAAYABgBbAQAAsQMA&#10;AAAA&#10;">
                          <v:fill on="f" focussize="0,0"/>
                          <v:stroke color="#000001" joinstyle="round" endarrow="block"/>
                          <v:imagedata o:title=""/>
                          <o:lock v:ext="edit" aspectratio="f"/>
                        </v:shape>
                        <v:shape id="文本框 2788" o:spid="_x0000_s1026" o:spt="202" type="#_x0000_t202" style="position:absolute;left:5713;top:1800;height:454;width:1020;" fillcolor="#FFFFFF" filled="t" stroked="t" coordsize="21600,21600" o:gfxdata="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RcTe5AAAA3AAA&#10;AA8AAAAAAAAAAQAgAAAAIgAAAGRycy9kb3ducmV2LnhtbFBLAQIUABQAAAAIAIdO4kAzLwWeOwAA&#10;ADkAAAAQAAAAAAAAAAEAIAAAAAgBAABkcnMvc2hhcGV4bWwueG1sUEsFBgAAAAAGAAYAWwEAALID&#10;AAAAAA==&#10;">
                          <v:fill type="gradient" on="t" color2="#FFFFFF" angle="90" focus="100%" focussize="0,0">
                            <o:fill type="gradientUnscaled" v:ext="backwardCompatible"/>
                          </v:fill>
                          <v:stroke color="#000001" joinstyle="miter"/>
                          <v:imagedata o:title=""/>
                          <o:lock v:ext="edit" aspectratio="f"/>
                          <v:textbox>
                            <w:txbxContent>
                              <w:p>
                                <w:r>
                                  <w:rPr>
                                    <w:rFonts w:hint="eastAsia"/>
                                  </w:rPr>
                                  <w:t>二沉池</w:t>
                                </w:r>
                              </w:p>
                            </w:txbxContent>
                          </v:textbox>
                        </v:shape>
                        <v:shape id="自选图形 2789" o:spid="_x0000_s1026" o:spt="32" type="#_x0000_t32" style="position:absolute;left:5089;top:2027;flip:x;height:1;width:624;" filled="f" stroked="t" coordsize="21600,21600" o:gfxdata="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Wg1Ci5AAAA3AAA&#10;AA8AAAAAAAAAAQAgAAAAIgAAAGRycy9kb3ducmV2LnhtbFBLAQIUABQAAAAIAIdO4kAzLwWeOwAA&#10;ADkAAAAQAAAAAAAAAAEAIAAAAAgBAABkcnMvc2hhcGV4bWwueG1sUEsFBgAAAAAGAAYAWwEAALID&#10;AAAAAA==&#10;">
                          <v:fill on="f" focussize="0,0"/>
                          <v:stroke color="#000001" joinstyle="round" endarrow="block"/>
                          <v:imagedata o:title=""/>
                          <o:lock v:ext="edit" aspectratio="f"/>
                        </v:shape>
                        <v:shape id="文本框 2790" o:spid="_x0000_s1026" o:spt="202" type="#_x0000_t202" style="position:absolute;left:3885;top:1800;height:454;width:1185;" fillcolor="#FFFFFF" filled="t" stroked="t" coordsize="21600,21600" o:gfxdata="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AkDevQAA&#10;ANwAAAAPAAAAAAAAAAEAIAAAACIAAABkcnMvZG93bnJldi54bWxQSwECFAAUAAAACACHTuJAMy8F&#10;njsAAAA5AAAAEAAAAAAAAAABACAAAAAMAQAAZHJzL3NoYXBleG1sLnhtbFBLBQYAAAAABgAGAFsB&#10;AAC2AwAAAAA=&#10;">
                          <v:fill type="gradient" on="t" color2="#FFFFFF" angle="90" focus="100%" focussize="0,0">
                            <o:fill type="gradientUnscaled" v:ext="backwardCompatible"/>
                          </v:fill>
                          <v:stroke color="#000001" joinstyle="miter"/>
                          <v:imagedata o:title=""/>
                          <o:lock v:ext="edit" aspectratio="f"/>
                          <v:textbox>
                            <w:txbxContent>
                              <w:p>
                                <w:r>
                                  <w:rPr>
                                    <w:rFonts w:hint="eastAsia"/>
                                  </w:rPr>
                                  <w:t>过滤消毒</w:t>
                                </w:r>
                              </w:p>
                            </w:txbxContent>
                          </v:textbox>
                        </v:shape>
                        <v:shape id="自选图形 2791" o:spid="_x0000_s1026" o:spt="32" type="#_x0000_t32" style="position:absolute;left:3318;top:2027;flip:x;height:1;width:567;" filled="f" stroked="t" coordsize="21600,21600" o:gfxdata="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tz5cG5AAAA3AAA&#10;AA8AAAAAAAAAAQAgAAAAIgAAAGRycy9kb3ducmV2LnhtbFBLAQIUABQAAAAIAIdO4kAzLwWeOwAA&#10;ADkAAAAQAAAAAAAAAAEAIAAAAAgBAABkcnMvc2hhcGV4bWwueG1sUEsFBgAAAAAGAAYAWwEAALID&#10;AAAAAA==&#10;">
                          <v:fill on="f" focussize="0,0"/>
                          <v:stroke color="#000001" joinstyle="round" endarrow="block"/>
                          <v:imagedata o:title=""/>
                          <o:lock v:ext="edit" aspectratio="f"/>
                        </v:shape>
                        <v:shape id="自选图形 2793" o:spid="_x0000_s1026" o:spt="32" type="#_x0000_t32" style="position:absolute;left:1710;top:2027;flip:x;height:1;width:510;" filled="f" stroked="t" coordsize="21600,21600" o:gfxdata="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NqBvQAA&#10;ANwAAAAPAAAAAAAAAAEAIAAAACIAAABkcnMvZG93bnJldi54bWxQSwECFAAUAAAACACHTuJAMy8F&#10;njsAAAA5AAAAEAAAAAAAAAABACAAAAAMAQAAZHJzL3NoYXBleG1sLnhtbFBLBQYAAAAABgAGAFsB&#10;AAC2AwAAAAA=&#10;">
                          <v:fill on="f" focussize="0,0"/>
                          <v:stroke color="#000001" joinstyle="round" endarrow="block"/>
                          <v:imagedata o:title=""/>
                          <o:lock v:ext="edit" aspectratio="f"/>
                        </v:shape>
                        <v:shape id="文本框 2794" o:spid="_x0000_s1026" o:spt="202" type="#_x0000_t202" style="position:absolute;left:1013;top:1800;height:454;width:772;" filled="f" stroked="f" coordsize="21600,21600" o:gfxdata="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Ezo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eastAsia="宋体"/>
                                    <w:lang w:eastAsia="zh-CN"/>
                                  </w:rPr>
                                </w:pPr>
                                <w:r>
                                  <w:rPr>
                                    <w:rFonts w:hint="eastAsia"/>
                                    <w:lang w:eastAsia="zh-CN"/>
                                  </w:rPr>
                                  <w:t>潖江</w:t>
                                </w:r>
                              </w:p>
                            </w:txbxContent>
                          </v:textbox>
                        </v:shape>
                      </v:group>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图</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9.</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生活污水处理工艺流程</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生产废水处理工艺流程：</w: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1807845</wp:posOffset>
                      </wp:positionH>
                      <wp:positionV relativeFrom="paragraph">
                        <wp:posOffset>85090</wp:posOffset>
                      </wp:positionV>
                      <wp:extent cx="841375" cy="278130"/>
                      <wp:effectExtent l="5080" t="4445" r="10795" b="22225"/>
                      <wp:wrapNone/>
                      <wp:docPr id="17" name="文本框 17"/>
                      <wp:cNvGraphicFramePr/>
                      <a:graphic xmlns:a="http://schemas.openxmlformats.org/drawingml/2006/main">
                        <a:graphicData uri="http://schemas.microsoft.com/office/word/2010/wordprocessingShape">
                          <wps:wsp>
                            <wps:cNvSpPr txBox="1"/>
                            <wps:spPr>
                              <a:xfrm>
                                <a:off x="0" y="0"/>
                                <a:ext cx="841375" cy="27813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rPr>
                                  </w:pPr>
                                  <w:r>
                                    <w:rPr>
                                      <w:rFonts w:hint="eastAsia"/>
                                    </w:rPr>
                                    <w:t>生产废水</w:t>
                                  </w:r>
                                </w:p>
                              </w:txbxContent>
                            </wps:txbx>
                            <wps:bodyPr upright="1"/>
                          </wps:wsp>
                        </a:graphicData>
                      </a:graphic>
                    </wp:anchor>
                  </w:drawing>
                </mc:Choice>
                <mc:Fallback>
                  <w:pict>
                    <v:shape id="_x0000_s1026" o:spid="_x0000_s1026" o:spt="202" type="#_x0000_t202" style="position:absolute;left:0pt;margin-left:142.35pt;margin-top:6.7pt;height:21.9pt;width:66.25pt;z-index:251710464;mso-width-relative:page;mso-height-relative:page;" fillcolor="#FFFFFF" filled="t" stroked="t" coordsize="21600,21600" o:gfxdata="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A19jv2AAAAAkBAAAPAAAAAAAAAAEAIAAAACIAAABkcnMvZG93bnJldi54bWxQSwECFAAU&#10;AAAACACHTuJAXJ6iLSoCAABwBAAADgAAAAAAAAABACAAAAAnAQAAZHJzL2Uyb0RvYy54bWxQSwUG&#10;AAAAAAYABgBZAQAAwwUAAAAA&#10;">
                      <v:fill type="gradient" on="t" color2="#FFFFFF" angle="90" focus="100%" focussize="0,0">
                        <o:fill type="gradientUnscaled" v:ext="backwardCompatible"/>
                      </v:fill>
                      <v:stroke color="#000001" joinstyle="miter"/>
                      <v:imagedata o:title=""/>
                      <o:lock v:ext="edit" aspectratio="f"/>
                      <v:textbox>
                        <w:txbxContent>
                          <w:p>
                            <w:pPr>
                              <w:jc w:val="center"/>
                              <w:rPr>
                                <w:rFonts w:hint="eastAsia"/>
                              </w:rPr>
                            </w:pPr>
                            <w:r>
                              <w:rPr>
                                <w:rFonts w:hint="eastAsia"/>
                              </w:rPr>
                              <w:t>生产废水</w:t>
                            </w:r>
                          </w:p>
                        </w:txbxContent>
                      </v:textbox>
                    </v:shape>
                  </w:pict>
                </mc:Fallback>
              </mc:AlternateConten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13536" behindDoc="0" locked="0" layoutInCell="1" allowOverlap="1">
                      <wp:simplePos x="0" y="0"/>
                      <wp:positionH relativeFrom="column">
                        <wp:posOffset>2245995</wp:posOffset>
                      </wp:positionH>
                      <wp:positionV relativeFrom="paragraph">
                        <wp:posOffset>73660</wp:posOffset>
                      </wp:positionV>
                      <wp:extent cx="635" cy="212725"/>
                      <wp:effectExtent l="37465" t="0" r="38100" b="15875"/>
                      <wp:wrapNone/>
                      <wp:docPr id="11" name="直接连接符 11"/>
                      <wp:cNvGraphicFramePr/>
                      <a:graphic xmlns:a="http://schemas.openxmlformats.org/drawingml/2006/main">
                        <a:graphicData uri="http://schemas.microsoft.com/office/word/2010/wordprocessingShape">
                          <wps:wsp>
                            <wps:cNvCnPr/>
                            <wps:spPr>
                              <a:xfrm>
                                <a:off x="0" y="0"/>
                                <a:ext cx="635" cy="212725"/>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6.85pt;margin-top:5.8pt;height:16.75pt;width:0.05pt;z-index:251713536;mso-width-relative:page;mso-height-relative:page;" filled="f" stroked="t" coordsize="21600,21600" o:gfxdata="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bx0sjWAAAACQEA&#10;AA8AAAAAAAAAAQAgAAAAIgAAAGRycy9kb3ducmV2LnhtbFBLAQIUABQAAAAIAIdO4kC+YYKc4wEA&#10;AJ0DAAAOAAAAAAAAAAEAIAAAACUBAABkcnMvZTJvRG9jLnhtbFBLBQYAAAAABgAGAFkBAAB6BQAA&#10;AAA=&#10;">
                      <v:fill on="f" focussize="0,0"/>
                      <v:stroke color="#000001" joinstyle="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1812925</wp:posOffset>
                      </wp:positionH>
                      <wp:positionV relativeFrom="paragraph">
                        <wp:posOffset>292100</wp:posOffset>
                      </wp:positionV>
                      <wp:extent cx="827405" cy="263525"/>
                      <wp:effectExtent l="4445" t="4445" r="6350" b="17780"/>
                      <wp:wrapNone/>
                      <wp:docPr id="21" name="文本框 21"/>
                      <wp:cNvGraphicFramePr/>
                      <a:graphic xmlns:a="http://schemas.openxmlformats.org/drawingml/2006/main">
                        <a:graphicData uri="http://schemas.microsoft.com/office/word/2010/wordprocessingShape">
                          <wps:wsp>
                            <wps:cNvSpPr txBox="1"/>
                            <wps:spPr>
                              <a:xfrm>
                                <a:off x="0" y="0"/>
                                <a:ext cx="827405" cy="263525"/>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eastAsia="宋体"/>
                                      <w:lang w:val="en-US" w:eastAsia="zh-CN"/>
                                    </w:rPr>
                                  </w:pPr>
                                  <w:r>
                                    <w:rPr>
                                      <w:rFonts w:hint="eastAsia"/>
                                    </w:rPr>
                                    <w:t>调节池</w:t>
                                  </w:r>
                                  <w:r>
                                    <w:rPr>
                                      <w:rFonts w:hint="eastAsia"/>
                                      <w:lang w:val="en-US" w:eastAsia="zh-CN"/>
                                    </w:rPr>
                                    <w:t>1</w:t>
                                  </w:r>
                                </w:p>
                              </w:txbxContent>
                            </wps:txbx>
                            <wps:bodyPr upright="1"/>
                          </wps:wsp>
                        </a:graphicData>
                      </a:graphic>
                    </wp:anchor>
                  </w:drawing>
                </mc:Choice>
                <mc:Fallback>
                  <w:pict>
                    <v:shape id="_x0000_s1026" o:spid="_x0000_s1026" o:spt="202" type="#_x0000_t202" style="position:absolute;left:0pt;margin-left:142.75pt;margin-top:23pt;height:20.75pt;width:65.15pt;z-index:251711488;mso-width-relative:page;mso-height-relative:page;" fillcolor="#FFFFFF" filled="t" stroked="t" coordsize="21600,21600" o:gfxdata="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8icvm2AAAAAkBAAAPAAAAAAAAAAEAIAAAACIAAABkcnMvZG93bnJldi54bWxQSwECFAAU&#10;AAAACACHTuJAX0zNDyoCAABwBAAADgAAAAAAAAABACAAAAAnAQAAZHJzL2Uyb0RvYy54bWxQSwUG&#10;AAAAAAYABgBZAQAAwwUAAAAA&#10;">
                      <v:fill type="gradient" on="t" color2="#FFFFFF" angle="90" focus="100%" focussize="0,0">
                        <o:fill type="gradientUnscaled" v:ext="backwardCompatible"/>
                      </v:fill>
                      <v:stroke color="#000001" joinstyle="miter"/>
                      <v:imagedata o:title=""/>
                      <o:lock v:ext="edit" aspectratio="f"/>
                      <v:textbox>
                        <w:txbxContent>
                          <w:p>
                            <w:pPr>
                              <w:jc w:val="center"/>
                              <w:rPr>
                                <w:rFonts w:hint="eastAsia" w:eastAsia="宋体"/>
                                <w:lang w:val="en-US" w:eastAsia="zh-CN"/>
                              </w:rPr>
                            </w:pPr>
                            <w:r>
                              <w:rPr>
                                <w:rFonts w:hint="eastAsia"/>
                              </w:rPr>
                              <w:t>调节池</w:t>
                            </w:r>
                            <w:r>
                              <w:rPr>
                                <w:rFonts w:hint="eastAsia"/>
                                <w:lang w:val="en-US" w:eastAsia="zh-CN"/>
                              </w:rPr>
                              <w:t>1</w:t>
                            </w:r>
                          </w:p>
                        </w:txbxContent>
                      </v:textbox>
                    </v:shape>
                  </w:pict>
                </mc:Fallback>
              </mc:AlternateConten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815975</wp:posOffset>
                      </wp:positionH>
                      <wp:positionV relativeFrom="paragraph">
                        <wp:posOffset>192405</wp:posOffset>
                      </wp:positionV>
                      <wp:extent cx="974090" cy="635"/>
                      <wp:effectExtent l="0" t="37465" r="16510" b="38100"/>
                      <wp:wrapNone/>
                      <wp:docPr id="47" name="直接连接符 47"/>
                      <wp:cNvGraphicFramePr/>
                      <a:graphic xmlns:a="http://schemas.openxmlformats.org/drawingml/2006/main">
                        <a:graphicData uri="http://schemas.microsoft.com/office/word/2010/wordprocessingShape">
                          <wps:wsp>
                            <wps:cNvCnPr/>
                            <wps:spPr>
                              <a:xfrm>
                                <a:off x="0" y="0"/>
                                <a:ext cx="974090" cy="635"/>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4.25pt;margin-top:15.15pt;height:0.05pt;width:76.7pt;z-index:251812864;mso-width-relative:page;mso-height-relative:page;" filled="f" stroked="t" coordsize="21600,21600" o:gfxdata="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O9NZPWAAAACQEA&#10;AA8AAAAAAAAAAQAgAAAAIgAAAGRycy9kb3ducmV2LnhtbFBLAQIUABQAAAAIAIdO4kDx99XU4wEA&#10;AJ0DAAAOAAAAAAAAAAEAIAAAACUBAABkcnMvZTJvRG9jLnhtbFBLBQYAAAAABgAGAFkBAAB6BQAA&#10;AAA=&#10;">
                      <v:fill on="f" focussize="0,0"/>
                      <v:stroke color="#000001" joinstyle="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20704" behindDoc="0" locked="0" layoutInCell="1" allowOverlap="1">
                      <wp:simplePos x="0" y="0"/>
                      <wp:positionH relativeFrom="column">
                        <wp:posOffset>800735</wp:posOffset>
                      </wp:positionH>
                      <wp:positionV relativeFrom="paragraph">
                        <wp:posOffset>24130</wp:posOffset>
                      </wp:positionV>
                      <wp:extent cx="909320" cy="24193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09320" cy="241935"/>
                              </a:xfrm>
                              <a:prstGeom prst="rect">
                                <a:avLst/>
                              </a:prstGeom>
                              <a:noFill/>
                              <a:ln>
                                <a:noFill/>
                              </a:ln>
                            </wps:spPr>
                            <wps:txbx>
                              <w:txbxContent>
                                <w:p>
                                  <w:pPr>
                                    <w:rPr>
                                      <w:rFonts w:hint="default"/>
                                      <w:lang w:val="en-US"/>
                                    </w:rPr>
                                  </w:pPr>
                                  <w:r>
                                    <w:rPr>
                                      <w:rFonts w:hint="eastAsia"/>
                                      <w:lang w:val="en-US" w:eastAsia="zh-CN"/>
                                    </w:rPr>
                                    <w:t>NaOH、</w:t>
                                  </w:r>
                                  <w:r>
                                    <w:rPr>
                                      <w:rFonts w:hint="eastAsia"/>
                                    </w:rPr>
                                    <w:t>PAM</w:t>
                                  </w:r>
                                </w:p>
                              </w:txbxContent>
                            </wps:txbx>
                            <wps:bodyPr lIns="0" tIns="0" rIns="0" bIns="0" upright="1"/>
                          </wps:wsp>
                        </a:graphicData>
                      </a:graphic>
                    </wp:anchor>
                  </w:drawing>
                </mc:Choice>
                <mc:Fallback>
                  <w:pict>
                    <v:shape id="_x0000_s1026" o:spid="_x0000_s1026" o:spt="202" type="#_x0000_t202" style="position:absolute;left:0pt;margin-left:63.05pt;margin-top:1.9pt;height:19.05pt;width:71.6pt;z-index:251720704;mso-width-relative:page;mso-height-relative:page;" filled="f" stroked="f" coordsize="21600,21600" o:gfxdata="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AvSDff1gAAAAgBAAAPAAAAAAAAAAEA&#10;IAAAACIAAABkcnMvZG93bnJldi54bWxQSwECFAAUAAAACACHTuJAHp5tr58BAAAlAwAADgAAAAAA&#10;AAABACAAAAAlAQAAZHJzL2Uyb0RvYy54bWxQSwUGAAAAAAYABgBZAQAANgUAAAAA&#10;">
                      <v:fill on="f" focussize="0,0"/>
                      <v:stroke on="f"/>
                      <v:imagedata o:title=""/>
                      <o:lock v:ext="edit" aspectratio="f"/>
                      <v:textbox inset="0mm,0mm,0mm,0mm">
                        <w:txbxContent>
                          <w:p>
                            <w:pPr>
                              <w:rPr>
                                <w:rFonts w:hint="default"/>
                                <w:lang w:val="en-US"/>
                              </w:rPr>
                            </w:pPr>
                            <w:r>
                              <w:rPr>
                                <w:rFonts w:hint="eastAsia"/>
                                <w:lang w:val="en-US" w:eastAsia="zh-CN"/>
                              </w:rPr>
                              <w:t>NaOH、</w:t>
                            </w:r>
                            <w:r>
                              <w:rPr>
                                <w:rFonts w:hint="eastAsia"/>
                              </w:rPr>
                              <w:t>PAM</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37088" behindDoc="0" locked="0" layoutInCell="1" allowOverlap="1">
                      <wp:simplePos x="0" y="0"/>
                      <wp:positionH relativeFrom="column">
                        <wp:posOffset>2767965</wp:posOffset>
                      </wp:positionH>
                      <wp:positionV relativeFrom="paragraph">
                        <wp:posOffset>123190</wp:posOffset>
                      </wp:positionV>
                      <wp:extent cx="762000" cy="635"/>
                      <wp:effectExtent l="0" t="37465" r="0" b="38100"/>
                      <wp:wrapNone/>
                      <wp:docPr id="19" name="直接连接符 19"/>
                      <wp:cNvGraphicFramePr/>
                      <a:graphic xmlns:a="http://schemas.openxmlformats.org/drawingml/2006/main">
                        <a:graphicData uri="http://schemas.microsoft.com/office/word/2010/wordprocessingShape">
                          <wps:wsp>
                            <wps:cNvCnPr/>
                            <wps:spPr>
                              <a:xfrm flipH="1">
                                <a:off x="0" y="0"/>
                                <a:ext cx="762000" cy="635"/>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17.95pt;margin-top:9.7pt;height:0.05pt;width:60pt;z-index:251737088;mso-width-relative:page;mso-height-relative:page;" filled="f" stroked="t" coordsize="21600,21600" o:gfxdata="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CeO+L&#10;1wAAAAkBAAAPAAAAAAAAAAEAIAAAACIAAABkcnMvZG93bnJldi54bWxQSwECFAAUAAAACACHTuJA&#10;9VO70+kBAACnAwAADgAAAAAAAAABACAAAAAmAQAAZHJzL2Uyb0RvYy54bWxQSwUGAAAAAAYABgBZ&#10;AQAAgQUAAAAA&#10;">
                      <v:fill on="f" focussize="0,0"/>
                      <v:stroke color="#000001" joinstyle="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36064" behindDoc="0" locked="0" layoutInCell="1" allowOverlap="1">
                      <wp:simplePos x="0" y="0"/>
                      <wp:positionH relativeFrom="column">
                        <wp:posOffset>3522345</wp:posOffset>
                      </wp:positionH>
                      <wp:positionV relativeFrom="paragraph">
                        <wp:posOffset>123190</wp:posOffset>
                      </wp:positionV>
                      <wp:extent cx="635" cy="929005"/>
                      <wp:effectExtent l="4445" t="0" r="13970" b="4445"/>
                      <wp:wrapNone/>
                      <wp:docPr id="20" name="直接连接符 20"/>
                      <wp:cNvGraphicFramePr/>
                      <a:graphic xmlns:a="http://schemas.openxmlformats.org/drawingml/2006/main">
                        <a:graphicData uri="http://schemas.microsoft.com/office/word/2010/wordprocessingShape">
                          <wps:wsp>
                            <wps:cNvCnPr/>
                            <wps:spPr>
                              <a:xfrm flipV="1">
                                <a:off x="0" y="0"/>
                                <a:ext cx="635" cy="929005"/>
                              </a:xfrm>
                              <a:prstGeom prst="line">
                                <a:avLst/>
                              </a:prstGeom>
                              <a:ln w="9525" cap="flat" cmpd="sng">
                                <a:solidFill>
                                  <a:srgbClr val="00000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77.35pt;margin-top:9.7pt;height:73.15pt;width:0.05pt;z-index:251736064;mso-width-relative:page;mso-height-relative:page;" filled="f" stroked="t" coordsize="21600,21600" o:gfxdata="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RkZ9tYAAAAKAQAA&#10;DwAAAAAAAAABACAAAAAiAAAAZHJzL2Rvd25yZXYueG1sUEsBAhQAFAAAAAgAh07iQCZSaXniAQAA&#10;owMAAA4AAAAAAAAAAQAgAAAAJQEAAGRycy9lMm9Eb2MueG1sUEsFBgAAAAAGAAYAWQEAAHkFAAAA&#10;AA==&#10;">
                      <v:fill on="f" focussize="0,0"/>
                      <v:stroke color="#000001" joinstyle="round"/>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14560" behindDoc="0" locked="0" layoutInCell="1" allowOverlap="1">
                      <wp:simplePos x="0" y="0"/>
                      <wp:positionH relativeFrom="column">
                        <wp:posOffset>2222500</wp:posOffset>
                      </wp:positionH>
                      <wp:positionV relativeFrom="paragraph">
                        <wp:posOffset>258445</wp:posOffset>
                      </wp:positionV>
                      <wp:extent cx="635" cy="212725"/>
                      <wp:effectExtent l="37465" t="0" r="38100" b="15875"/>
                      <wp:wrapNone/>
                      <wp:docPr id="22" name="直接连接符 22"/>
                      <wp:cNvGraphicFramePr/>
                      <a:graphic xmlns:a="http://schemas.openxmlformats.org/drawingml/2006/main">
                        <a:graphicData uri="http://schemas.microsoft.com/office/word/2010/wordprocessingShape">
                          <wps:wsp>
                            <wps:cNvCnPr/>
                            <wps:spPr>
                              <a:xfrm>
                                <a:off x="0" y="0"/>
                                <a:ext cx="635" cy="212725"/>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5pt;margin-top:20.35pt;height:16.75pt;width:0.05pt;z-index:251714560;mso-width-relative:page;mso-height-relative:page;" filled="f" stroked="t" coordsize="21600,21600" o:gfxdata="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4QhvHXAAAACQEA&#10;AA8AAAAAAAAAAQAgAAAAIgAAAGRycy9kb3ducmV2LnhtbFBLAQIUABQAAAAIAIdO4kCgNt2o4gEA&#10;AJ0DAAAOAAAAAAAAAAEAIAAAACYBAABkcnMvZTJvRG9jLnhtbFBLBQYAAAAABgAGAFkBAAB6BQAA&#10;AAA=&#10;">
                      <v:fill on="f" focussize="0,0"/>
                      <v:stroke color="#000001" joinstyle="round" endarrow="block"/>
                      <v:imagedata o:title=""/>
                      <o:lock v:ext="edit" aspectratio="f"/>
                    </v:line>
                  </w:pict>
                </mc:Fallback>
              </mc:AlternateConten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2146688" behindDoc="0" locked="0" layoutInCell="1" allowOverlap="1">
                      <wp:simplePos x="0" y="0"/>
                      <wp:positionH relativeFrom="column">
                        <wp:posOffset>2750820</wp:posOffset>
                      </wp:positionH>
                      <wp:positionV relativeFrom="paragraph">
                        <wp:posOffset>200025</wp:posOffset>
                      </wp:positionV>
                      <wp:extent cx="374015" cy="28575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74015" cy="285750"/>
                              </a:xfrm>
                              <a:prstGeom prst="rect">
                                <a:avLst/>
                              </a:prstGeom>
                              <a:noFill/>
                              <a:ln>
                                <a:noFill/>
                              </a:ln>
                            </wps:spPr>
                            <wps:txbx>
                              <w:txbxContent>
                                <w:p>
                                  <w:pPr>
                                    <w:jc w:val="center"/>
                                    <w:rPr>
                                      <w:rFonts w:hint="eastAsia" w:eastAsia="宋体"/>
                                      <w:lang w:eastAsia="zh-CN"/>
                                    </w:rPr>
                                  </w:pPr>
                                  <w:r>
                                    <w:rPr>
                                      <w:rFonts w:hint="eastAsia"/>
                                      <w:lang w:eastAsia="zh-CN"/>
                                    </w:rPr>
                                    <w:t>污泥</w:t>
                                  </w:r>
                                </w:p>
                              </w:txbxContent>
                            </wps:txbx>
                            <wps:bodyPr lIns="0" tIns="0" rIns="0" bIns="0" upright="1"/>
                          </wps:wsp>
                        </a:graphicData>
                      </a:graphic>
                    </wp:anchor>
                  </w:drawing>
                </mc:Choice>
                <mc:Fallback>
                  <w:pict>
                    <v:shape id="_x0000_s1026" o:spid="_x0000_s1026" o:spt="202" type="#_x0000_t202" style="position:absolute;left:0pt;margin-left:216.6pt;margin-top:15.75pt;height:22.5pt;width:29.45pt;z-index:252146688;mso-width-relative:page;mso-height-relative:page;" filled="f" stroked="f" coordsize="21600,21600" o:gfxdata="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VEPqJ9kAAAAJAQAADwAAAAAA&#10;AAABACAAAAAiAAAAZHJzL2Rvd25yZXYueG1sUEsBAhQAFAAAAAgAh07iQDIuWfegAQAAJQMAAA4A&#10;AAAAAAAAAQAgAAAAKAEAAGRycy9lMm9Eb2MueG1sUEsFBgAAAAAGAAYAWQEAADoFAAAAAA==&#10;">
                      <v:fill on="f" focussize="0,0"/>
                      <v:stroke on="f"/>
                      <v:imagedata o:title=""/>
                      <o:lock v:ext="edit" aspectratio="f"/>
                      <v:textbox inset="0mm,0mm,0mm,0mm">
                        <w:txbxContent>
                          <w:p>
                            <w:pPr>
                              <w:jc w:val="center"/>
                              <w:rPr>
                                <w:rFonts w:hint="eastAsia" w:eastAsia="宋体"/>
                                <w:lang w:eastAsia="zh-CN"/>
                              </w:rPr>
                            </w:pPr>
                            <w:r>
                              <w:rPr>
                                <w:rFonts w:hint="eastAsia"/>
                                <w:lang w:eastAsia="zh-CN"/>
                              </w:rPr>
                              <w:t>污泥</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38112" behindDoc="0" locked="0" layoutInCell="1" allowOverlap="1">
                      <wp:simplePos x="0" y="0"/>
                      <wp:positionH relativeFrom="column">
                        <wp:posOffset>3514725</wp:posOffset>
                      </wp:positionH>
                      <wp:positionV relativeFrom="paragraph">
                        <wp:posOffset>53340</wp:posOffset>
                      </wp:positionV>
                      <wp:extent cx="231140" cy="45974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31140" cy="459740"/>
                              </a:xfrm>
                              <a:prstGeom prst="rect">
                                <a:avLst/>
                              </a:prstGeom>
                              <a:noFill/>
                              <a:ln>
                                <a:noFill/>
                              </a:ln>
                            </wps:spPr>
                            <wps:txbx>
                              <w:txbxContent>
                                <w:p>
                                  <w:pPr>
                                    <w:jc w:val="center"/>
                                    <w:rPr>
                                      <w:rFonts w:hint="eastAsia" w:eastAsia="宋体"/>
                                      <w:color w:val="auto"/>
                                      <w:lang w:eastAsia="zh-CN"/>
                                    </w:rPr>
                                  </w:pPr>
                                  <w:r>
                                    <w:rPr>
                                      <w:rFonts w:hint="eastAsia"/>
                                      <w:color w:val="auto"/>
                                      <w:lang w:eastAsia="zh-CN"/>
                                    </w:rPr>
                                    <w:t>滤液</w:t>
                                  </w:r>
                                </w:p>
                              </w:txbxContent>
                            </wps:txbx>
                            <wps:bodyPr lIns="0" tIns="0" rIns="0" bIns="0" upright="1"/>
                          </wps:wsp>
                        </a:graphicData>
                      </a:graphic>
                    </wp:anchor>
                  </w:drawing>
                </mc:Choice>
                <mc:Fallback>
                  <w:pict>
                    <v:shape id="_x0000_s1026" o:spid="_x0000_s1026" o:spt="202" type="#_x0000_t202" style="position:absolute;left:0pt;margin-left:276.75pt;margin-top:4.2pt;height:36.2pt;width:18.2pt;z-index:251738112;mso-width-relative:page;mso-height-relative:page;" filled="f" stroked="f" coordsize="21600,21600" o:gfxdata="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B8YGq81wAAAAgBAAAPAAAAAAAAAAEA&#10;IAAAACIAAABkcnMvZG93bnJldi54bWxQSwECFAAUAAAACACHTuJA13TjFJ4BAAAlAwAADgAAAAAA&#10;AAABACAAAAAmAQAAZHJzL2Uyb0RvYy54bWxQSwUGAAAAAAYABgBZAQAANgUAAAAA&#10;">
                      <v:fill on="f" focussize="0,0"/>
                      <v:stroke on="f"/>
                      <v:imagedata o:title=""/>
                      <o:lock v:ext="edit" aspectratio="f"/>
                      <v:textbox inset="0mm,0mm,0mm,0mm">
                        <w:txbxContent>
                          <w:p>
                            <w:pPr>
                              <w:jc w:val="center"/>
                              <w:rPr>
                                <w:rFonts w:hint="eastAsia" w:eastAsia="宋体"/>
                                <w:color w:val="auto"/>
                                <w:lang w:eastAsia="zh-CN"/>
                              </w:rPr>
                            </w:pPr>
                            <w:r>
                              <w:rPr>
                                <w:rFonts w:hint="eastAsia"/>
                                <w:color w:val="auto"/>
                                <w:lang w:eastAsia="zh-CN"/>
                              </w:rPr>
                              <w:t>滤液</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12512" behindDoc="0" locked="0" layoutInCell="1" allowOverlap="1">
                      <wp:simplePos x="0" y="0"/>
                      <wp:positionH relativeFrom="column">
                        <wp:posOffset>1803400</wp:posOffset>
                      </wp:positionH>
                      <wp:positionV relativeFrom="paragraph">
                        <wp:posOffset>194945</wp:posOffset>
                      </wp:positionV>
                      <wp:extent cx="864235" cy="278130"/>
                      <wp:effectExtent l="4445" t="5080" r="7620" b="21590"/>
                      <wp:wrapNone/>
                      <wp:docPr id="25" name="文本框 25"/>
                      <wp:cNvGraphicFramePr/>
                      <a:graphic xmlns:a="http://schemas.openxmlformats.org/drawingml/2006/main">
                        <a:graphicData uri="http://schemas.microsoft.com/office/word/2010/wordprocessingShape">
                          <wps:wsp>
                            <wps:cNvSpPr txBox="1"/>
                            <wps:spPr>
                              <a:xfrm>
                                <a:off x="0" y="0"/>
                                <a:ext cx="864235" cy="27813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rPr>
                                      <w:rFonts w:hint="eastAsia" w:eastAsia="宋体"/>
                                      <w:lang w:val="en-US" w:eastAsia="zh-CN"/>
                                    </w:rPr>
                                  </w:pPr>
                                  <w:r>
                                    <w:rPr>
                                      <w:rFonts w:hint="eastAsia"/>
                                      <w:lang w:eastAsia="zh-CN"/>
                                    </w:rPr>
                                    <w:t>沉淀</w:t>
                                  </w:r>
                                  <w:r>
                                    <w:rPr>
                                      <w:rFonts w:hint="eastAsia"/>
                                    </w:rPr>
                                    <w:t>池</w:t>
                                  </w:r>
                                  <w:r>
                                    <w:rPr>
                                      <w:rFonts w:hint="eastAsia"/>
                                      <w:lang w:val="en-US" w:eastAsia="zh-CN"/>
                                    </w:rPr>
                                    <w:t>1</w:t>
                                  </w:r>
                                </w:p>
                              </w:txbxContent>
                            </wps:txbx>
                            <wps:bodyPr upright="1"/>
                          </wps:wsp>
                        </a:graphicData>
                      </a:graphic>
                    </wp:anchor>
                  </w:drawing>
                </mc:Choice>
                <mc:Fallback>
                  <w:pict>
                    <v:shape id="_x0000_s1026" o:spid="_x0000_s1026" o:spt="202" type="#_x0000_t202" style="position:absolute;left:0pt;margin-left:142pt;margin-top:15.35pt;height:21.9pt;width:68.05pt;z-index:251712512;mso-width-relative:page;mso-height-relative:page;" fillcolor="#FFFFFF" filled="t" stroked="t" coordsize="21600,21600" o:gfxdata="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tSfU2AAAAAkBAAAPAAAAAAAAAAEAIAAAACIAAABkcnMvZG93bnJldi54bWxQSwECFAAU&#10;AAAACACHTuJAXH+0OyoCAABwBAAADgAAAAAAAAABACAAAAAnAQAAZHJzL2Uyb0RvYy54bWxQSwUG&#10;AAAAAAYABgBZAQAAwwUAAAAA&#10;">
                      <v:fill type="gradient" on="t" color2="#FFFFFF" angle="90" focus="100%" focussize="0,0">
                        <o:fill type="gradientUnscaled" v:ext="backwardCompatible"/>
                      </v:fill>
                      <v:stroke color="#000001" joinstyle="miter"/>
                      <v:imagedata o:title=""/>
                      <o:lock v:ext="edit" aspectratio="f"/>
                      <v:textbox>
                        <w:txbxContent>
                          <w:p>
                            <w:pPr>
                              <w:rPr>
                                <w:rFonts w:hint="eastAsia" w:eastAsia="宋体"/>
                                <w:lang w:val="en-US" w:eastAsia="zh-CN"/>
                              </w:rPr>
                            </w:pPr>
                            <w:r>
                              <w:rPr>
                                <w:rFonts w:hint="eastAsia"/>
                                <w:lang w:eastAsia="zh-CN"/>
                              </w:rPr>
                              <w:t>沉淀</w:t>
                            </w:r>
                            <w:r>
                              <w:rPr>
                                <w:rFonts w:hint="eastAsia"/>
                              </w:rPr>
                              <w:t>池</w:t>
                            </w:r>
                            <w:r>
                              <w:rPr>
                                <w:rFonts w:hint="eastAsia"/>
                                <w:lang w:val="en-US" w:eastAsia="zh-CN"/>
                              </w:rPr>
                              <w:t>1</w:t>
                            </w:r>
                          </w:p>
                        </w:txbxContent>
                      </v:textbox>
                    </v:shape>
                  </w:pict>
                </mc:Fallback>
              </mc:AlternateConten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3345792" behindDoc="0" locked="0" layoutInCell="1" allowOverlap="1">
                      <wp:simplePos x="0" y="0"/>
                      <wp:positionH relativeFrom="column">
                        <wp:posOffset>3248025</wp:posOffset>
                      </wp:positionH>
                      <wp:positionV relativeFrom="paragraph">
                        <wp:posOffset>101600</wp:posOffset>
                      </wp:positionV>
                      <wp:extent cx="2540" cy="304800"/>
                      <wp:effectExtent l="37465" t="4445" r="36195" b="14605"/>
                      <wp:wrapNone/>
                      <wp:docPr id="57" name="直接连接符 57"/>
                      <wp:cNvGraphicFramePr/>
                      <a:graphic xmlns:a="http://schemas.openxmlformats.org/drawingml/2006/main">
                        <a:graphicData uri="http://schemas.microsoft.com/office/word/2010/wordprocessingShape">
                          <wps:wsp>
                            <wps:cNvCnPr/>
                            <wps:spPr>
                              <a:xfrm flipH="1">
                                <a:off x="0" y="0"/>
                                <a:ext cx="2540" cy="304800"/>
                              </a:xfrm>
                              <a:prstGeom prst="line">
                                <a:avLst/>
                              </a:prstGeom>
                              <a:ln w="9525" cap="rnd" cmpd="sng">
                                <a:solidFill>
                                  <a:srgbClr val="000001"/>
                                </a:solidFill>
                                <a:prstDash val="sysDot"/>
                                <a:headEnd type="none" w="med" len="med"/>
                                <a:tailEnd type="triangle" w="med" len="med"/>
                              </a:ln>
                            </wps:spPr>
                            <wps:bodyPr upright="1"/>
                          </wps:wsp>
                        </a:graphicData>
                      </a:graphic>
                    </wp:anchor>
                  </w:drawing>
                </mc:Choice>
                <mc:Fallback>
                  <w:pict>
                    <v:line id="_x0000_s1026" o:spid="_x0000_s1026" o:spt="20" style="position:absolute;left:0pt;flip:x;margin-left:255.75pt;margin-top:8pt;height:24pt;width:0.2pt;z-index:253345792;mso-width-relative:page;mso-height-relative:page;" filled="f" stroked="t" coordsize="21600,21600" o:gfxdata="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mautkAAAAJAQAADwAAAAAAAAABACAAAAAiAAAAZHJzL2Rvd25yZXYueG1sUEsBAhQA&#10;FAAAAAgAh07iQP4KKmXxAQAAqAMAAA4AAAAAAAAAAQAgAAAAKAEAAGRycy9lMm9Eb2MueG1sUEsF&#10;BgAAAAAGAAYAWQEAAIsFAAAAAA==&#10;">
                      <v:fill on="f" focussize="0,0"/>
                      <v:stroke color="#000001" joinstyle="round" dashstyle="1 1" endcap="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2003328" behindDoc="0" locked="0" layoutInCell="1" allowOverlap="1">
                      <wp:simplePos x="0" y="0"/>
                      <wp:positionH relativeFrom="column">
                        <wp:posOffset>2692400</wp:posOffset>
                      </wp:positionH>
                      <wp:positionV relativeFrom="paragraph">
                        <wp:posOffset>109855</wp:posOffset>
                      </wp:positionV>
                      <wp:extent cx="584200" cy="3175"/>
                      <wp:effectExtent l="4445" t="37465" r="1905" b="35560"/>
                      <wp:wrapNone/>
                      <wp:docPr id="52" name="直接连接符 52"/>
                      <wp:cNvGraphicFramePr/>
                      <a:graphic xmlns:a="http://schemas.openxmlformats.org/drawingml/2006/main">
                        <a:graphicData uri="http://schemas.microsoft.com/office/word/2010/wordprocessingShape">
                          <wps:wsp>
                            <wps:cNvCnPr/>
                            <wps:spPr>
                              <a:xfrm flipV="1">
                                <a:off x="0" y="0"/>
                                <a:ext cx="584200" cy="3175"/>
                              </a:xfrm>
                              <a:prstGeom prst="line">
                                <a:avLst/>
                              </a:prstGeom>
                              <a:ln w="9525" cap="rnd" cmpd="sng">
                                <a:solidFill>
                                  <a:srgbClr val="000001"/>
                                </a:solidFill>
                                <a:prstDash val="sysDot"/>
                                <a:headEnd type="none" w="med" len="med"/>
                                <a:tailEnd type="triangle" w="med" len="med"/>
                              </a:ln>
                            </wps:spPr>
                            <wps:bodyPr upright="1"/>
                          </wps:wsp>
                        </a:graphicData>
                      </a:graphic>
                    </wp:anchor>
                  </w:drawing>
                </mc:Choice>
                <mc:Fallback>
                  <w:pict>
                    <v:line id="_x0000_s1026" o:spid="_x0000_s1026" o:spt="20" style="position:absolute;left:0pt;flip:y;margin-left:212pt;margin-top:8.65pt;height:0.25pt;width:46pt;z-index:252003328;mso-width-relative:page;mso-height-relative:page;" filled="f" stroked="t" coordsize="21600,21600" o:gfxdata="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asJQS2QAAAAkBAAAPAAAAAAAAAAEAIAAAACIAAABkcnMvZG93bnJldi54bWxQSwECFAAUAAAA&#10;CACHTuJALN1/du0BAACoAwAADgAAAAAAAAABACAAAAAoAQAAZHJzL2Uyb0RvYy54bWxQSwUGAAAA&#10;AAYABgBZAQAAhwUAAAAA&#10;">
                      <v:fill on="f" focussize="0,0"/>
                      <v:stroke color="#000001" joinstyle="round" dashstyle="1 1" endcap="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15584" behindDoc="0" locked="0" layoutInCell="1" allowOverlap="1">
                      <wp:simplePos x="0" y="0"/>
                      <wp:positionH relativeFrom="column">
                        <wp:posOffset>2221230</wp:posOffset>
                      </wp:positionH>
                      <wp:positionV relativeFrom="paragraph">
                        <wp:posOffset>182880</wp:posOffset>
                      </wp:positionV>
                      <wp:extent cx="635" cy="212725"/>
                      <wp:effectExtent l="37465" t="0" r="38100" b="15875"/>
                      <wp:wrapNone/>
                      <wp:docPr id="41" name="直接连接符 41"/>
                      <wp:cNvGraphicFramePr/>
                      <a:graphic xmlns:a="http://schemas.openxmlformats.org/drawingml/2006/main">
                        <a:graphicData uri="http://schemas.microsoft.com/office/word/2010/wordprocessingShape">
                          <wps:wsp>
                            <wps:cNvCnPr/>
                            <wps:spPr>
                              <a:xfrm>
                                <a:off x="0" y="0"/>
                                <a:ext cx="635" cy="212725"/>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4.9pt;margin-top:14.4pt;height:16.75pt;width:0.05pt;z-index:251715584;mso-width-relative:page;mso-height-relative:page;" filled="f" stroked="t" coordsize="21600,21600" o:gfxdata="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ojO2x1wAAAAkB&#10;AAAPAAAAAAAAAAEAIAAAACIAAABkcnMvZG93bnJldi54bWxQSwECFAAUAAAACACHTuJAb+9OuOMB&#10;AACdAwAADgAAAAAAAAABACAAAAAmAQAAZHJzL2Uyb0RvYy54bWxQSwUGAAAAAAYABgBZAQAAewUA&#10;AAAA&#10;">
                      <v:fill on="f" focussize="0,0"/>
                      <v:stroke color="#000001" joinstyle="round" endarrow="block"/>
                      <v:imagedata o:title=""/>
                      <o:lock v:ext="edit" aspectratio="f"/>
                    </v:line>
                  </w:pict>
                </mc:Fallback>
              </mc:AlternateConten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76000" behindDoc="0" locked="0" layoutInCell="1" allowOverlap="1">
                      <wp:simplePos x="0" y="0"/>
                      <wp:positionH relativeFrom="column">
                        <wp:posOffset>374015</wp:posOffset>
                      </wp:positionH>
                      <wp:positionV relativeFrom="paragraph">
                        <wp:posOffset>3810</wp:posOffset>
                      </wp:positionV>
                      <wp:extent cx="1332865" cy="24193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332865" cy="241935"/>
                              </a:xfrm>
                              <a:prstGeom prst="rect">
                                <a:avLst/>
                              </a:prstGeom>
                              <a:noFill/>
                              <a:ln>
                                <a:noFill/>
                              </a:ln>
                            </wps:spPr>
                            <wps:txbx>
                              <w:txbxContent>
                                <w:p>
                                  <w:pPr>
                                    <w:rPr>
                                      <w:rFonts w:hint="eastAsia"/>
                                    </w:rPr>
                                  </w:pPr>
                                  <w:r>
                                    <w:rPr>
                                      <w:rFonts w:hint="eastAsia"/>
                                      <w:lang w:val="en-US" w:eastAsia="zh-CN"/>
                                    </w:rPr>
                                    <w:t>NaOH、PAC</w:t>
                                  </w:r>
                                  <w:r>
                                    <w:rPr>
                                      <w:rFonts w:hint="eastAsia"/>
                                    </w:rPr>
                                    <w:t>、PAM</w:t>
                                  </w:r>
                                </w:p>
                              </w:txbxContent>
                            </wps:txbx>
                            <wps:bodyPr lIns="0" tIns="0" rIns="0" bIns="0" upright="1"/>
                          </wps:wsp>
                        </a:graphicData>
                      </a:graphic>
                    </wp:anchor>
                  </w:drawing>
                </mc:Choice>
                <mc:Fallback>
                  <w:pict>
                    <v:shape id="_x0000_s1026" o:spid="_x0000_s1026" o:spt="202" type="#_x0000_t202" style="position:absolute;left:0pt;margin-left:29.45pt;margin-top:0.3pt;height:19.05pt;width:104.95pt;z-index:251776000;mso-width-relative:page;mso-height-relative:page;" filled="f" stroked="f" coordsize="21600,21600" o:gfxdata="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OBgzs3WAAAABgEAAA8AAAAAAAAA&#10;AQAgAAAAIgAAAGRycy9kb3ducmV2LnhtbFBLAQIUABQAAAAIAIdO4kAuHuzKoQEAACYDAAAOAAAA&#10;AAAAAAEAIAAAACUBAABkcnMvZTJvRG9jLnhtbFBLBQYAAAAABgAGAFkBAAA4BQAAAAA=&#10;">
                      <v:fill on="f" focussize="0,0"/>
                      <v:stroke on="f"/>
                      <v:imagedata o:title=""/>
                      <o:lock v:ext="edit" aspectratio="f"/>
                      <v:textbox inset="0mm,0mm,0mm,0mm">
                        <w:txbxContent>
                          <w:p>
                            <w:pPr>
                              <w:rPr>
                                <w:rFonts w:hint="eastAsia"/>
                              </w:rPr>
                            </w:pPr>
                            <w:r>
                              <w:rPr>
                                <w:rFonts w:hint="eastAsia"/>
                                <w:lang w:val="en-US" w:eastAsia="zh-CN"/>
                              </w:rPr>
                              <w:t>NaOH、PAC</w:t>
                            </w:r>
                            <w:r>
                              <w:rPr>
                                <w:rFonts w:hint="eastAsia"/>
                              </w:rPr>
                              <w:t>、PAM</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35040" behindDoc="0" locked="0" layoutInCell="1" allowOverlap="1">
                      <wp:simplePos x="0" y="0"/>
                      <wp:positionH relativeFrom="column">
                        <wp:posOffset>4364990</wp:posOffset>
                      </wp:positionH>
                      <wp:positionV relativeFrom="paragraph">
                        <wp:posOffset>212090</wp:posOffset>
                      </wp:positionV>
                      <wp:extent cx="643255" cy="28575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643255" cy="285750"/>
                              </a:xfrm>
                              <a:prstGeom prst="rect">
                                <a:avLst/>
                              </a:prstGeom>
                              <a:noFill/>
                              <a:ln>
                                <a:noFill/>
                              </a:ln>
                            </wps:spPr>
                            <wps:txbx>
                              <w:txbxContent>
                                <w:p>
                                  <w:pPr>
                                    <w:jc w:val="center"/>
                                    <w:rPr>
                                      <w:rFonts w:hint="eastAsia"/>
                                      <w:color w:val="auto"/>
                                    </w:rPr>
                                  </w:pPr>
                                  <w:r>
                                    <w:rPr>
                                      <w:rFonts w:hint="eastAsia"/>
                                      <w:color w:val="auto"/>
                                      <w:lang w:eastAsia="zh-CN"/>
                                    </w:rPr>
                                    <w:t>污泥外运</w:t>
                                  </w:r>
                                </w:p>
                              </w:txbxContent>
                            </wps:txbx>
                            <wps:bodyPr lIns="0" tIns="0" rIns="0" bIns="0" upright="1"/>
                          </wps:wsp>
                        </a:graphicData>
                      </a:graphic>
                    </wp:anchor>
                  </w:drawing>
                </mc:Choice>
                <mc:Fallback>
                  <w:pict>
                    <v:shape id="_x0000_s1026" o:spid="_x0000_s1026" o:spt="202" type="#_x0000_t202" style="position:absolute;left:0pt;margin-left:343.7pt;margin-top:16.7pt;height:22.5pt;width:50.65pt;z-index:251735040;mso-width-relative:page;mso-height-relative:page;" filled="f" stroked="f" coordsize="21600,21600" o:gfxdata="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pcXNtgAAAAJAQAADwAAAAAA&#10;AAABACAAAAAiAAAAZHJzL2Rvd25yZXYueG1sUEsBAhQAFAAAAAgAh07iQBX2ktWhAQAAJQMAAA4A&#10;AAAAAAAAAQAgAAAAJwEAAGRycy9lMm9Eb2MueG1sUEsFBgAAAAAGAAYAWQEAADoFAAAAAA==&#10;">
                      <v:fill on="f" focussize="0,0"/>
                      <v:stroke on="f"/>
                      <v:imagedata o:title=""/>
                      <o:lock v:ext="edit" aspectratio="f"/>
                      <v:textbox inset="0mm,0mm,0mm,0mm">
                        <w:txbxContent>
                          <w:p>
                            <w:pPr>
                              <w:jc w:val="center"/>
                              <w:rPr>
                                <w:rFonts w:hint="eastAsia"/>
                                <w:color w:val="auto"/>
                              </w:rPr>
                            </w:pPr>
                            <w:r>
                              <w:rPr>
                                <w:rFonts w:hint="eastAsia"/>
                                <w:color w:val="auto"/>
                                <w:lang w:eastAsia="zh-CN"/>
                              </w:rPr>
                              <w:t>污泥外运</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34016" behindDoc="0" locked="0" layoutInCell="1" allowOverlap="1">
                      <wp:simplePos x="0" y="0"/>
                      <wp:positionH relativeFrom="column">
                        <wp:posOffset>3871595</wp:posOffset>
                      </wp:positionH>
                      <wp:positionV relativeFrom="paragraph">
                        <wp:posOffset>288290</wp:posOffset>
                      </wp:positionV>
                      <wp:extent cx="461010" cy="6985"/>
                      <wp:effectExtent l="4445" t="36830" r="10795" b="32385"/>
                      <wp:wrapNone/>
                      <wp:docPr id="45" name="直接连接符 45"/>
                      <wp:cNvGraphicFramePr/>
                      <a:graphic xmlns:a="http://schemas.openxmlformats.org/drawingml/2006/main">
                        <a:graphicData uri="http://schemas.microsoft.com/office/word/2010/wordprocessingShape">
                          <wps:wsp>
                            <wps:cNvCnPr/>
                            <wps:spPr>
                              <a:xfrm flipV="1">
                                <a:off x="0" y="0"/>
                                <a:ext cx="461010" cy="6985"/>
                              </a:xfrm>
                              <a:prstGeom prst="line">
                                <a:avLst/>
                              </a:prstGeom>
                              <a:ln w="9525" cap="rnd" cmpd="sng">
                                <a:solidFill>
                                  <a:srgbClr val="000001"/>
                                </a:solidFill>
                                <a:prstDash val="sysDot"/>
                                <a:headEnd type="none" w="med" len="med"/>
                                <a:tailEnd type="triangle" w="med" len="med"/>
                              </a:ln>
                            </wps:spPr>
                            <wps:bodyPr upright="1"/>
                          </wps:wsp>
                        </a:graphicData>
                      </a:graphic>
                    </wp:anchor>
                  </w:drawing>
                </mc:Choice>
                <mc:Fallback>
                  <w:pict>
                    <v:line id="_x0000_s1026" o:spid="_x0000_s1026" o:spt="20" style="position:absolute;left:0pt;flip:y;margin-left:304.85pt;margin-top:22.7pt;height:0.55pt;width:36.3pt;z-index:251734016;mso-width-relative:page;mso-height-relative:page;" filled="f" stroked="t" coordsize="21600,21600" o:gfxdata="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i3ZBtsAAAAJAQAADwAAAAAAAAABACAAAAAiAAAAZHJzL2Rvd25yZXYueG1sUEsBAhQA&#10;FAAAAAgAh07iQPV3Kb/vAQAAqAMAAA4AAAAAAAAAAQAgAAAAKgEAAGRycy9lMm9Eb2MueG1sUEsF&#10;BgAAAAAGAAYAWQEAAIsFAAAAAA==&#10;">
                      <v:fill on="f" focussize="0,0"/>
                      <v:stroke color="#000001" joinstyle="round" dashstyle="1 1" endcap="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31968" behindDoc="0" locked="0" layoutInCell="1" allowOverlap="1">
                      <wp:simplePos x="0" y="0"/>
                      <wp:positionH relativeFrom="column">
                        <wp:posOffset>3223895</wp:posOffset>
                      </wp:positionH>
                      <wp:positionV relativeFrom="paragraph">
                        <wp:posOffset>149860</wp:posOffset>
                      </wp:positionV>
                      <wp:extent cx="626745" cy="278130"/>
                      <wp:effectExtent l="4445" t="4445" r="16510" b="22225"/>
                      <wp:wrapNone/>
                      <wp:docPr id="40" name="文本框 40"/>
                      <wp:cNvGraphicFramePr/>
                      <a:graphic xmlns:a="http://schemas.openxmlformats.org/drawingml/2006/main">
                        <a:graphicData uri="http://schemas.microsoft.com/office/word/2010/wordprocessingShape">
                          <wps:wsp>
                            <wps:cNvSpPr txBox="1"/>
                            <wps:spPr>
                              <a:xfrm>
                                <a:off x="0" y="0"/>
                                <a:ext cx="626745" cy="27813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压滤机</w:t>
                                  </w:r>
                                </w:p>
                              </w:txbxContent>
                            </wps:txbx>
                            <wps:bodyPr upright="1"/>
                          </wps:wsp>
                        </a:graphicData>
                      </a:graphic>
                    </wp:anchor>
                  </w:drawing>
                </mc:Choice>
                <mc:Fallback>
                  <w:pict>
                    <v:shape id="_x0000_s1026" o:spid="_x0000_s1026" o:spt="202" type="#_x0000_t202" style="position:absolute;left:0pt;margin-left:253.85pt;margin-top:11.8pt;height:21.9pt;width:49.35pt;z-index:251731968;mso-width-relative:page;mso-height-relative:page;" fillcolor="#FFFFFF" filled="t" stroked="t" coordsize="21600,21600" o:gfxdata="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fWM6HZAAAACQEAAA8AAAAAAAAAAQAgAAAAIgAAAGRycy9kb3ducmV2LnhtbFBLAQIU&#10;ABQAAAAIAIdO4kDKT7fzKwIAAHAEAAAOAAAAAAAAAAEAIAAAACgBAABkcnMvZTJvRG9jLnhtbFBL&#10;BQYAAAAABgAGAFkBAADFBQAAAAA=&#10;">
                      <v:fill type="gradient" on="t" color2="#FFFFFF" angle="90" focus="100%" focussize="0,0">
                        <o:fill type="gradientUnscaled" v:ext="backwardCompatible"/>
                      </v:fill>
                      <v:stroke color="#000001" joinstyle="miter"/>
                      <v:imagedata o:title=""/>
                      <o:lock v:ext="edit" aspectratio="f"/>
                      <v:textbox>
                        <w:txbxContent>
                          <w:p>
                            <w:pPr>
                              <w:jc w:val="center"/>
                              <w:rPr>
                                <w:rFonts w:hint="eastAsia" w:eastAsia="宋体"/>
                                <w:lang w:eastAsia="zh-CN"/>
                              </w:rPr>
                            </w:pPr>
                            <w:r>
                              <w:rPr>
                                <w:rFonts w:hint="eastAsia"/>
                                <w:lang w:eastAsia="zh-CN"/>
                              </w:rPr>
                              <w:t>压滤机</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16608" behindDoc="0" locked="0" layoutInCell="1" allowOverlap="1">
                      <wp:simplePos x="0" y="0"/>
                      <wp:positionH relativeFrom="column">
                        <wp:posOffset>1809115</wp:posOffset>
                      </wp:positionH>
                      <wp:positionV relativeFrom="paragraph">
                        <wp:posOffset>141605</wp:posOffset>
                      </wp:positionV>
                      <wp:extent cx="864235" cy="278130"/>
                      <wp:effectExtent l="4445" t="5080" r="7620" b="21590"/>
                      <wp:wrapNone/>
                      <wp:docPr id="39" name="文本框 39"/>
                      <wp:cNvGraphicFramePr/>
                      <a:graphic xmlns:a="http://schemas.openxmlformats.org/drawingml/2006/main">
                        <a:graphicData uri="http://schemas.microsoft.com/office/word/2010/wordprocessingShape">
                          <wps:wsp>
                            <wps:cNvSpPr txBox="1"/>
                            <wps:spPr>
                              <a:xfrm>
                                <a:off x="0" y="0"/>
                                <a:ext cx="864235" cy="27813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eastAsia="宋体"/>
                                      <w:lang w:val="en-US" w:eastAsia="zh-CN"/>
                                    </w:rPr>
                                  </w:pPr>
                                  <w:r>
                                    <w:rPr>
                                      <w:rFonts w:hint="eastAsia"/>
                                      <w:lang w:eastAsia="zh-CN"/>
                                    </w:rPr>
                                    <w:t>调节</w:t>
                                  </w:r>
                                  <w:r>
                                    <w:rPr>
                                      <w:rFonts w:hint="eastAsia"/>
                                    </w:rPr>
                                    <w:t>池</w:t>
                                  </w:r>
                                  <w:r>
                                    <w:rPr>
                                      <w:rFonts w:hint="eastAsia"/>
                                      <w:lang w:val="en-US" w:eastAsia="zh-CN"/>
                                    </w:rPr>
                                    <w:t>2</w:t>
                                  </w:r>
                                </w:p>
                              </w:txbxContent>
                            </wps:txbx>
                            <wps:bodyPr upright="1"/>
                          </wps:wsp>
                        </a:graphicData>
                      </a:graphic>
                    </wp:anchor>
                  </w:drawing>
                </mc:Choice>
                <mc:Fallback>
                  <w:pict>
                    <v:shape id="_x0000_s1026" o:spid="_x0000_s1026" o:spt="202" type="#_x0000_t202" style="position:absolute;left:0pt;margin-left:142.45pt;margin-top:11.15pt;height:21.9pt;width:68.05pt;z-index:251716608;mso-width-relative:page;mso-height-relative:page;" fillcolor="#FFFFFF" filled="t" stroked="t" coordsize="21600,21600" o:gfxdata="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NszyNgAAAAJAQAADwAAAAAAAAABACAAAAAiAAAAZHJzL2Rvd25yZXYueG1sUEsBAhQA&#10;FAAAAAgAh07iQGsVkkUrAgAAcAQAAA4AAAAAAAAAAQAgAAAAJwEAAGRycy9lMm9Eb2MueG1sUEsF&#10;BgAAAAAGAAYAWQEAAMQFAAAAAA==&#10;">
                      <v:fill type="gradient" on="t" color2="#FFFFFF" angle="90" focus="100%" focussize="0,0">
                        <o:fill type="gradientUnscaled" v:ext="backwardCompatible"/>
                      </v:fill>
                      <v:stroke color="#000001" joinstyle="miter"/>
                      <v:imagedata o:title=""/>
                      <o:lock v:ext="edit" aspectratio="f"/>
                      <v:textbox>
                        <w:txbxContent>
                          <w:p>
                            <w:pPr>
                              <w:jc w:val="center"/>
                              <w:rPr>
                                <w:rFonts w:hint="eastAsia" w:eastAsia="宋体"/>
                                <w:lang w:val="en-US" w:eastAsia="zh-CN"/>
                              </w:rPr>
                            </w:pPr>
                            <w:r>
                              <w:rPr>
                                <w:rFonts w:hint="eastAsia"/>
                                <w:lang w:eastAsia="zh-CN"/>
                              </w:rPr>
                              <w:t>调节</w:t>
                            </w:r>
                            <w:r>
                              <w:rPr>
                                <w:rFonts w:hint="eastAsia"/>
                              </w:rPr>
                              <w:t>池</w:t>
                            </w:r>
                            <w:r>
                              <w:rPr>
                                <w:rFonts w:hint="eastAsia"/>
                                <w:lang w:val="en-US" w:eastAsia="zh-CN"/>
                              </w:rPr>
                              <w:t>2</w:t>
                            </w:r>
                          </w:p>
                        </w:txbxContent>
                      </v:textbox>
                    </v:shape>
                  </w:pict>
                </mc:Fallback>
              </mc:AlternateConten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2514304" behindDoc="0" locked="0" layoutInCell="1" allowOverlap="1">
                      <wp:simplePos x="0" y="0"/>
                      <wp:positionH relativeFrom="column">
                        <wp:posOffset>3541395</wp:posOffset>
                      </wp:positionH>
                      <wp:positionV relativeFrom="paragraph">
                        <wp:posOffset>179070</wp:posOffset>
                      </wp:positionV>
                      <wp:extent cx="3810" cy="843280"/>
                      <wp:effectExtent l="37465" t="0" r="34925" b="13970"/>
                      <wp:wrapNone/>
                      <wp:docPr id="56" name="直接连接符 56"/>
                      <wp:cNvGraphicFramePr/>
                      <a:graphic xmlns:a="http://schemas.openxmlformats.org/drawingml/2006/main">
                        <a:graphicData uri="http://schemas.microsoft.com/office/word/2010/wordprocessingShape">
                          <wps:wsp>
                            <wps:cNvCnPr/>
                            <wps:spPr>
                              <a:xfrm flipH="1" flipV="1">
                                <a:off x="0" y="0"/>
                                <a:ext cx="3810" cy="843280"/>
                              </a:xfrm>
                              <a:prstGeom prst="line">
                                <a:avLst/>
                              </a:prstGeom>
                              <a:ln w="9525" cap="rnd" cmpd="sng">
                                <a:solidFill>
                                  <a:srgbClr val="000001"/>
                                </a:solidFill>
                                <a:prstDash val="sysDot"/>
                                <a:headEnd type="none" w="med" len="med"/>
                                <a:tailEnd type="triangle" w="med" len="med"/>
                              </a:ln>
                            </wps:spPr>
                            <wps:bodyPr upright="1"/>
                          </wps:wsp>
                        </a:graphicData>
                      </a:graphic>
                    </wp:anchor>
                  </w:drawing>
                </mc:Choice>
                <mc:Fallback>
                  <w:pict>
                    <v:line id="_x0000_s1026" o:spid="_x0000_s1026" o:spt="20" style="position:absolute;left:0pt;flip:x y;margin-left:278.85pt;margin-top:14.1pt;height:66.4pt;width:0.3pt;z-index:252514304;mso-width-relative:page;mso-height-relative:page;" filled="f" stroked="t" coordsize="21600,21600" o:gfxdata="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F+Iwg2gAAAAoBAAAPAAAAAAAAAAEAIAAAACIAAABkcnMvZG93bnJldi54bWxQ&#10;SwECFAAUAAAACACHTuJAa02V1/UBAACyAwAADgAAAAAAAAABACAAAAApAQAAZHJzL2Uyb0RvYy54&#10;bWxQSwUGAAAAAAYABgBZAQAAkAUAAAAA&#10;">
                      <v:fill on="f" focussize="0,0"/>
                      <v:stroke color="#000001" joinstyle="round" dashstyle="1 1" endcap="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19680" behindDoc="0" locked="0" layoutInCell="1" allowOverlap="1">
                      <wp:simplePos x="0" y="0"/>
                      <wp:positionH relativeFrom="column">
                        <wp:posOffset>775970</wp:posOffset>
                      </wp:positionH>
                      <wp:positionV relativeFrom="paragraph">
                        <wp:posOffset>11430</wp:posOffset>
                      </wp:positionV>
                      <wp:extent cx="974090" cy="635"/>
                      <wp:effectExtent l="0" t="37465" r="16510" b="38100"/>
                      <wp:wrapNone/>
                      <wp:docPr id="42" name="直接连接符 42"/>
                      <wp:cNvGraphicFramePr/>
                      <a:graphic xmlns:a="http://schemas.openxmlformats.org/drawingml/2006/main">
                        <a:graphicData uri="http://schemas.microsoft.com/office/word/2010/wordprocessingShape">
                          <wps:wsp>
                            <wps:cNvCnPr/>
                            <wps:spPr>
                              <a:xfrm>
                                <a:off x="0" y="0"/>
                                <a:ext cx="974090" cy="635"/>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1.1pt;margin-top:0.9pt;height:0.05pt;width:76.7pt;z-index:251719680;mso-width-relative:page;mso-height-relative:page;" filled="f" stroked="t" coordsize="21600,21600" o:gfxdata="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aNI4Z1AAAAAcBAAAP&#10;AAAAAAAAAAEAIAAAACIAAABkcnMvZG93bnJldi54bWxQSwECFAAUAAAACACHTuJAAoD4rOMBAACd&#10;AwAADgAAAAAAAAABACAAAAAjAQAAZHJzL2Uyb0RvYy54bWxQSwUGAAAAAAYABgBZAQAAeAUAAAAA&#10;">
                      <v:fill on="f" focussize="0,0"/>
                      <v:stroke color="#000001" joinstyle="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18656" behindDoc="0" locked="0" layoutInCell="1" allowOverlap="1">
                      <wp:simplePos x="0" y="0"/>
                      <wp:positionH relativeFrom="column">
                        <wp:posOffset>2226945</wp:posOffset>
                      </wp:positionH>
                      <wp:positionV relativeFrom="paragraph">
                        <wp:posOffset>121920</wp:posOffset>
                      </wp:positionV>
                      <wp:extent cx="635" cy="212725"/>
                      <wp:effectExtent l="37465" t="0" r="38100" b="15875"/>
                      <wp:wrapNone/>
                      <wp:docPr id="35" name="直接连接符 35"/>
                      <wp:cNvGraphicFramePr/>
                      <a:graphic xmlns:a="http://schemas.openxmlformats.org/drawingml/2006/main">
                        <a:graphicData uri="http://schemas.microsoft.com/office/word/2010/wordprocessingShape">
                          <wps:wsp>
                            <wps:cNvCnPr/>
                            <wps:spPr>
                              <a:xfrm>
                                <a:off x="0" y="0"/>
                                <a:ext cx="635" cy="212725"/>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5.35pt;margin-top:9.6pt;height:16.75pt;width:0.05pt;z-index:251718656;mso-width-relative:page;mso-height-relative:page;" filled="f" stroked="t" coordsize="21600,21600" o:gfxdata="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NTc/LWAAAACQEA&#10;AA8AAAAAAAAAAQAgAAAAIgAAAGRycy9kb3ducmV2LnhtbFBLAQIUABQAAAAIAIdO4kAIoSHr4wEA&#10;AJ0DAAAOAAAAAAAAAAEAIAAAACUBAABkcnMvZTJvRG9jLnhtbFBLBQYAAAAABgAGAFkBAAB6BQAA&#10;AAA=&#10;">
                      <v:fill on="f" focussize="0,0"/>
                      <v:stroke color="#000001" joinstyle="round" endarrow="block"/>
                      <v:imagedata o:title=""/>
                      <o:lock v:ext="edit" aspectratio="f"/>
                    </v:line>
                  </w:pict>
                </mc:Fallback>
              </mc:AlternateConten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2098560" behindDoc="0" locked="0" layoutInCell="1" allowOverlap="1">
                      <wp:simplePos x="0" y="0"/>
                      <wp:positionH relativeFrom="column">
                        <wp:posOffset>2797810</wp:posOffset>
                      </wp:positionH>
                      <wp:positionV relativeFrom="paragraph">
                        <wp:posOffset>31750</wp:posOffset>
                      </wp:positionV>
                      <wp:extent cx="374015" cy="2857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74015" cy="285750"/>
                              </a:xfrm>
                              <a:prstGeom prst="rect">
                                <a:avLst/>
                              </a:prstGeom>
                              <a:noFill/>
                              <a:ln>
                                <a:noFill/>
                              </a:ln>
                            </wps:spPr>
                            <wps:txbx>
                              <w:txbxContent>
                                <w:p>
                                  <w:pPr>
                                    <w:jc w:val="center"/>
                                    <w:rPr>
                                      <w:rFonts w:hint="eastAsia" w:eastAsia="宋体"/>
                                      <w:lang w:eastAsia="zh-CN"/>
                                    </w:rPr>
                                  </w:pPr>
                                  <w:r>
                                    <w:rPr>
                                      <w:rFonts w:hint="eastAsia"/>
                                      <w:lang w:eastAsia="zh-CN"/>
                                    </w:rPr>
                                    <w:t>污泥</w:t>
                                  </w:r>
                                </w:p>
                              </w:txbxContent>
                            </wps:txbx>
                            <wps:bodyPr lIns="0" tIns="0" rIns="0" bIns="0" upright="1"/>
                          </wps:wsp>
                        </a:graphicData>
                      </a:graphic>
                    </wp:anchor>
                  </w:drawing>
                </mc:Choice>
                <mc:Fallback>
                  <w:pict>
                    <v:shape id="_x0000_s1026" o:spid="_x0000_s1026" o:spt="202" type="#_x0000_t202" style="position:absolute;left:0pt;margin-left:220.3pt;margin-top:2.5pt;height:22.5pt;width:29.45pt;z-index:252098560;mso-width-relative:page;mso-height-relative:page;" filled="f" stroked="f" coordsize="21600,21600" o:gfxdata="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Qg+IDWAAAACAEAAA8AAAAAAAAA&#10;AQAgAAAAIgAAAGRycy9kb3ducmV2LnhtbFBLAQIUABQAAAAIAIdO4kD3UmcvoQEAACUDAAAOAAAA&#10;AAAAAAEAIAAAACUBAABkcnMvZTJvRG9jLnhtbFBLBQYAAAAABgAGAFkBAAA4BQAAAAA=&#10;">
                      <v:fill on="f" focussize="0,0"/>
                      <v:stroke on="f"/>
                      <v:imagedata o:title=""/>
                      <o:lock v:ext="edit" aspectratio="f"/>
                      <v:textbox inset="0mm,0mm,0mm,0mm">
                        <w:txbxContent>
                          <w:p>
                            <w:pPr>
                              <w:jc w:val="center"/>
                              <w:rPr>
                                <w:rFonts w:hint="eastAsia" w:eastAsia="宋体"/>
                                <w:lang w:eastAsia="zh-CN"/>
                              </w:rPr>
                            </w:pPr>
                            <w:r>
                              <w:rPr>
                                <w:rFonts w:hint="eastAsia"/>
                                <w:lang w:eastAsia="zh-CN"/>
                              </w:rPr>
                              <w:t>污泥</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2050432" behindDoc="0" locked="0" layoutInCell="1" allowOverlap="1">
                      <wp:simplePos x="0" y="0"/>
                      <wp:positionH relativeFrom="column">
                        <wp:posOffset>2761615</wp:posOffset>
                      </wp:positionH>
                      <wp:positionV relativeFrom="paragraph">
                        <wp:posOffset>274955</wp:posOffset>
                      </wp:positionV>
                      <wp:extent cx="765810" cy="2540"/>
                      <wp:effectExtent l="4445" t="38100" r="10795" b="35560"/>
                      <wp:wrapNone/>
                      <wp:docPr id="53" name="直接连接符 53"/>
                      <wp:cNvGraphicFramePr/>
                      <a:graphic xmlns:a="http://schemas.openxmlformats.org/drawingml/2006/main">
                        <a:graphicData uri="http://schemas.microsoft.com/office/word/2010/wordprocessingShape">
                          <wps:wsp>
                            <wps:cNvCnPr/>
                            <wps:spPr>
                              <a:xfrm flipV="1">
                                <a:off x="0" y="0"/>
                                <a:ext cx="765810" cy="2540"/>
                              </a:xfrm>
                              <a:prstGeom prst="line">
                                <a:avLst/>
                              </a:prstGeom>
                              <a:ln w="9525" cap="rnd" cmpd="sng">
                                <a:solidFill>
                                  <a:srgbClr val="000001"/>
                                </a:solidFill>
                                <a:prstDash val="sysDot"/>
                                <a:headEnd type="none" w="med" len="med"/>
                                <a:tailEnd type="triangle" w="med" len="med"/>
                              </a:ln>
                            </wps:spPr>
                            <wps:bodyPr upright="1"/>
                          </wps:wsp>
                        </a:graphicData>
                      </a:graphic>
                    </wp:anchor>
                  </w:drawing>
                </mc:Choice>
                <mc:Fallback>
                  <w:pict>
                    <v:line id="_x0000_s1026" o:spid="_x0000_s1026" o:spt="20" style="position:absolute;left:0pt;flip:y;margin-left:217.45pt;margin-top:21.65pt;height:0.2pt;width:60.3pt;z-index:252050432;mso-width-relative:page;mso-height-relative:page;" filled="f" stroked="t" coordsize="21600,21600" o:gfxdata="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sbwKv2QAAAAkBAAAPAAAAAAAAAAEAIAAAACIAAABkcnMvZG93bnJldi54bWxQSwECFAAU&#10;AAAACACHTuJA1c2DZPABAACoAwAADgAAAAAAAAABACAAAAAoAQAAZHJzL2Uyb0RvYy54bWxQSwUG&#10;AAAAAAYABgBZAQAAigUAAAAA&#10;">
                      <v:fill on="f" focussize="0,0"/>
                      <v:stroke color="#000001" joinstyle="round" dashstyle="1 1" endcap="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846656" behindDoc="0" locked="0" layoutInCell="1" allowOverlap="1">
                      <wp:simplePos x="0" y="0"/>
                      <wp:positionH relativeFrom="column">
                        <wp:posOffset>1779270</wp:posOffset>
                      </wp:positionH>
                      <wp:positionV relativeFrom="paragraph">
                        <wp:posOffset>114935</wp:posOffset>
                      </wp:positionV>
                      <wp:extent cx="864235" cy="278130"/>
                      <wp:effectExtent l="4445" t="5080" r="7620" b="21590"/>
                      <wp:wrapNone/>
                      <wp:docPr id="48" name="文本框 48"/>
                      <wp:cNvGraphicFramePr/>
                      <a:graphic xmlns:a="http://schemas.openxmlformats.org/drawingml/2006/main">
                        <a:graphicData uri="http://schemas.microsoft.com/office/word/2010/wordprocessingShape">
                          <wps:wsp>
                            <wps:cNvSpPr txBox="1"/>
                            <wps:spPr>
                              <a:xfrm>
                                <a:off x="0" y="0"/>
                                <a:ext cx="864235" cy="27813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eastAsia="宋体"/>
                                      <w:lang w:val="en-US" w:eastAsia="zh-CN"/>
                                    </w:rPr>
                                  </w:pPr>
                                  <w:r>
                                    <w:rPr>
                                      <w:rFonts w:hint="eastAsia"/>
                                    </w:rPr>
                                    <w:t>沉淀池</w:t>
                                  </w:r>
                                  <w:r>
                                    <w:rPr>
                                      <w:rFonts w:hint="eastAsia"/>
                                      <w:lang w:val="en-US" w:eastAsia="zh-CN"/>
                                    </w:rPr>
                                    <w:t>2</w:t>
                                  </w:r>
                                </w:p>
                              </w:txbxContent>
                            </wps:txbx>
                            <wps:bodyPr upright="1"/>
                          </wps:wsp>
                        </a:graphicData>
                      </a:graphic>
                    </wp:anchor>
                  </w:drawing>
                </mc:Choice>
                <mc:Fallback>
                  <w:pict>
                    <v:shape id="_x0000_s1026" o:spid="_x0000_s1026" o:spt="202" type="#_x0000_t202" style="position:absolute;left:0pt;margin-left:140.1pt;margin-top:9.05pt;height:21.9pt;width:68.05pt;z-index:251846656;mso-width-relative:page;mso-height-relative:page;" fillcolor="#FFFFFF" filled="t" stroked="t" coordsize="21600,21600" o:gfxdata="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D2Y+f1wAAAAkBAAAPAAAAAAAAAAEAIAAAACIAAABkcnMvZG93bnJldi54bWxQSwECFAAU&#10;AAAACACHTuJAMclXTCsCAABwBAAADgAAAAAAAAABACAAAAAmAQAAZHJzL2Uyb0RvYy54bWxQSwUG&#10;AAAAAAYABgBZAQAAwwUAAAAA&#10;">
                      <v:fill type="gradient" on="t" color2="#FFFFFF" angle="90" focus="100%" focussize="0,0">
                        <o:fill type="gradientUnscaled" v:ext="backwardCompatible"/>
                      </v:fill>
                      <v:stroke color="#000001" joinstyle="miter"/>
                      <v:imagedata o:title=""/>
                      <o:lock v:ext="edit" aspectratio="f"/>
                      <v:textbox>
                        <w:txbxContent>
                          <w:p>
                            <w:pPr>
                              <w:jc w:val="center"/>
                              <w:rPr>
                                <w:rFonts w:hint="eastAsia" w:eastAsia="宋体"/>
                                <w:lang w:val="en-US" w:eastAsia="zh-CN"/>
                              </w:rPr>
                            </w:pPr>
                            <w:r>
                              <w:rPr>
                                <w:rFonts w:hint="eastAsia"/>
                              </w:rPr>
                              <w:t>沉淀池</w:t>
                            </w:r>
                            <w:r>
                              <w:rPr>
                                <w:rFonts w:hint="eastAsia"/>
                                <w:lang w:val="en-US" w:eastAsia="zh-CN"/>
                              </w:rPr>
                              <w:t>2</w:t>
                            </w:r>
                          </w:p>
                        </w:txbxContent>
                      </v:textbox>
                    </v:shape>
                  </w:pict>
                </mc:Fallback>
              </mc:AlternateConten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2818765</wp:posOffset>
                      </wp:positionH>
                      <wp:positionV relativeFrom="paragraph">
                        <wp:posOffset>214630</wp:posOffset>
                      </wp:positionV>
                      <wp:extent cx="374015" cy="28575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74015" cy="285750"/>
                              </a:xfrm>
                              <a:prstGeom prst="rect">
                                <a:avLst/>
                              </a:prstGeom>
                              <a:noFill/>
                              <a:ln>
                                <a:noFill/>
                              </a:ln>
                            </wps:spPr>
                            <wps:txbx>
                              <w:txbxContent>
                                <w:p>
                                  <w:pPr>
                                    <w:jc w:val="center"/>
                                    <w:rPr>
                                      <w:rFonts w:hint="eastAsia" w:eastAsia="宋体"/>
                                      <w:lang w:eastAsia="zh-CN"/>
                                    </w:rPr>
                                  </w:pPr>
                                  <w:r>
                                    <w:rPr>
                                      <w:rFonts w:hint="eastAsia"/>
                                      <w:lang w:eastAsia="zh-CN"/>
                                    </w:rPr>
                                    <w:t>污泥</w:t>
                                  </w:r>
                                </w:p>
                              </w:txbxContent>
                            </wps:txbx>
                            <wps:bodyPr lIns="0" tIns="0" rIns="0" bIns="0" upright="1"/>
                          </wps:wsp>
                        </a:graphicData>
                      </a:graphic>
                    </wp:anchor>
                  </w:drawing>
                </mc:Choice>
                <mc:Fallback>
                  <w:pict>
                    <v:shape id="_x0000_s1026" o:spid="_x0000_s1026" o:spt="202" type="#_x0000_t202" style="position:absolute;left:0pt;margin-left:221.95pt;margin-top:16.9pt;height:22.5pt;width:29.45pt;z-index:251730944;mso-width-relative:page;mso-height-relative:page;" filled="f" stroked="f" coordsize="21600,21600" o:gfxdata="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FX22APZAAAACQEAAA8AAAAA&#10;AAAAAQAgAAAAIgAAAGRycy9kb3ducmV2LnhtbFBLAQIUABQAAAAIAIdO4kBFb12boQEAACUDAAAO&#10;AAAAAAAAAAEAIAAAACgBAABkcnMvZTJvRG9jLnhtbFBLBQYAAAAABgAGAFkBAAA7BQAAAAA=&#10;">
                      <v:fill on="f" focussize="0,0"/>
                      <v:stroke on="f"/>
                      <v:imagedata o:title=""/>
                      <o:lock v:ext="edit" aspectratio="f"/>
                      <v:textbox inset="0mm,0mm,0mm,0mm">
                        <w:txbxContent>
                          <w:p>
                            <w:pPr>
                              <w:jc w:val="center"/>
                              <w:rPr>
                                <w:rFonts w:hint="eastAsia" w:eastAsia="宋体"/>
                                <w:lang w:eastAsia="zh-CN"/>
                              </w:rPr>
                            </w:pPr>
                            <w:r>
                              <w:rPr>
                                <w:rFonts w:hint="eastAsia"/>
                                <w:lang w:eastAsia="zh-CN"/>
                              </w:rPr>
                              <w:t>污泥</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882496" behindDoc="0" locked="0" layoutInCell="1" allowOverlap="1">
                      <wp:simplePos x="0" y="0"/>
                      <wp:positionH relativeFrom="column">
                        <wp:posOffset>2223135</wp:posOffset>
                      </wp:positionH>
                      <wp:positionV relativeFrom="paragraph">
                        <wp:posOffset>86995</wp:posOffset>
                      </wp:positionV>
                      <wp:extent cx="635" cy="212725"/>
                      <wp:effectExtent l="37465" t="0" r="38100" b="15875"/>
                      <wp:wrapNone/>
                      <wp:docPr id="49" name="直接连接符 49"/>
                      <wp:cNvGraphicFramePr/>
                      <a:graphic xmlns:a="http://schemas.openxmlformats.org/drawingml/2006/main">
                        <a:graphicData uri="http://schemas.microsoft.com/office/word/2010/wordprocessingShape">
                          <wps:wsp>
                            <wps:cNvCnPr/>
                            <wps:spPr>
                              <a:xfrm>
                                <a:off x="0" y="0"/>
                                <a:ext cx="635" cy="212725"/>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5.05pt;margin-top:6.85pt;height:16.75pt;width:0.05pt;z-index:251882496;mso-width-relative:page;mso-height-relative:page;" filled="f" stroked="t" coordsize="21600,21600" o:gfxdata="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P/XUMNYAAAAJAQAA&#10;DwAAAAAAAAABACAAAAAiAAAAZHJzL2Rvd25yZXYueG1sUEsBAhQAFAAAAAgAh07iQCjL1s7iAQAA&#10;nQMAAA4AAAAAAAAAAQAgAAAAJQEAAGRycy9lMm9Eb2MueG1sUEsFBgAAAAAGAAYAWQEAAHkFAAAA&#10;AA==&#10;">
                      <v:fill on="f" focussize="0,0"/>
                      <v:stroke color="#000001" joinstyle="round" endarrow="block"/>
                      <v:imagedata o:title=""/>
                      <o:lock v:ext="edit" aspectratio="f"/>
                    </v:line>
                  </w:pict>
                </mc:Fallback>
              </mc:AlternateConten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29920" behindDoc="0" locked="0" layoutInCell="1" allowOverlap="1">
                      <wp:simplePos x="0" y="0"/>
                      <wp:positionH relativeFrom="column">
                        <wp:posOffset>2773680</wp:posOffset>
                      </wp:positionH>
                      <wp:positionV relativeFrom="paragraph">
                        <wp:posOffset>137160</wp:posOffset>
                      </wp:positionV>
                      <wp:extent cx="725805" cy="8255"/>
                      <wp:effectExtent l="4445" t="37465" r="12700" b="30480"/>
                      <wp:wrapNone/>
                      <wp:docPr id="37" name="直接连接符 37"/>
                      <wp:cNvGraphicFramePr/>
                      <a:graphic xmlns:a="http://schemas.openxmlformats.org/drawingml/2006/main">
                        <a:graphicData uri="http://schemas.microsoft.com/office/word/2010/wordprocessingShape">
                          <wps:wsp>
                            <wps:cNvCnPr/>
                            <wps:spPr>
                              <a:xfrm flipV="1">
                                <a:off x="0" y="0"/>
                                <a:ext cx="725805" cy="8255"/>
                              </a:xfrm>
                              <a:prstGeom prst="line">
                                <a:avLst/>
                              </a:prstGeom>
                              <a:ln w="9525" cap="rnd" cmpd="sng">
                                <a:solidFill>
                                  <a:srgbClr val="000001"/>
                                </a:solidFill>
                                <a:prstDash val="sysDot"/>
                                <a:headEnd type="none" w="med" len="med"/>
                                <a:tailEnd type="triangle" w="med" len="med"/>
                              </a:ln>
                            </wps:spPr>
                            <wps:bodyPr upright="1"/>
                          </wps:wsp>
                        </a:graphicData>
                      </a:graphic>
                    </wp:anchor>
                  </w:drawing>
                </mc:Choice>
                <mc:Fallback>
                  <w:pict>
                    <v:line id="_x0000_s1026" o:spid="_x0000_s1026" o:spt="20" style="position:absolute;left:0pt;flip:y;margin-left:218.4pt;margin-top:10.8pt;height:0.65pt;width:57.15pt;z-index:251729920;mso-width-relative:page;mso-height-relative:page;" filled="f" stroked="t" coordsize="21600,21600" o:gfxdata="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xKnldsAAAAJAQAADwAAAAAAAAABACAAAAAiAAAAZHJzL2Rvd25yZXYueG1sUEsBAhQAFAAA&#10;AAgAh07iQCjHw7XsAQAAqAMAAA4AAAAAAAAAAQAgAAAAKgEAAGRycy9lMm9Eb2MueG1sUEsFBgAA&#10;AAAGAAYAWQEAAIgFAAAAAA==&#10;">
                      <v:fill on="f" focussize="0,0"/>
                      <v:stroke color="#000001" joinstyle="round" dashstyle="1 1" endcap="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917312" behindDoc="0" locked="0" layoutInCell="1" allowOverlap="1">
                      <wp:simplePos x="0" y="0"/>
                      <wp:positionH relativeFrom="column">
                        <wp:posOffset>1798955</wp:posOffset>
                      </wp:positionH>
                      <wp:positionV relativeFrom="paragraph">
                        <wp:posOffset>46355</wp:posOffset>
                      </wp:positionV>
                      <wp:extent cx="864235" cy="278130"/>
                      <wp:effectExtent l="4445" t="5080" r="7620" b="21590"/>
                      <wp:wrapNone/>
                      <wp:docPr id="50" name="文本框 50"/>
                      <wp:cNvGraphicFramePr/>
                      <a:graphic xmlns:a="http://schemas.openxmlformats.org/drawingml/2006/main">
                        <a:graphicData uri="http://schemas.microsoft.com/office/word/2010/wordprocessingShape">
                          <wps:wsp>
                            <wps:cNvSpPr txBox="1"/>
                            <wps:spPr>
                              <a:xfrm>
                                <a:off x="0" y="0"/>
                                <a:ext cx="864235" cy="27813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过滤池</w:t>
                                  </w:r>
                                </w:p>
                              </w:txbxContent>
                            </wps:txbx>
                            <wps:bodyPr upright="1"/>
                          </wps:wsp>
                        </a:graphicData>
                      </a:graphic>
                    </wp:anchor>
                  </w:drawing>
                </mc:Choice>
                <mc:Fallback>
                  <w:pict>
                    <v:shape id="_x0000_s1026" o:spid="_x0000_s1026" o:spt="202" type="#_x0000_t202" style="position:absolute;left:0pt;margin-left:141.65pt;margin-top:3.65pt;height:21.9pt;width:68.05pt;z-index:251917312;mso-width-relative:page;mso-height-relative:page;" fillcolor="#FFFFFF" filled="t" stroked="t" coordsize="21600,21600" o:gfxdata="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wvkTXZAAAACAEAAA8AAAAAAAAAAQAgAAAAIgAAAGRycy9kb3ducmV2LnhtbFBLAQIU&#10;ABQAAAAIAIdO4kB7Je3eKwIAAHAEAAAOAAAAAAAAAAEAIAAAACgBAABkcnMvZTJvRG9jLnhtbFBL&#10;BQYAAAAABgAGAFkBAADFBQAAAAA=&#10;">
                      <v:fill type="gradient" on="t" color2="#FFFFFF" angle="90" focus="100%" focussize="0,0">
                        <o:fill type="gradientUnscaled" v:ext="backwardCompatible"/>
                      </v:fill>
                      <v:stroke color="#000001" joinstyle="miter"/>
                      <v:imagedata o:title=""/>
                      <o:lock v:ext="edit" aspectratio="f"/>
                      <v:textbox>
                        <w:txbxContent>
                          <w:p>
                            <w:pPr>
                              <w:jc w:val="center"/>
                              <w:rPr>
                                <w:rFonts w:hint="eastAsia" w:eastAsia="宋体"/>
                                <w:lang w:eastAsia="zh-CN"/>
                              </w:rPr>
                            </w:pPr>
                            <w:r>
                              <w:rPr>
                                <w:rFonts w:hint="eastAsia"/>
                                <w:lang w:eastAsia="zh-CN"/>
                              </w:rPr>
                              <w:t>过滤池</w:t>
                            </w:r>
                          </w:p>
                        </w:txbxContent>
                      </v:textbox>
                    </v:shape>
                  </w:pict>
                </mc:Fallback>
              </mc:AlternateConten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956224" behindDoc="0" locked="0" layoutInCell="1" allowOverlap="1">
                      <wp:simplePos x="0" y="0"/>
                      <wp:positionH relativeFrom="column">
                        <wp:posOffset>2195195</wp:posOffset>
                      </wp:positionH>
                      <wp:positionV relativeFrom="paragraph">
                        <wp:posOffset>111125</wp:posOffset>
                      </wp:positionV>
                      <wp:extent cx="635" cy="314960"/>
                      <wp:effectExtent l="37465" t="0" r="38100" b="8890"/>
                      <wp:wrapNone/>
                      <wp:docPr id="51" name="直接连接符 51"/>
                      <wp:cNvGraphicFramePr/>
                      <a:graphic xmlns:a="http://schemas.openxmlformats.org/drawingml/2006/main">
                        <a:graphicData uri="http://schemas.microsoft.com/office/word/2010/wordprocessingShape">
                          <wps:wsp>
                            <wps:cNvCnPr/>
                            <wps:spPr>
                              <a:xfrm>
                                <a:off x="0" y="0"/>
                                <a:ext cx="635" cy="314960"/>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2.85pt;margin-top:8.75pt;height:24.8pt;width:0.05pt;z-index:251956224;mso-width-relative:page;mso-height-relative:page;" filled="f" stroked="t" coordsize="21600,21600" o:gfxdata="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oyHlDWAAAACQEA&#10;AA8AAAAAAAAAAQAgAAAAIgAAAGRycy9kb3ducmV2LnhtbFBLAQIUABQAAAAIAIdO4kDd/nPC4wEA&#10;AJ0DAAAOAAAAAAAAAAEAIAAAACUBAABkcnMvZTJvRG9jLnhtbFBLBQYAAAAABgAGAFkBAAB6BQAA&#10;AAA=&#10;">
                      <v:fill on="f" focussize="0,0"/>
                      <v:stroke color="#000001" joinstyle="round" endarrow="block"/>
                      <v:imagedata o:title=""/>
                      <o:lock v:ext="edit" aspectratio="f"/>
                    </v:line>
                  </w:pict>
                </mc:Fallback>
              </mc:AlternateContent>
            </w:r>
          </w:p>
          <w:p>
            <w:pPr>
              <w:pStyle w:val="2"/>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28896" behindDoc="0" locked="0" layoutInCell="1" allowOverlap="1">
                      <wp:simplePos x="0" y="0"/>
                      <wp:positionH relativeFrom="column">
                        <wp:posOffset>4531360</wp:posOffset>
                      </wp:positionH>
                      <wp:positionV relativeFrom="paragraph">
                        <wp:posOffset>111125</wp:posOffset>
                      </wp:positionV>
                      <wp:extent cx="864235" cy="278130"/>
                      <wp:effectExtent l="4445" t="5080" r="7620" b="21590"/>
                      <wp:wrapNone/>
                      <wp:docPr id="34" name="文本框 34"/>
                      <wp:cNvGraphicFramePr/>
                      <a:graphic xmlns:a="http://schemas.openxmlformats.org/drawingml/2006/main">
                        <a:graphicData uri="http://schemas.microsoft.com/office/word/2010/wordprocessingShape">
                          <wps:wsp>
                            <wps:cNvSpPr txBox="1"/>
                            <wps:spPr>
                              <a:xfrm>
                                <a:off x="0" y="0"/>
                                <a:ext cx="864235" cy="27813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rPr>
                                  </w:pPr>
                                  <w:r>
                                    <w:rPr>
                                      <w:rFonts w:hint="eastAsia"/>
                                    </w:rPr>
                                    <w:t>回用于生产</w:t>
                                  </w:r>
                                </w:p>
                              </w:txbxContent>
                            </wps:txbx>
                            <wps:bodyPr upright="1"/>
                          </wps:wsp>
                        </a:graphicData>
                      </a:graphic>
                    </wp:anchor>
                  </w:drawing>
                </mc:Choice>
                <mc:Fallback>
                  <w:pict>
                    <v:shape id="_x0000_s1026" o:spid="_x0000_s1026" o:spt="202" type="#_x0000_t202" style="position:absolute;left:0pt;margin-left:356.8pt;margin-top:8.75pt;height:21.9pt;width:68.05pt;z-index:251728896;mso-width-relative:page;mso-height-relative:page;" fillcolor="#FFFFFF" filled="t" stroked="t" coordsize="21600,21600" o:gfxdata="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zxRDZAAAACQEAAA8AAAAAAAAAAQAgAAAAIgAAAGRycy9kb3ducmV2LnhtbFBLAQIU&#10;ABQAAAAIAIdO4kCi+b3mKwIAAHAEAAAOAAAAAAAAAAEAIAAAACgBAABkcnMvZTJvRG9jLnhtbFBL&#10;BQYAAAAABgAGAFkBAADFBQAAAAA=&#10;">
                      <v:fill type="gradient" on="t" color2="#FFFFFF" angle="90" focus="100%" focussize="0,0">
                        <o:fill type="gradientUnscaled" v:ext="backwardCompatible"/>
                      </v:fill>
                      <v:stroke color="#000001" joinstyle="miter"/>
                      <v:imagedata o:title=""/>
                      <o:lock v:ext="edit" aspectratio="f"/>
                      <v:textbox>
                        <w:txbxContent>
                          <w:p>
                            <w:pPr>
                              <w:jc w:val="center"/>
                              <w:rPr>
                                <w:rFonts w:hint="eastAsia"/>
                              </w:rPr>
                            </w:pPr>
                            <w:r>
                              <w:rPr>
                                <w:rFonts w:hint="eastAsia"/>
                              </w:rPr>
                              <w:t>回用于生产</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27872" behindDoc="0" locked="0" layoutInCell="1" allowOverlap="1">
                      <wp:simplePos x="0" y="0"/>
                      <wp:positionH relativeFrom="column">
                        <wp:posOffset>4224020</wp:posOffset>
                      </wp:positionH>
                      <wp:positionV relativeFrom="paragraph">
                        <wp:posOffset>251460</wp:posOffset>
                      </wp:positionV>
                      <wp:extent cx="290830" cy="635"/>
                      <wp:effectExtent l="0" t="38100" r="13970" b="37465"/>
                      <wp:wrapNone/>
                      <wp:docPr id="36" name="直接连接符 36"/>
                      <wp:cNvGraphicFramePr/>
                      <a:graphic xmlns:a="http://schemas.openxmlformats.org/drawingml/2006/main">
                        <a:graphicData uri="http://schemas.microsoft.com/office/word/2010/wordprocessingShape">
                          <wps:wsp>
                            <wps:cNvCnPr/>
                            <wps:spPr>
                              <a:xfrm flipV="1">
                                <a:off x="0" y="0"/>
                                <a:ext cx="290830" cy="635"/>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332.6pt;margin-top:19.8pt;height:0.05pt;width:22.9pt;z-index:251727872;mso-width-relative:page;mso-height-relative:page;" filled="f" stroked="t" coordsize="21600,21600" o:gfxdata="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9&#10;2D3S2QAAAAkBAAAPAAAAAAAAAAEAIAAAACIAAABkcnMvZG93bnJldi54bWxQSwECFAAUAAAACACH&#10;TuJAACQlROoBAACnAwAADgAAAAAAAAABACAAAAAoAQAAZHJzL2Uyb0RvYy54bWxQSwUGAAAAAAYA&#10;BgBZAQAAhAUAAAAA&#10;">
                      <v:fill on="f" focussize="0,0"/>
                      <v:stroke color="#000001" joinstyle="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24800" behindDoc="0" locked="0" layoutInCell="1" allowOverlap="1">
                      <wp:simplePos x="0" y="0"/>
                      <wp:positionH relativeFrom="column">
                        <wp:posOffset>2750820</wp:posOffset>
                      </wp:positionH>
                      <wp:positionV relativeFrom="paragraph">
                        <wp:posOffset>358140</wp:posOffset>
                      </wp:positionV>
                      <wp:extent cx="488950" cy="6985"/>
                      <wp:effectExtent l="0" t="36830" r="6350" b="32385"/>
                      <wp:wrapNone/>
                      <wp:docPr id="33" name="直接连接符 33"/>
                      <wp:cNvGraphicFramePr/>
                      <a:graphic xmlns:a="http://schemas.openxmlformats.org/drawingml/2006/main">
                        <a:graphicData uri="http://schemas.microsoft.com/office/word/2010/wordprocessingShape">
                          <wps:wsp>
                            <wps:cNvCnPr/>
                            <wps:spPr>
                              <a:xfrm flipV="1">
                                <a:off x="0" y="0"/>
                                <a:ext cx="488950" cy="6985"/>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16.6pt;margin-top:28.2pt;height:0.55pt;width:38.5pt;z-index:251724800;mso-width-relative:page;mso-height-relative:page;" filled="f" stroked="t" coordsize="21600,21600" o:gfxdata="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juDpnZAAAACQEAAA8AAAAAAAAAAQAgAAAAIgAAAGRycy9kb3ducmV2LnhtbFBLAQIUABQAAAAI&#10;AIdO4kD2fmxf7AEAAKgDAAAOAAAAAAAAAAEAIAAAACgBAABkcnMvZTJvRG9jLnhtbFBLBQYAAAAA&#10;BgAGAFkBAACGBQAAAAA=&#10;">
                      <v:fill on="f" focussize="0,0"/>
                      <v:stroke color="#000001" joinstyle="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25824" behindDoc="0" locked="0" layoutInCell="1" allowOverlap="1">
                      <wp:simplePos x="0" y="0"/>
                      <wp:positionH relativeFrom="column">
                        <wp:posOffset>2780665</wp:posOffset>
                      </wp:positionH>
                      <wp:positionV relativeFrom="paragraph">
                        <wp:posOffset>89535</wp:posOffset>
                      </wp:positionV>
                      <wp:extent cx="367030" cy="24193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367030" cy="241935"/>
                              </a:xfrm>
                              <a:prstGeom prst="rect">
                                <a:avLst/>
                              </a:prstGeom>
                              <a:noFill/>
                              <a:ln>
                                <a:noFill/>
                              </a:ln>
                            </wps:spPr>
                            <wps:txbx>
                              <w:txbxContent>
                                <w:p>
                                  <w:pPr>
                                    <w:jc w:val="center"/>
                                    <w:rPr>
                                      <w:rFonts w:hint="eastAsia"/>
                                    </w:rPr>
                                  </w:pPr>
                                  <w:r>
                                    <w:rPr>
                                      <w:rFonts w:hint="eastAsia"/>
                                      <w:lang w:val="en-US" w:eastAsia="zh-CN"/>
                                    </w:rPr>
                                    <w:t>9</w:t>
                                  </w:r>
                                  <w:r>
                                    <w:rPr>
                                      <w:rFonts w:hint="eastAsia"/>
                                    </w:rPr>
                                    <w:t>0%</w:t>
                                  </w:r>
                                </w:p>
                              </w:txbxContent>
                            </wps:txbx>
                            <wps:bodyPr lIns="0" tIns="0" rIns="0" bIns="0" upright="1"/>
                          </wps:wsp>
                        </a:graphicData>
                      </a:graphic>
                    </wp:anchor>
                  </w:drawing>
                </mc:Choice>
                <mc:Fallback>
                  <w:pict>
                    <v:shape id="_x0000_s1026" o:spid="_x0000_s1026" o:spt="202" type="#_x0000_t202" style="position:absolute;left:0pt;margin-left:218.95pt;margin-top:7.05pt;height:19.05pt;width:28.9pt;z-index:251725824;mso-width-relative:page;mso-height-relative:page;" filled="f" stroked="f" coordsize="21600,21600" o:gfxdata="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U69ftkAAAAJAQAADwAAAAAA&#10;AAABACAAAAAiAAAAZHJzL2Rvd25yZXYueG1sUEsBAhQAFAAAAAgAh07iQDDsecmgAQAAJQMAAA4A&#10;AAAAAAAAAQAgAAAAKAEAAGRycy9lMm9Eb2MueG1sUEsFBgAAAAAGAAYAWQEAADoFAAAAAA==&#10;">
                      <v:fill on="f" focussize="0,0"/>
                      <v:stroke on="f"/>
                      <v:imagedata o:title=""/>
                      <o:lock v:ext="edit" aspectratio="f"/>
                      <v:textbox inset="0mm,0mm,0mm,0mm">
                        <w:txbxContent>
                          <w:p>
                            <w:pPr>
                              <w:jc w:val="center"/>
                              <w:rPr>
                                <w:rFonts w:hint="eastAsia"/>
                              </w:rPr>
                            </w:pPr>
                            <w:r>
                              <w:rPr>
                                <w:rFonts w:hint="eastAsia"/>
                                <w:lang w:val="en-US" w:eastAsia="zh-CN"/>
                              </w:rPr>
                              <w:t>9</w:t>
                            </w:r>
                            <w:r>
                              <w:rPr>
                                <w:rFonts w:hint="eastAsia"/>
                              </w:rPr>
                              <w:t>0%</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26848" behindDoc="0" locked="0" layoutInCell="1" allowOverlap="1">
                      <wp:simplePos x="0" y="0"/>
                      <wp:positionH relativeFrom="column">
                        <wp:posOffset>3309620</wp:posOffset>
                      </wp:positionH>
                      <wp:positionV relativeFrom="paragraph">
                        <wp:posOffset>152400</wp:posOffset>
                      </wp:positionV>
                      <wp:extent cx="864235" cy="278130"/>
                      <wp:effectExtent l="4445" t="5080" r="7620" b="21590"/>
                      <wp:wrapNone/>
                      <wp:docPr id="32" name="文本框 32"/>
                      <wp:cNvGraphicFramePr/>
                      <a:graphic xmlns:a="http://schemas.openxmlformats.org/drawingml/2006/main">
                        <a:graphicData uri="http://schemas.microsoft.com/office/word/2010/wordprocessingShape">
                          <wps:wsp>
                            <wps:cNvSpPr txBox="1"/>
                            <wps:spPr>
                              <a:xfrm>
                                <a:off x="0" y="0"/>
                                <a:ext cx="864235" cy="27813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暂存池</w:t>
                                  </w:r>
                                </w:p>
                              </w:txbxContent>
                            </wps:txbx>
                            <wps:bodyPr upright="1"/>
                          </wps:wsp>
                        </a:graphicData>
                      </a:graphic>
                    </wp:anchor>
                  </w:drawing>
                </mc:Choice>
                <mc:Fallback>
                  <w:pict>
                    <v:shape id="_x0000_s1026" o:spid="_x0000_s1026" o:spt="202" type="#_x0000_t202" style="position:absolute;left:0pt;margin-left:260.6pt;margin-top:12pt;height:21.9pt;width:68.05pt;z-index:251726848;mso-width-relative:page;mso-height-relative:page;" fillcolor="#FFFFFF" filled="t" stroked="t" coordsize="21600,21600" o:gfxdata="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tLjFnZAAAACQEAAA8AAAAAAAAAAQAgAAAAIgAAAGRycy9kb3ducmV2LnhtbFBLAQIU&#10;ABQAAAAIAIdO4kDBv9eRKwIAAHAEAAAOAAAAAAAAAAEAIAAAACgBAABkcnMvZTJvRG9jLnhtbFBL&#10;BQYAAAAABgAGAFkBAADFBQAAAAA=&#10;">
                      <v:fill type="gradient" on="t" color2="#FFFFFF" angle="90" focus="100%" focussize="0,0">
                        <o:fill type="gradientUnscaled" v:ext="backwardCompatible"/>
                      </v:fill>
                      <v:stroke color="#000001" joinstyle="miter"/>
                      <v:imagedata o:title=""/>
                      <o:lock v:ext="edit" aspectratio="f"/>
                      <v:textbox>
                        <w:txbxContent>
                          <w:p>
                            <w:pPr>
                              <w:jc w:val="center"/>
                              <w:rPr>
                                <w:rFonts w:hint="eastAsia" w:eastAsia="宋体"/>
                                <w:lang w:eastAsia="zh-CN"/>
                              </w:rPr>
                            </w:pPr>
                            <w:r>
                              <w:rPr>
                                <w:rFonts w:hint="eastAsia"/>
                                <w:lang w:eastAsia="zh-CN"/>
                              </w:rPr>
                              <w:t>暂存池</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17632" behindDoc="0" locked="0" layoutInCell="1" allowOverlap="1">
                      <wp:simplePos x="0" y="0"/>
                      <wp:positionH relativeFrom="column">
                        <wp:posOffset>1775460</wp:posOffset>
                      </wp:positionH>
                      <wp:positionV relativeFrom="paragraph">
                        <wp:posOffset>200660</wp:posOffset>
                      </wp:positionV>
                      <wp:extent cx="864235" cy="278130"/>
                      <wp:effectExtent l="4445" t="5080" r="7620" b="21590"/>
                      <wp:wrapNone/>
                      <wp:docPr id="28" name="文本框 28"/>
                      <wp:cNvGraphicFramePr/>
                      <a:graphic xmlns:a="http://schemas.openxmlformats.org/drawingml/2006/main">
                        <a:graphicData uri="http://schemas.microsoft.com/office/word/2010/wordprocessingShape">
                          <wps:wsp>
                            <wps:cNvSpPr txBox="1"/>
                            <wps:spPr>
                              <a:xfrm>
                                <a:off x="0" y="0"/>
                                <a:ext cx="864235" cy="27813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rPr>
                                  </w:pPr>
                                  <w:r>
                                    <w:rPr>
                                      <w:rFonts w:hint="eastAsia"/>
                                    </w:rPr>
                                    <w:t>清水池</w:t>
                                  </w:r>
                                </w:p>
                              </w:txbxContent>
                            </wps:txbx>
                            <wps:bodyPr upright="1"/>
                          </wps:wsp>
                        </a:graphicData>
                      </a:graphic>
                    </wp:anchor>
                  </w:drawing>
                </mc:Choice>
                <mc:Fallback>
                  <w:pict>
                    <v:shape id="_x0000_s1026" o:spid="_x0000_s1026" o:spt="202" type="#_x0000_t202" style="position:absolute;left:0pt;margin-left:139.8pt;margin-top:15.8pt;height:21.9pt;width:68.05pt;z-index:251717632;mso-width-relative:page;mso-height-relative:page;" fillcolor="#FFFFFF" filled="t" stroked="t" coordsize="21600,21600" o:gfxdata="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aX5IdkAAAAJAQAADwAAAAAAAAABACAAAAAiAAAAZHJzL2Rvd25yZXYueG1sUEsBAhQA&#10;FAAAAAgAh07iQJWTm5gqAgAAcAQAAA4AAAAAAAAAAQAgAAAAKAEAAGRycy9lMm9Eb2MueG1sUEsF&#10;BgAAAAAGAAYAWQEAAMQFAAAAAA==&#10;">
                      <v:fill type="gradient" on="t" color2="#FFFFFF" angle="90" focus="100%" focussize="0,0">
                        <o:fill type="gradientUnscaled" v:ext="backwardCompatible"/>
                      </v:fill>
                      <v:stroke color="#000001" joinstyle="miter"/>
                      <v:imagedata o:title=""/>
                      <o:lock v:ext="edit" aspectratio="f"/>
                      <v:textbox>
                        <w:txbxContent>
                          <w:p>
                            <w:pPr>
                              <w:jc w:val="center"/>
                              <w:rPr>
                                <w:rFonts w:hint="eastAsia"/>
                              </w:rPr>
                            </w:pPr>
                            <w:r>
                              <w:rPr>
                                <w:rFonts w:hint="eastAsia"/>
                              </w:rPr>
                              <w:t>清水池</w:t>
                            </w:r>
                          </w:p>
                        </w:txbxContent>
                      </v:textbox>
                    </v:shape>
                  </w:pict>
                </mc:Fallback>
              </mc:AlternateContent>
            </w:r>
          </w:p>
          <w:p>
            <w:pPr>
              <w:pStyle w:val="2"/>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22752" behindDoc="0" locked="0" layoutInCell="1" allowOverlap="1">
                      <wp:simplePos x="0" y="0"/>
                      <wp:positionH relativeFrom="column">
                        <wp:posOffset>2226310</wp:posOffset>
                      </wp:positionH>
                      <wp:positionV relativeFrom="paragraph">
                        <wp:posOffset>56515</wp:posOffset>
                      </wp:positionV>
                      <wp:extent cx="367030" cy="24193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67030" cy="241935"/>
                              </a:xfrm>
                              <a:prstGeom prst="rect">
                                <a:avLst/>
                              </a:prstGeom>
                              <a:noFill/>
                              <a:ln>
                                <a:noFill/>
                              </a:ln>
                            </wps:spPr>
                            <wps:txbx>
                              <w:txbxContent>
                                <w:p>
                                  <w:pPr>
                                    <w:jc w:val="center"/>
                                    <w:rPr>
                                      <w:rFonts w:hint="eastAsia"/>
                                    </w:rPr>
                                  </w:pPr>
                                  <w:r>
                                    <w:rPr>
                                      <w:rFonts w:hint="eastAsia"/>
                                      <w:lang w:val="en-US" w:eastAsia="zh-CN"/>
                                    </w:rPr>
                                    <w:t>1</w:t>
                                  </w:r>
                                  <w:r>
                                    <w:rPr>
                                      <w:rFonts w:hint="eastAsia"/>
                                    </w:rPr>
                                    <w:t>0%</w:t>
                                  </w:r>
                                </w:p>
                              </w:txbxContent>
                            </wps:txbx>
                            <wps:bodyPr lIns="0" tIns="0" rIns="0" bIns="0" upright="1"/>
                          </wps:wsp>
                        </a:graphicData>
                      </a:graphic>
                    </wp:anchor>
                  </w:drawing>
                </mc:Choice>
                <mc:Fallback>
                  <w:pict>
                    <v:shape id="_x0000_s1026" o:spid="_x0000_s1026" o:spt="202" type="#_x0000_t202" style="position:absolute;left:0pt;margin-left:175.3pt;margin-top:4.45pt;height:19.05pt;width:28.9pt;z-index:251722752;mso-width-relative:page;mso-height-relative:page;" filled="f" stroked="f" coordsize="21600,21600" o:gfxdata="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DKayozYAAAACAEAAA8AAAAAAAAA&#10;AQAgAAAAIgAAAGRycy9kb3ducmV2LnhtbFBLAQIUABQAAAAIAIdO4kAu5LmfnwEAACUDAAAOAAAA&#10;AAAAAAEAIAAAACcBAABkcnMvZTJvRG9jLnhtbFBLBQYAAAAABgAGAFkBAAA4BQAAAAA=&#10;">
                      <v:fill on="f" focussize="0,0"/>
                      <v:stroke on="f"/>
                      <v:imagedata o:title=""/>
                      <o:lock v:ext="edit" aspectratio="f"/>
                      <v:textbox inset="0mm,0mm,0mm,0mm">
                        <w:txbxContent>
                          <w:p>
                            <w:pPr>
                              <w:jc w:val="center"/>
                              <w:rPr>
                                <w:rFonts w:hint="eastAsia"/>
                              </w:rPr>
                            </w:pPr>
                            <w:r>
                              <w:rPr>
                                <w:rFonts w:hint="eastAsia"/>
                                <w:lang w:val="en-US" w:eastAsia="zh-CN"/>
                              </w:rPr>
                              <w:t>1</w:t>
                            </w:r>
                            <w:r>
                              <w:rPr>
                                <w:rFonts w:hint="eastAsia"/>
                              </w:rPr>
                              <w:t>0%</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21728" behindDoc="0" locked="0" layoutInCell="1" allowOverlap="1">
                      <wp:simplePos x="0" y="0"/>
                      <wp:positionH relativeFrom="column">
                        <wp:posOffset>2224405</wp:posOffset>
                      </wp:positionH>
                      <wp:positionV relativeFrom="paragraph">
                        <wp:posOffset>46355</wp:posOffset>
                      </wp:positionV>
                      <wp:extent cx="635" cy="314960"/>
                      <wp:effectExtent l="37465" t="0" r="38100" b="8890"/>
                      <wp:wrapNone/>
                      <wp:docPr id="29" name="直接连接符 29"/>
                      <wp:cNvGraphicFramePr/>
                      <a:graphic xmlns:a="http://schemas.openxmlformats.org/drawingml/2006/main">
                        <a:graphicData uri="http://schemas.microsoft.com/office/word/2010/wordprocessingShape">
                          <wps:wsp>
                            <wps:cNvCnPr/>
                            <wps:spPr>
                              <a:xfrm>
                                <a:off x="0" y="0"/>
                                <a:ext cx="635" cy="314960"/>
                              </a:xfrm>
                              <a:prstGeom prst="line">
                                <a:avLst/>
                              </a:prstGeom>
                              <a:ln w="9525" cap="flat" cmpd="sng">
                                <a:solidFill>
                                  <a:srgbClr val="000001"/>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75.15pt;margin-top:3.65pt;height:24.8pt;width:0.05pt;z-index:251721728;mso-width-relative:page;mso-height-relative:page;" filled="f" stroked="t" coordsize="21600,21600" o:gfxdata="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1H+CNYAAAAI&#10;AQAADwAAAAAAAAABACAAAAAiAAAAZHJzL2Rvd25yZXYueG1sUEsBAhQAFAAAAAgAh07iQP4FcDHl&#10;AQAAnQMAAA4AAAAAAAAAAQAgAAAAJQEAAGRycy9lMm9Eb2MueG1sUEsFBgAAAAAGAAYAWQEAAHwF&#10;AAAAAA==&#10;">
                      <v:fill on="f" focussize="0,0"/>
                      <v:stroke color="#000001" joinstyle="round" endarrow="block"/>
                      <v:imagedata o:title=""/>
                      <o:lock v:ext="edit" aspectratio="f"/>
                    </v:lin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723776" behindDoc="0" locked="0" layoutInCell="1" allowOverlap="1">
                      <wp:simplePos x="0" y="0"/>
                      <wp:positionH relativeFrom="column">
                        <wp:posOffset>1778000</wp:posOffset>
                      </wp:positionH>
                      <wp:positionV relativeFrom="paragraph">
                        <wp:posOffset>436880</wp:posOffset>
                      </wp:positionV>
                      <wp:extent cx="864235" cy="278130"/>
                      <wp:effectExtent l="4445" t="5080" r="7620" b="21590"/>
                      <wp:wrapNone/>
                      <wp:docPr id="26" name="文本框 26"/>
                      <wp:cNvGraphicFramePr/>
                      <a:graphic xmlns:a="http://schemas.openxmlformats.org/drawingml/2006/main">
                        <a:graphicData uri="http://schemas.microsoft.com/office/word/2010/wordprocessingShape">
                          <wps:wsp>
                            <wps:cNvSpPr txBox="1"/>
                            <wps:spPr>
                              <a:xfrm>
                                <a:off x="0" y="0"/>
                                <a:ext cx="864235" cy="278130"/>
                              </a:xfrm>
                              <a:prstGeom prst="rect">
                                <a:avLst/>
                              </a:prstGeom>
                              <a:gradFill rotWithShape="0">
                                <a:gsLst>
                                  <a:gs pos="0">
                                    <a:srgbClr val="FFFFFF"/>
                                  </a:gs>
                                  <a:gs pos="100000">
                                    <a:srgbClr val="FFFFFF"/>
                                  </a:gs>
                                </a:gsLst>
                                <a:lin ang="0"/>
                                <a:tileRect/>
                              </a:gradFill>
                              <a:ln w="9525" cap="flat" cmpd="sng">
                                <a:solidFill>
                                  <a:srgbClr val="000001"/>
                                </a:solidFill>
                                <a:prstDash val="solid"/>
                                <a:miter/>
                                <a:headEnd type="none" w="med" len="med"/>
                                <a:tailEnd type="none" w="med" len="med"/>
                              </a:ln>
                            </wps:spPr>
                            <wps:txbx>
                              <w:txbxContent>
                                <w:p>
                                  <w:pPr>
                                    <w:jc w:val="center"/>
                                    <w:rPr>
                                      <w:rFonts w:hint="eastAsia"/>
                                    </w:rPr>
                                  </w:pPr>
                                  <w:r>
                                    <w:rPr>
                                      <w:rFonts w:hint="eastAsia"/>
                                    </w:rPr>
                                    <w:t>达标排放</w:t>
                                  </w:r>
                                </w:p>
                              </w:txbxContent>
                            </wps:txbx>
                            <wps:bodyPr upright="1"/>
                          </wps:wsp>
                        </a:graphicData>
                      </a:graphic>
                    </wp:anchor>
                  </w:drawing>
                </mc:Choice>
                <mc:Fallback>
                  <w:pict>
                    <v:shape id="_x0000_s1026" o:spid="_x0000_s1026" o:spt="202" type="#_x0000_t202" style="position:absolute;left:0pt;margin-left:140pt;margin-top:34.4pt;height:21.9pt;width:68.05pt;z-index:251723776;mso-width-relative:page;mso-height-relative:page;" fillcolor="#FFFFFF" filled="t" stroked="t" coordsize="21600,21600" o:gfxdata="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diOoV9gAAAAKAQAADwAAAAAAAAABACAAAAAiAAAAZHJzL2Rvd25yZXYueG1sUEsBAhQA&#10;FAAAAAgAh07iQE3fue0rAgAAcAQAAA4AAAAAAAAAAQAgAAAAJwEAAGRycy9lMm9Eb2MueG1sUEsF&#10;BgAAAAAGAAYAWQEAAMQFAAAAAA==&#10;">
                      <v:fill type="gradient" on="t" color2="#FFFFFF" angle="90" focus="100%" focussize="0,0">
                        <o:fill type="gradientUnscaled" v:ext="backwardCompatible"/>
                      </v:fill>
                      <v:stroke color="#000001" joinstyle="miter"/>
                      <v:imagedata o:title=""/>
                      <o:lock v:ext="edit" aspectratio="f"/>
                      <v:textbox>
                        <w:txbxContent>
                          <w:p>
                            <w:pPr>
                              <w:jc w:val="center"/>
                              <w:rPr>
                                <w:rFonts w:hint="eastAsia"/>
                              </w:rPr>
                            </w:pPr>
                            <w:r>
                              <w:rPr>
                                <w:rFonts w:hint="eastAsia"/>
                              </w:rPr>
                              <w:t>达标排放</w:t>
                            </w:r>
                          </w:p>
                        </w:txbxContent>
                      </v:textbox>
                    </v:shape>
                  </w:pict>
                </mc:Fallback>
              </mc:AlternateContent>
            </w:r>
          </w:p>
          <w:p>
            <w:pPr>
              <w:pStyle w:val="2"/>
              <w:ind w:left="0" w:leftChars="0" w:firstLine="0" w:firstLineChars="0"/>
              <w:rPr>
                <w:rFonts w:hint="default" w:ascii="Times New Roman" w:hAnsi="Times New Roman" w:eastAsia="宋体" w:cs="Times New Roman"/>
                <w:bCs/>
                <w:color w:val="000000" w:themeColor="text1"/>
                <w:sz w:val="24"/>
                <w14:textFill>
                  <w14:solidFill>
                    <w14:schemeClr w14:val="tx1"/>
                  </w14:solidFill>
                </w14:textFill>
              </w:rPr>
            </w:pPr>
          </w:p>
          <w:p>
            <w:pPr>
              <w:spacing w:line="360" w:lineRule="auto"/>
              <w:ind w:firstLine="482" w:firstLineChars="200"/>
              <w:jc w:val="center"/>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图9.</w:t>
            </w:r>
            <w:r>
              <w:rPr>
                <w:rFonts w:hint="default" w:ascii="Times New Roman" w:hAnsi="Times New Roman" w:eastAsia="宋体" w:cs="Times New Roman"/>
                <w:b/>
                <w:color w:val="000000" w:themeColor="text1"/>
                <w:sz w:val="24"/>
                <w:lang w:val="en-US" w:eastAsia="zh-CN"/>
                <w14:textFill>
                  <w14:solidFill>
                    <w14:schemeClr w14:val="tx1"/>
                  </w14:solidFill>
                </w14:textFill>
              </w:rPr>
              <w:t>1-</w:t>
            </w:r>
            <w:r>
              <w:rPr>
                <w:rFonts w:hint="eastAsia" w:ascii="Times New Roman" w:hAnsi="Times New Roman" w:eastAsia="宋体" w:cs="Times New Roman"/>
                <w:b/>
                <w:color w:val="000000" w:themeColor="text1"/>
                <w:sz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14:textFill>
                  <w14:solidFill>
                    <w14:schemeClr w14:val="tx1"/>
                  </w14:solidFill>
                </w14:textFill>
              </w:rPr>
              <w:t xml:space="preserve">  生产废水处理工艺流程图</w:t>
            </w:r>
          </w:p>
          <w:p>
            <w:pPr>
              <w:widowControl/>
              <w:spacing w:line="360" w:lineRule="auto"/>
              <w:jc w:val="left"/>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9.</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14:textFill>
                  <w14:solidFill>
                    <w14:schemeClr w14:val="tx1"/>
                  </w14:solidFill>
                </w14:textFill>
              </w:rPr>
              <w:t>2.</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14:textFill>
                  <w14:solidFill>
                    <w14:schemeClr w14:val="tx1"/>
                  </w14:solidFill>
                </w14:textFill>
              </w:rPr>
              <w:t>（废）水</w:t>
            </w:r>
            <w:r>
              <w:rPr>
                <w:rFonts w:hint="default" w:ascii="Times New Roman" w:hAnsi="Times New Roman" w:eastAsia="宋体" w:cs="Times New Roman"/>
                <w:b/>
                <w:color w:val="000000" w:themeColor="text1"/>
                <w:sz w:val="24"/>
                <w:szCs w:val="24"/>
                <w:lang w:eastAsia="zh-CN"/>
                <w14:textFill>
                  <w14:solidFill>
                    <w14:schemeClr w14:val="tx1"/>
                  </w14:solidFill>
                </w14:textFill>
              </w:rPr>
              <w:t>处理设备简介</w:t>
            </w:r>
          </w:p>
          <w:p>
            <w:pPr>
              <w:widowControl/>
              <w:numPr>
                <w:ilvl w:val="0"/>
                <w:numId w:val="3"/>
              </w:numPr>
              <w:spacing w:line="360" w:lineRule="auto"/>
              <w:ind w:firstLine="482" w:firstLineChars="200"/>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eastAsia" w:ascii="Times New Roman" w:hAnsi="Times New Roman" w:eastAsia="宋体" w:cs="Times New Roman"/>
                <w:b/>
                <w:bCs w:val="0"/>
                <w:color w:val="000000" w:themeColor="text1"/>
                <w:sz w:val="24"/>
                <w:szCs w:val="24"/>
                <w:lang w:val="en-US" w:eastAsia="zh-CN"/>
                <w14:textFill>
                  <w14:solidFill>
                    <w14:schemeClr w14:val="tx1"/>
                  </w14:solidFill>
                </w14:textFill>
              </w:rPr>
              <w:t>一体化生化污水处理设备：</w:t>
            </w:r>
            <w:r>
              <w:rPr>
                <w:rFonts w:hint="default" w:ascii="Times New Roman" w:hAnsi="Times New Roman" w:eastAsia="宋体" w:cs="Times New Roman"/>
                <w:b w:val="0"/>
                <w:bCs/>
                <w:color w:val="000000" w:themeColor="text1"/>
                <w:sz w:val="24"/>
                <w:szCs w:val="24"/>
                <w14:textFill>
                  <w14:solidFill>
                    <w14:schemeClr w14:val="tx1"/>
                  </w14:solidFill>
                </w14:textFill>
              </w:rPr>
              <w:t>一体化污（废）水</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处理设备</w:t>
            </w:r>
            <w:r>
              <w:rPr>
                <w:rFonts w:hint="default" w:ascii="Times New Roman" w:hAnsi="Times New Roman" w:eastAsia="宋体" w:cs="Times New Roman"/>
                <w:color w:val="000000" w:themeColor="text1"/>
                <w:kern w:val="0"/>
                <w:sz w:val="24"/>
                <w14:textFill>
                  <w14:solidFill>
                    <w14:schemeClr w14:val="tx1"/>
                  </w14:solidFill>
                </w14:textFill>
              </w:rPr>
              <w:t>特性是采用“A/O生物接触氧化</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工艺，</w:t>
            </w:r>
            <w:r>
              <w:rPr>
                <w:rFonts w:hint="default" w:ascii="Times New Roman" w:hAnsi="Times New Roman" w:eastAsia="宋体" w:cs="Times New Roman"/>
                <w:color w:val="000000" w:themeColor="text1"/>
                <w:kern w:val="0"/>
                <w:sz w:val="24"/>
                <w:lang w:eastAsia="zh-CN"/>
                <w14:textFill>
                  <w14:solidFill>
                    <w14:schemeClr w14:val="tx1"/>
                  </w14:solidFill>
                </w14:textFill>
              </w:rPr>
              <w:t>厌氧</w:t>
            </w:r>
            <w:r>
              <w:rPr>
                <w:rFonts w:hint="default" w:ascii="Times New Roman" w:hAnsi="Times New Roman" w:eastAsia="宋体" w:cs="Times New Roman"/>
                <w:color w:val="000000" w:themeColor="text1"/>
                <w:kern w:val="0"/>
                <w:sz w:val="24"/>
                <w14:textFill>
                  <w14:solidFill>
                    <w14:schemeClr w14:val="tx1"/>
                  </w14:solidFill>
                </w14:textFill>
              </w:rPr>
              <w:t>池内设置弹性立体填料，</w:t>
            </w:r>
            <w:r>
              <w:rPr>
                <w:rFonts w:hint="default" w:ascii="Times New Roman" w:hAnsi="Times New Roman" w:eastAsia="宋体" w:cs="Times New Roman"/>
                <w:color w:val="000000" w:themeColor="text1"/>
                <w:kern w:val="0"/>
                <w:sz w:val="24"/>
                <w:lang w:eastAsia="zh-CN"/>
                <w14:textFill>
                  <w14:solidFill>
                    <w14:schemeClr w14:val="tx1"/>
                  </w14:solidFill>
                </w14:textFill>
              </w:rPr>
              <w:t>好氧</w:t>
            </w:r>
            <w:r>
              <w:rPr>
                <w:rFonts w:hint="default" w:ascii="Times New Roman" w:hAnsi="Times New Roman" w:eastAsia="宋体" w:cs="Times New Roman"/>
                <w:color w:val="000000" w:themeColor="text1"/>
                <w:kern w:val="0"/>
                <w:sz w:val="24"/>
                <w14:textFill>
                  <w14:solidFill>
                    <w14:schemeClr w14:val="tx1"/>
                  </w14:solidFill>
                </w14:textFill>
              </w:rPr>
              <w:t>池内设置立体柱状弹性填料，比表面积大，微生物活性高，能快速去除有机污染物，脱氮效果好。填料比表面积为普通固体填料的16—20倍，缩短生化时间，大大缩小占地面积；设备可</w:t>
            </w:r>
            <w:r>
              <w:rPr>
                <w:rFonts w:hint="default" w:ascii="Times New Roman" w:hAnsi="Times New Roman" w:eastAsia="宋体" w:cs="Times New Roman"/>
                <w:color w:val="000000" w:themeColor="text1"/>
                <w:kern w:val="0"/>
                <w:sz w:val="24"/>
                <w:lang w:eastAsia="zh-CN"/>
                <w14:textFill>
                  <w14:solidFill>
                    <w14:schemeClr w14:val="tx1"/>
                  </w14:solidFill>
                </w14:textFill>
              </w:rPr>
              <w:t>做成一体化装置</w:t>
            </w:r>
            <w:r>
              <w:rPr>
                <w:rFonts w:hint="default" w:ascii="Times New Roman" w:hAnsi="Times New Roman" w:eastAsia="宋体" w:cs="Times New Roman"/>
                <w:color w:val="000000" w:themeColor="text1"/>
                <w:kern w:val="0"/>
                <w:sz w:val="24"/>
                <w14:textFill>
                  <w14:solidFill>
                    <w14:schemeClr w14:val="tx1"/>
                  </w14:solidFill>
                </w14:textFill>
              </w:rPr>
              <w:t>埋入地下，基本不占地表面积，无需盖房、保温，地表可绿化走车，管理维护方便，运行费用小，投入资金少。工程实例表明，经该装罝处理后出水能稳定达到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广东省地方标准《水污染物排放限值》(DB44/26-2001)中第二时段一级标准</w:t>
            </w:r>
            <w:r>
              <w:rPr>
                <w:rFonts w:hint="default" w:ascii="Times New Roman" w:hAnsi="Times New Roman" w:eastAsia="宋体" w:cs="Times New Roman"/>
                <w:color w:val="000000" w:themeColor="text1"/>
                <w:kern w:val="0"/>
                <w:sz w:val="24"/>
                <w14:textFill>
                  <w14:solidFill>
                    <w14:schemeClr w14:val="tx1"/>
                  </w14:solidFill>
                </w14:textFill>
              </w:rPr>
              <w:t>。</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eastAsia" w:ascii="Times New Roman" w:hAnsi="Times New Roman" w:cs="Times New Roman"/>
                <w:b/>
                <w:color w:val="000000" w:themeColor="text1"/>
                <w:sz w:val="24"/>
                <w:lang w:val="en-US" w:eastAsia="zh-CN"/>
                <w14:textFill>
                  <w14:solidFill>
                    <w14:schemeClr w14:val="tx1"/>
                  </w14:solidFill>
                </w14:textFill>
              </w:rPr>
              <w:t>2、</w:t>
            </w:r>
            <w:r>
              <w:rPr>
                <w:rFonts w:hint="default" w:ascii="Times New Roman" w:hAnsi="Times New Roman" w:eastAsia="宋体" w:cs="Times New Roman"/>
                <w:b/>
                <w:color w:val="000000" w:themeColor="text1"/>
                <w:sz w:val="24"/>
                <w14:textFill>
                  <w14:solidFill>
                    <w14:schemeClr w14:val="tx1"/>
                  </w14:solidFill>
                </w14:textFill>
              </w:rPr>
              <w:t>生产废水处理</w:t>
            </w:r>
            <w:r>
              <w:rPr>
                <w:rFonts w:hint="eastAsia" w:ascii="Times New Roman" w:hAnsi="Times New Roman" w:cs="Times New Roman"/>
                <w:b/>
                <w:color w:val="000000" w:themeColor="text1"/>
                <w:sz w:val="24"/>
                <w:lang w:eastAsia="zh-CN"/>
                <w14:textFill>
                  <w14:solidFill>
                    <w14:schemeClr w14:val="tx1"/>
                  </w14:solidFill>
                </w14:textFill>
              </w:rPr>
              <w:t>设施</w:t>
            </w:r>
            <w:r>
              <w:rPr>
                <w:rFonts w:hint="default" w:ascii="Times New Roman" w:hAnsi="Times New Roman" w:eastAsia="宋体" w:cs="Times New Roman"/>
                <w:b/>
                <w:color w:val="000000" w:themeColor="text1"/>
                <w:sz w:val="24"/>
                <w14:textFill>
                  <w14:solidFill>
                    <w14:schemeClr w14:val="tx1"/>
                  </w14:solidFill>
                </w14:textFill>
              </w:rPr>
              <w:t>工艺简介：</w:t>
            </w:r>
          </w:p>
          <w:p>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项目生产废水水质简单，主要污染物为H</w:t>
            </w:r>
            <w:r>
              <w:rPr>
                <w:rFonts w:hint="default" w:ascii="Times New Roman" w:hAnsi="Times New Roman" w:eastAsia="宋体" w:cs="Times New Roman"/>
                <w:bCs/>
                <w:color w:val="000000" w:themeColor="text1"/>
                <w:sz w:val="24"/>
                <w:vertAlign w:val="superscript"/>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、SS、CODcr，生产废水集中收集后投加生石灰、PAM进行中和沉淀处理，处理后废水可稳定达到《广东省水污染物排放限值》DB44/26-2001一级排放标准，处理后废水</w:t>
            </w:r>
            <w:r>
              <w:rPr>
                <w:rFonts w:hint="default" w:ascii="Times New Roman" w:hAnsi="Times New Roman" w:eastAsia="宋体" w:cs="Times New Roman"/>
                <w:bCs/>
                <w:color w:val="000000" w:themeColor="text1"/>
                <w:sz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14:textFill>
                  <w14:solidFill>
                    <w14:schemeClr w14:val="tx1"/>
                  </w14:solidFill>
                </w14:textFill>
              </w:rPr>
              <w:t>0%经排污</w:t>
            </w:r>
            <w:r>
              <w:rPr>
                <w:rFonts w:hint="default" w:ascii="Times New Roman" w:hAnsi="Times New Roman" w:eastAsia="宋体" w:cs="Times New Roman"/>
                <w:bCs/>
                <w:color w:val="000000" w:themeColor="text1"/>
                <w:sz w:val="24"/>
                <w:lang w:eastAsia="zh-CN"/>
                <w14:textFill>
                  <w14:solidFill>
                    <w14:schemeClr w14:val="tx1"/>
                  </w14:solidFill>
                </w14:textFill>
              </w:rPr>
              <w:t>管</w:t>
            </w:r>
            <w:r>
              <w:rPr>
                <w:rFonts w:hint="default" w:ascii="Times New Roman" w:hAnsi="Times New Roman" w:eastAsia="宋体" w:cs="Times New Roman"/>
                <w:bCs/>
                <w:color w:val="000000" w:themeColor="text1"/>
                <w:sz w:val="24"/>
                <w14:textFill>
                  <w14:solidFill>
                    <w14:schemeClr w14:val="tx1"/>
                  </w14:solidFill>
                </w14:textFill>
              </w:rPr>
              <w:t>排至潖江河下游，</w:t>
            </w:r>
            <w:r>
              <w:rPr>
                <w:rFonts w:hint="default" w:ascii="Times New Roman" w:hAnsi="Times New Roman" w:eastAsia="宋体" w:cs="Times New Roman"/>
                <w:bCs/>
                <w:color w:val="000000" w:themeColor="text1"/>
                <w:sz w:val="24"/>
                <w:lang w:val="en-US" w:eastAsia="zh-CN"/>
                <w14:textFill>
                  <w14:solidFill>
                    <w14:schemeClr w14:val="tx1"/>
                  </w14:solidFill>
                </w14:textFill>
              </w:rPr>
              <w:t>9</w:t>
            </w:r>
            <w:r>
              <w:rPr>
                <w:rFonts w:hint="default" w:ascii="Times New Roman" w:hAnsi="Times New Roman" w:eastAsia="宋体" w:cs="Times New Roman"/>
                <w:bCs/>
                <w:color w:val="000000" w:themeColor="text1"/>
                <w:sz w:val="24"/>
                <w14:textFill>
                  <w14:solidFill>
                    <w14:schemeClr w14:val="tx1"/>
                  </w14:solidFill>
                </w14:textFill>
              </w:rPr>
              <w:t>0%回用于生产。</w:t>
            </w:r>
            <w:r>
              <w:rPr>
                <w:rFonts w:hint="default" w:ascii="Times New Roman" w:hAnsi="Times New Roman" w:eastAsia="宋体" w:cs="Times New Roman"/>
                <w:b w:val="0"/>
                <w:bCs/>
                <w:color w:val="000000" w:themeColor="text1"/>
                <w:sz w:val="24"/>
                <w:lang w:eastAsia="zh-CN"/>
                <w14:textFill>
                  <w14:solidFill>
                    <w14:schemeClr w14:val="tx1"/>
                  </w14:solidFill>
                </w14:textFill>
              </w:rPr>
              <w:t>沉淀池产生的</w:t>
            </w:r>
            <w:r>
              <w:rPr>
                <w:rFonts w:hint="default" w:ascii="Times New Roman" w:hAnsi="Times New Roman" w:eastAsia="宋体" w:cs="Times New Roman"/>
                <w:bCs/>
                <w:color w:val="000000" w:themeColor="text1"/>
                <w:sz w:val="24"/>
                <w:lang w:eastAsia="zh-CN"/>
                <w14:textFill>
                  <w14:solidFill>
                    <w14:schemeClr w14:val="tx1"/>
                  </w14:solidFill>
                </w14:textFill>
              </w:rPr>
              <w:t>污泥抽至压滤机压泥，产生的污泥外运</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水泥厂综合利用</w:t>
            </w:r>
            <w:r>
              <w:rPr>
                <w:rFonts w:hint="default" w:ascii="Times New Roman" w:hAnsi="Times New Roman" w:eastAsia="宋体" w:cs="Times New Roman"/>
                <w:color w:val="000000" w:themeColor="text1"/>
                <w:spacing w:val="-2"/>
                <w:sz w:val="24"/>
                <w:lang w:eastAsia="zh-CN"/>
                <w14:textFill>
                  <w14:solidFill>
                    <w14:schemeClr w14:val="tx1"/>
                  </w14:solidFill>
                </w14:textFill>
              </w:rPr>
              <w:t>，压滤机产生的滤液回流至调节池重新处理。</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4"/>
                <w:szCs w:val="22"/>
                <w:lang w:val="en-US" w:eastAsia="zh-CN" w:bidi="ar-SA"/>
                <w14:textFill>
                  <w14:solidFill>
                    <w14:schemeClr w14:val="tx1"/>
                  </w14:solidFill>
                </w14:textFill>
              </w:rPr>
              <w:t xml:space="preserve">调节池( 1、2) : </w:t>
            </w:r>
            <w:r>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t xml:space="preserve">污水在原水池内通过一定时间的停留，用泵提升至调节池单元。在此阶段设置加碱装置及pH监测系统各一套，用于调节废水的pH值。分为调节池1和调节 池2，投加试剂时pH值分别调节到: 一级反应调节到 6. 5、二级反应调节到8. 0为准。 </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4"/>
                <w:szCs w:val="22"/>
                <w:lang w:val="en-US" w:eastAsia="zh-CN" w:bidi="ar-SA"/>
                <w14:textFill>
                  <w14:solidFill>
                    <w14:schemeClr w14:val="tx1"/>
                  </w14:solidFill>
                </w14:textFill>
              </w:rPr>
              <w:t>混凝沉淀池(1、2) :</w:t>
            </w:r>
            <w:r>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t xml:space="preserve"> 由于废水中的固体悬浮物含量很高，采用混凝沉淀池，去除废水中的悬浮物及Fe等杂质金属离子，沉淀后污泥排至污泥池。本工段设置PAC、PAM药剂投加系统可提高悬浮物等污染物的去除效率。混凝池也分为两级沉淀，分别为沉淀1、沉淀2。在沉淀池2做到混凝的二级完全沉淀。 </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4"/>
                <w:szCs w:val="22"/>
                <w:lang w:val="en-US" w:eastAsia="zh-CN" w:bidi="ar-SA"/>
                <w14:textFill>
                  <w14:solidFill>
                    <w14:schemeClr w14:val="tx1"/>
                  </w14:solidFill>
                </w14:textFill>
              </w:rPr>
              <w:t xml:space="preserve">过滤池: </w:t>
            </w:r>
            <w:r>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t xml:space="preserve">过滤池主要作用是进一步处理沉淀池，没有完全沉淀下去的悬浮物。 </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
                <w:bCs w:val="0"/>
                <w:snapToGrid w:val="0"/>
                <w:color w:val="000000" w:themeColor="text1"/>
                <w:kern w:val="2"/>
                <w:sz w:val="24"/>
                <w:szCs w:val="22"/>
                <w:lang w:val="en-US" w:eastAsia="zh-CN" w:bidi="ar-SA"/>
                <w14:textFill>
                  <w14:solidFill>
                    <w14:schemeClr w14:val="tx1"/>
                  </w14:solidFill>
                </w14:textFill>
              </w:rPr>
              <w:t xml:space="preserve">清水池: </w:t>
            </w:r>
            <w:r>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t>清水池用于储存混凝沉淀池出水，同时此阶段设置加酸系统，将处理后废水的pH调至酸性，使其达到石英砂清洗用水标准后，用泵提升至水洗工段，重新用于石英砂清洗。</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pPr>
            <w:r>
              <w:rPr>
                <w:rFonts w:hint="default" w:ascii="Times New Roman" w:hAnsi="Times New Roman" w:eastAsia="宋体" w:cs="Times New Roman"/>
                <w:bCs/>
                <w:snapToGrid w:val="0"/>
                <w:color w:val="000000" w:themeColor="text1"/>
                <w:kern w:val="2"/>
                <w:sz w:val="24"/>
                <w:szCs w:val="22"/>
                <w:lang w:val="en-US" w:eastAsia="zh-CN" w:bidi="ar-SA"/>
                <w14:textFill>
                  <w14:solidFill>
                    <w14:schemeClr w14:val="tx1"/>
                  </w14:solidFill>
                </w14:textFill>
              </w:rPr>
              <w:t>应急水池说明: 在非正常运行下，导致无法进行正常污水处理时，调节池可作为应急水池，做过度使用池。另外，在废酸处理的过程中，不达标废水亦可以排入调节水池，做应急处理。</w:t>
            </w:r>
          </w:p>
          <w:p>
            <w:pPr>
              <w:widowControl/>
              <w:spacing w:line="360" w:lineRule="auto"/>
              <w:ind w:firstLine="480" w:firstLineChars="200"/>
              <w:jc w:val="left"/>
              <w:rPr>
                <w:rFonts w:hint="default"/>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工程实例表明，经该装罝处理</w:t>
            </w:r>
            <w:r>
              <w:rPr>
                <w:rFonts w:hint="eastAsia" w:cs="Times New Roman"/>
                <w:color w:val="000000" w:themeColor="text1"/>
                <w:kern w:val="0"/>
                <w:sz w:val="24"/>
                <w:lang w:eastAsia="zh-CN"/>
                <w14:textFill>
                  <w14:solidFill>
                    <w14:schemeClr w14:val="tx1"/>
                  </w14:solidFill>
                </w14:textFill>
              </w:rPr>
              <w:t>草酸酸洗石英砂过程中产生的生产</w:t>
            </w:r>
            <w:r>
              <w:rPr>
                <w:rFonts w:hint="default" w:ascii="Times New Roman" w:hAnsi="Times New Roman" w:eastAsia="宋体" w:cs="Times New Roman"/>
                <w:color w:val="000000" w:themeColor="text1"/>
                <w:kern w:val="0"/>
                <w:sz w:val="24"/>
                <w:lang w:eastAsia="zh-CN"/>
                <w14:textFill>
                  <w14:solidFill>
                    <w14:schemeClr w14:val="tx1"/>
                  </w14:solidFill>
                </w14:textFill>
              </w:rPr>
              <w:t>废水</w:t>
            </w:r>
            <w:r>
              <w:rPr>
                <w:rFonts w:hint="eastAsia" w:cs="Times New Roman"/>
                <w:color w:val="000000" w:themeColor="text1"/>
                <w:kern w:val="0"/>
                <w:sz w:val="24"/>
                <w:lang w:eastAsia="zh-CN"/>
                <w14:textFill>
                  <w14:solidFill>
                    <w14:schemeClr w14:val="tx1"/>
                  </w14:solidFill>
                </w14:textFill>
              </w:rPr>
              <w:t>后，</w:t>
            </w:r>
            <w:r>
              <w:rPr>
                <w:rFonts w:hint="default" w:ascii="Times New Roman" w:hAnsi="Times New Roman" w:eastAsia="宋体" w:cs="Times New Roman"/>
                <w:color w:val="000000" w:themeColor="text1"/>
                <w:kern w:val="0"/>
                <w:sz w:val="24"/>
                <w14:textFill>
                  <w14:solidFill>
                    <w14:schemeClr w14:val="tx1"/>
                  </w14:solidFill>
                </w14:textFill>
              </w:rPr>
              <w:t>出水能稳定达到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广东省地方标准《水污染物排放限值》(DB44/26-2001)中第二时段一级标准</w:t>
            </w:r>
            <w:r>
              <w:rPr>
                <w:rFonts w:hint="default" w:ascii="Times New Roman" w:hAnsi="Times New Roman" w:eastAsia="宋体" w:cs="Times New Roman"/>
                <w:color w:val="000000" w:themeColor="text1"/>
                <w:kern w:val="0"/>
                <w:sz w:val="24"/>
                <w14:textFill>
                  <w14:solidFill>
                    <w14:schemeClr w14:val="tx1"/>
                  </w14:solidFill>
                </w14:textFill>
              </w:rPr>
              <w:t>。</w:t>
            </w:r>
          </w:p>
          <w:p>
            <w:pPr>
              <w:widowControl/>
              <w:spacing w:line="360" w:lineRule="auto"/>
              <w:jc w:val="left"/>
              <w:rPr>
                <w:rFonts w:hint="default" w:ascii="Times New Roman" w:hAnsi="Times New Roman" w:eastAsia="宋体" w:cs="Times New Roman"/>
                <w:b/>
                <w:bCs/>
                <w:color w:val="000000" w:themeColor="text1"/>
                <w:sz w:val="24"/>
                <w:highlight w:val="none"/>
                <w:lang w:eastAsia="zh-CN"/>
                <w14:textFill>
                  <w14:solidFill>
                    <w14:schemeClr w14:val="tx1"/>
                  </w14:solidFill>
                </w14:textFill>
              </w:rPr>
            </w:pPr>
            <w:r>
              <w:rPr>
                <w:rFonts w:hint="default" w:ascii="Times New Roman" w:hAnsi="Times New Roman" w:eastAsia="宋体" w:cs="Times New Roman"/>
                <w:b/>
                <w:color w:val="000000" w:themeColor="text1"/>
                <w:sz w:val="24"/>
                <w:szCs w:val="24"/>
                <w:lang w:eastAsia="zh-CN"/>
                <w14:textFill>
                  <w14:solidFill>
                    <w14:schemeClr w14:val="tx1"/>
                  </w14:solidFill>
                </w14:textFill>
              </w:rPr>
              <w:t>9.</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lang w:eastAsia="zh-CN"/>
                <w14:textFill>
                  <w14:solidFill>
                    <w14:schemeClr w14:val="tx1"/>
                  </w14:solidFill>
                </w14:textFill>
              </w:rPr>
              <w:t>2.</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纳污水体可行性分析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本项目污（废）水经有效处理达标后，排入项目附近纳污水体潖江河，潖江</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（佛冈县城湖滨至北江与浰江交汇处）</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在《广东省地表水环境功能区划》（粤环[2011]14号）中</w:t>
            </w:r>
            <w:r>
              <w:rPr>
                <w:rFonts w:hint="default" w:ascii="Times New Roman" w:hAnsi="Times New Roman" w:eastAsia="宋体" w:cs="Times New Roman"/>
                <w:snapToGrid w:val="0"/>
                <w:color w:val="000000" w:themeColor="text1"/>
                <w:kern w:val="0"/>
                <w:sz w:val="24"/>
                <w:szCs w:val="20"/>
                <w:lang w:eastAsia="zh-CN"/>
                <w14:textFill>
                  <w14:solidFill>
                    <w14:schemeClr w14:val="tx1"/>
                  </w14:solidFill>
                </w14:textFill>
              </w:rPr>
              <w:t>属于</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Ⅲ类</w:t>
            </w:r>
            <w:r>
              <w:rPr>
                <w:rFonts w:hint="default" w:ascii="Times New Roman" w:hAnsi="Times New Roman" w:eastAsia="宋体" w:cs="Times New Roman"/>
                <w:snapToGrid w:val="0"/>
                <w:color w:val="000000" w:themeColor="text1"/>
                <w:kern w:val="0"/>
                <w:sz w:val="24"/>
                <w:szCs w:val="20"/>
                <w:lang w:eastAsia="zh-CN"/>
                <w14:textFill>
                  <w14:solidFill>
                    <w14:schemeClr w14:val="tx1"/>
                  </w14:solidFill>
                </w14:textFill>
              </w:rPr>
              <w:t>水功能区，</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执行《地表水环境质量标准》（GB3838-2002）Ⅲ类水质标准</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。经预测，本项目外排污水对纳污水体潖江的影响很小。</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因此，本项目污（废）水经处理达标后排入潖江是可行的。</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运营期噪声防治措施</w:t>
            </w:r>
            <w:r>
              <w:rPr>
                <w:rFonts w:hint="default" w:ascii="Times New Roman" w:hAnsi="Times New Roman" w:eastAsia="宋体" w:cs="Times New Roman"/>
                <w:b/>
                <w:color w:val="000000" w:themeColor="text1"/>
                <w:sz w:val="24"/>
                <w:szCs w:val="24"/>
                <w:highlight w:val="none"/>
                <w14:textFill>
                  <w14:solidFill>
                    <w14:schemeClr w14:val="tx1"/>
                  </w14:solidFill>
                </w14:textFill>
              </w:rPr>
              <w:t>可行性分析</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p>
          <w:p>
            <w:pPr>
              <w:pStyle w:val="72"/>
              <w:keepNext w:val="0"/>
              <w:keepLines w:val="0"/>
              <w:pageBreakBefore w:val="0"/>
              <w:widowControl w:val="0"/>
              <w:kinsoku/>
              <w:wordWrap/>
              <w:overflowPunct/>
              <w:topLinePunct w:val="0"/>
              <w:autoSpaceDE/>
              <w:autoSpaceDN/>
              <w:bidi w:val="0"/>
              <w:adjustRightInd/>
              <w:snapToGrid/>
              <w:ind w:firstLine="480" w:firstLineChars="200"/>
              <w:textAlignment w:val="baseline"/>
              <w:outlineLvl w:val="9"/>
              <w:rPr>
                <w:rFonts w:hint="default" w:ascii="Times New Roman" w:hAnsi="Times New Roman" w:eastAsia="宋体" w:cs="Times New Roman"/>
                <w:bCs w:val="0"/>
                <w:color w:val="000000" w:themeColor="text1"/>
                <w:highlight w:val="none"/>
                <w14:textFill>
                  <w14:solidFill>
                    <w14:schemeClr w14:val="tx1"/>
                  </w14:solidFill>
                </w14:textFill>
              </w:rPr>
            </w:pPr>
            <w:bookmarkStart w:id="23" w:name="_Toc272427576"/>
            <w:r>
              <w:rPr>
                <w:rFonts w:hint="default" w:ascii="Times New Roman" w:hAnsi="Times New Roman" w:eastAsia="宋体" w:cs="Times New Roman"/>
                <w:color w:val="000000" w:themeColor="text1"/>
                <w:highlight w:val="none"/>
                <w14:textFill>
                  <w14:solidFill>
                    <w14:schemeClr w14:val="tx1"/>
                  </w14:solidFill>
                </w14:textFill>
              </w:rPr>
              <w:t>评价建议：</w:t>
            </w:r>
            <w:r>
              <w:rPr>
                <w:rFonts w:hint="default" w:ascii="Times New Roman" w:hAnsi="Times New Roman" w:eastAsia="宋体" w:cs="Times New Roman"/>
                <w:bCs w:val="0"/>
                <w:color w:val="000000" w:themeColor="text1"/>
                <w:highlight w:val="none"/>
                <w14:textFill>
                  <w14:solidFill>
                    <w14:schemeClr w14:val="tx1"/>
                  </w14:solidFill>
                </w14:textFill>
              </w:rPr>
              <w:t xml:space="preserve">采取的如下相关噪声治理措施。 </w:t>
            </w:r>
          </w:p>
          <w:p>
            <w:pPr>
              <w:pStyle w:val="72"/>
              <w:keepNext w:val="0"/>
              <w:keepLines w:val="0"/>
              <w:pageBreakBefore w:val="0"/>
              <w:kinsoku/>
              <w:overflowPunct/>
              <w:topLinePunct w:val="0"/>
              <w:bidi w:val="0"/>
              <w:adjustRightInd/>
              <w:snapToGrid/>
              <w:ind w:firstLine="480" w:firstLineChars="200"/>
              <w:rPr>
                <w:rFonts w:hint="default" w:ascii="Times New Roman" w:hAnsi="Times New Roman" w:eastAsia="宋体" w:cs="Times New Roman"/>
                <w:bCs w:val="0"/>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highlight w:val="none"/>
                <w14:textFill>
                  <w14:solidFill>
                    <w14:schemeClr w14:val="tx1"/>
                  </w14:solidFill>
                </w14:textFill>
              </w:rPr>
              <w:t xml:space="preserve">（1）从噪声源入手，在采购设备选择低噪声设备； </w:t>
            </w:r>
          </w:p>
          <w:p>
            <w:pPr>
              <w:pStyle w:val="72"/>
              <w:keepNext w:val="0"/>
              <w:keepLines w:val="0"/>
              <w:pageBreakBefore w:val="0"/>
              <w:kinsoku/>
              <w:overflowPunct/>
              <w:topLinePunct w:val="0"/>
              <w:bidi w:val="0"/>
              <w:adjustRightInd/>
              <w:snapToGrid/>
              <w:ind w:firstLine="480" w:firstLineChars="200"/>
              <w:rPr>
                <w:rFonts w:hint="default" w:ascii="Times New Roman" w:hAnsi="Times New Roman" w:eastAsia="宋体" w:cs="Times New Roman"/>
                <w:bCs w:val="0"/>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highlight w:val="none"/>
                <w14:textFill>
                  <w14:solidFill>
                    <w14:schemeClr w14:val="tx1"/>
                  </w14:solidFill>
                </w14:textFill>
              </w:rPr>
              <w:t>（2）用隔声法降低噪声：采用适当的隔声设备如隔墙、隔振垫、隔声屏障等，能降低噪声级20~50分贝；</w:t>
            </w:r>
          </w:p>
          <w:p>
            <w:pPr>
              <w:pStyle w:val="72"/>
              <w:keepNext w:val="0"/>
              <w:keepLines w:val="0"/>
              <w:pageBreakBefore w:val="0"/>
              <w:kinsoku/>
              <w:overflowPunct/>
              <w:topLinePunct w:val="0"/>
              <w:bidi w:val="0"/>
              <w:adjustRightInd/>
              <w:snapToGrid/>
              <w:ind w:firstLine="480" w:firstLineChars="200"/>
              <w:rPr>
                <w:rFonts w:hint="default" w:ascii="Times New Roman" w:hAnsi="Times New Roman" w:eastAsia="宋体" w:cs="Times New Roman"/>
                <w:bCs w:val="0"/>
                <w:color w:val="000000" w:themeColor="text1"/>
                <w:highlight w:val="none"/>
                <w14:textFill>
                  <w14:solidFill>
                    <w14:schemeClr w14:val="tx1"/>
                  </w14:solidFill>
                </w14:textFill>
              </w:rPr>
            </w:pPr>
            <w:r>
              <w:rPr>
                <w:rFonts w:hint="default" w:ascii="Times New Roman" w:hAnsi="Times New Roman" w:eastAsia="宋体" w:cs="Times New Roman"/>
                <w:bCs w:val="0"/>
                <w:color w:val="000000" w:themeColor="text1"/>
                <w:highlight w:val="none"/>
                <w14:textFill>
                  <w14:solidFill>
                    <w14:schemeClr w14:val="tx1"/>
                  </w14:solidFill>
                </w14:textFill>
              </w:rPr>
              <w:t xml:space="preserve">（3）加强噪声设备的维护管理，避免因不正常运行所导致的噪声增大； </w:t>
            </w:r>
          </w:p>
          <w:p>
            <w:pPr>
              <w:pStyle w:val="72"/>
              <w:keepNext w:val="0"/>
              <w:keepLines w:val="0"/>
              <w:pageBreakBefore w:val="0"/>
              <w:kinsoku/>
              <w:overflowPunct/>
              <w:topLinePunct w:val="0"/>
              <w:bidi w:val="0"/>
              <w:adjustRightInd/>
              <w:snapToGrid/>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val="0"/>
                <w:color w:val="000000" w:themeColor="text1"/>
                <w:highlight w:val="none"/>
                <w14:textFill>
                  <w14:solidFill>
                    <w14:schemeClr w14:val="tx1"/>
                  </w14:solidFill>
                </w14:textFill>
              </w:rPr>
              <w:t>通过采取上述各项减振、隔声、吸声、消声等综合治理措施，从技术角度上讲，完全可以满足噪声防治的需要，使厂界噪声满足《工业企业厂界环境噪声排放标准》</w:t>
            </w:r>
            <w:r>
              <w:rPr>
                <w:rFonts w:hint="default" w:ascii="Times New Roman" w:hAnsi="Times New Roman" w:eastAsia="宋体" w:cs="Times New Roman"/>
                <w:bCs w:val="0"/>
                <w:color w:val="000000" w:themeColor="text1"/>
                <w:sz w:val="24"/>
                <w:szCs w:val="24"/>
                <w:highlight w:val="none"/>
                <w14:textFill>
                  <w14:solidFill>
                    <w14:schemeClr w14:val="tx1"/>
                  </w14:solidFill>
                </w14:textFill>
              </w:rPr>
              <w:t>（GB12348-2008）中的</w:t>
            </w:r>
            <w:r>
              <w:rPr>
                <w:rFonts w:hint="default" w:ascii="Times New Roman" w:hAnsi="Times New Roman" w:eastAsia="宋体" w:cs="Times New Roman"/>
                <w:bCs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Cs w:val="0"/>
                <w:color w:val="000000" w:themeColor="text1"/>
                <w:sz w:val="24"/>
                <w:szCs w:val="24"/>
                <w:highlight w:val="none"/>
                <w14:textFill>
                  <w14:solidFill>
                    <w14:schemeClr w14:val="tx1"/>
                  </w14:solidFill>
                </w14:textFill>
              </w:rPr>
              <w:t>类标准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bookmarkEnd w:id="23"/>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9.</w:t>
            </w:r>
            <w:r>
              <w:rPr>
                <w:rFonts w:hint="default" w:ascii="Times New Roman" w:hAnsi="Times New Roman" w:eastAsia="宋体" w:cs="Times New Roman"/>
                <w:b/>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4</w:t>
            </w:r>
            <w:r>
              <w:rPr>
                <w:rFonts w:hint="default" w:ascii="Times New Roman" w:hAnsi="Times New Roman" w:eastAsia="宋体" w:cs="Times New Roman"/>
                <w:b/>
                <w:color w:val="000000" w:themeColor="text1"/>
                <w:sz w:val="24"/>
                <w:szCs w:val="24"/>
                <w:highlight w:val="none"/>
                <w14:textFill>
                  <w14:solidFill>
                    <w14:schemeClr w14:val="tx1"/>
                  </w14:solidFill>
                </w14:textFill>
              </w:rPr>
              <w:t>运营期固体废物防治措施可行性分析</w:t>
            </w:r>
          </w:p>
          <w:p>
            <w:pPr>
              <w:pStyle w:val="72"/>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本项目运营期产生的固体废物</w:t>
            </w:r>
            <w:r>
              <w:rPr>
                <w:rFonts w:hint="default" w:ascii="Times New Roman" w:hAnsi="Times New Roman" w:eastAsia="宋体" w:cs="Times New Roman"/>
                <w:bCs w:val="0"/>
                <w:color w:val="000000" w:themeColor="text1"/>
                <w:highlight w:val="none"/>
                <w14:textFill>
                  <w14:solidFill>
                    <w14:schemeClr w14:val="tx1"/>
                  </w14:solidFill>
                </w14:textFill>
              </w:rPr>
              <w:t>产生及处理措施，</w:t>
            </w:r>
            <w:r>
              <w:rPr>
                <w:rFonts w:hint="default" w:ascii="Times New Roman" w:hAnsi="Times New Roman" w:eastAsia="宋体" w:cs="Times New Roman"/>
                <w:color w:val="000000" w:themeColor="text1"/>
                <w:highlight w:val="none"/>
                <w14:textFill>
                  <w14:solidFill>
                    <w14:schemeClr w14:val="tx1"/>
                  </w14:solidFill>
                </w14:textFill>
              </w:rPr>
              <w:t>详见下表：</w:t>
            </w:r>
          </w:p>
          <w:p>
            <w:pPr>
              <w:pStyle w:val="6"/>
              <w:keepNext w:val="0"/>
              <w:keepLines w:val="0"/>
              <w:pageBreakBefore w:val="0"/>
              <w:kinsoku/>
              <w:overflowPunct/>
              <w:topLinePunct w:val="0"/>
              <w:bidi w:val="0"/>
              <w:adjustRightInd/>
              <w:snapToGrid/>
              <w:spacing w:before="156" w:beforeLines="50"/>
              <w:ind w:firstLine="0" w:firstLineChars="0"/>
              <w:jc w:val="center"/>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 xml:space="preserve">9.1-1 </w:t>
            </w:r>
            <w:r>
              <w:rPr>
                <w:rFonts w:hint="default" w:ascii="Times New Roman" w:hAnsi="Times New Roman" w:eastAsia="宋体" w:cs="Times New Roman"/>
                <w:b/>
                <w:color w:val="000000" w:themeColor="text1"/>
                <w:sz w:val="24"/>
                <w:highlight w:val="none"/>
                <w14:textFill>
                  <w14:solidFill>
                    <w14:schemeClr w14:val="tx1"/>
                  </w14:solidFill>
                </w14:textFill>
              </w:rPr>
              <w:t>固体废弃物产生量汇总表</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652"/>
              <w:gridCol w:w="1404"/>
              <w:gridCol w:w="1373"/>
              <w:gridCol w:w="1423"/>
              <w:gridCol w:w="33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固废名称</w:t>
                  </w:r>
                </w:p>
              </w:tc>
              <w:tc>
                <w:tcPr>
                  <w:tcW w:w="1404"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固废属性</w:t>
                  </w:r>
                </w:p>
              </w:tc>
              <w:tc>
                <w:tcPr>
                  <w:tcW w:w="1373"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产生工序</w:t>
                  </w:r>
                </w:p>
              </w:tc>
              <w:tc>
                <w:tcPr>
                  <w:tcW w:w="1423" w:type="dxa"/>
                  <w:vAlign w:val="center"/>
                </w:tcPr>
                <w:p>
                  <w:pPr>
                    <w:jc w:val="cente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产生量</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t/a</w:t>
                  </w: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w:t>
                  </w:r>
                </w:p>
              </w:tc>
              <w:tc>
                <w:tcPr>
                  <w:tcW w:w="3372" w:type="dxa"/>
                  <w:vAlign w:val="center"/>
                </w:tcPr>
                <w:p>
                  <w:pPr>
                    <w:jc w:val="center"/>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Merge w:val="restart"/>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尾泥</w:t>
                  </w:r>
                </w:p>
              </w:tc>
              <w:tc>
                <w:tcPr>
                  <w:tcW w:w="1404" w:type="dxa"/>
                  <w:vMerge w:val="restart"/>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洗砂废水循环处理设施</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1500</w:t>
                  </w:r>
                </w:p>
              </w:tc>
              <w:tc>
                <w:tcPr>
                  <w:tcW w:w="3372" w:type="dxa"/>
                  <w:vMerge w:val="restart"/>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收集后外售给水泥厂综合利用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c>
                <w:tcPr>
                  <w:tcW w:w="1404" w:type="dxa"/>
                  <w:vMerge w:val="continue"/>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生产废水处理设施</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500</w:t>
                  </w:r>
                </w:p>
              </w:tc>
              <w:tc>
                <w:tcPr>
                  <w:tcW w:w="3372" w:type="dxa"/>
                  <w:vMerge w:val="continue"/>
                  <w:vAlign w:val="center"/>
                </w:tcPr>
                <w:p>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c>
                <w:tcPr>
                  <w:tcW w:w="1404" w:type="dxa"/>
                  <w:vMerge w:val="continue"/>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小计</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2000</w:t>
                  </w:r>
                </w:p>
              </w:tc>
              <w:tc>
                <w:tcPr>
                  <w:tcW w:w="3372" w:type="dxa"/>
                  <w:vMerge w:val="continue"/>
                  <w:vAlign w:val="center"/>
                </w:tcPr>
                <w:p>
                  <w:pPr>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磁尾砂</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磁选工序</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1520</w:t>
                  </w:r>
                </w:p>
              </w:tc>
              <w:tc>
                <w:tcPr>
                  <w:tcW w:w="3372" w:type="dxa"/>
                  <w:vMerge w:val="restart"/>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收集后外售给建材厂综合利用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杂砂</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色选工序</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30</w:t>
                  </w:r>
                </w:p>
              </w:tc>
              <w:tc>
                <w:tcPr>
                  <w:tcW w:w="337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除尘灰</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废气处理</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5.697</w:t>
                  </w:r>
                </w:p>
              </w:tc>
              <w:tc>
                <w:tcPr>
                  <w:tcW w:w="3372" w:type="dxa"/>
                  <w:vMerge w:val="continue"/>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包装固废</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原辅料拆包、包装工序</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1</w:t>
                  </w:r>
                </w:p>
              </w:tc>
              <w:tc>
                <w:tcPr>
                  <w:tcW w:w="337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原料桶、原料袋等由原材料供应商回收利用，其他交由专业固废回收公司处理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污泥</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生活污水一体化处理设施</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0.196</w:t>
                  </w:r>
                </w:p>
              </w:tc>
              <w:tc>
                <w:tcPr>
                  <w:tcW w:w="3372"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收集后可交由专业固废回收公司处理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vAlign w:val="center"/>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废润滑油</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HW08类危险废物</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机械维修</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0.05</w:t>
                  </w:r>
                </w:p>
              </w:tc>
              <w:tc>
                <w:tcPr>
                  <w:tcW w:w="3372" w:type="dxa"/>
                  <w:vAlign w:val="center"/>
                </w:tcPr>
                <w:p>
                  <w:pPr>
                    <w:jc w:val="center"/>
                    <w:rPr>
                      <w:rFonts w:hint="default" w:ascii="Times New Roman" w:hAnsi="Times New Roman" w:eastAsia="宋体" w:cs="Times New Roman"/>
                      <w:b w:val="0"/>
                      <w:bCs/>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分类储存，</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交</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由</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有资质危废公司处理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340" w:hRule="atLeast"/>
                <w:jc w:val="center"/>
              </w:trPr>
              <w:tc>
                <w:tcPr>
                  <w:tcW w:w="1652" w:type="dxa"/>
                </w:tcPr>
                <w:p>
                  <w:pPr>
                    <w:jc w:val="cente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w:t>
                  </w:r>
                </w:p>
              </w:tc>
              <w:tc>
                <w:tcPr>
                  <w:tcW w:w="1404"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生活垃圾</w:t>
                  </w:r>
                </w:p>
              </w:tc>
              <w:tc>
                <w:tcPr>
                  <w:tcW w:w="1373" w:type="dxa"/>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员工生活</w:t>
                  </w:r>
                </w:p>
              </w:tc>
              <w:tc>
                <w:tcPr>
                  <w:tcW w:w="1423" w:type="dxa"/>
                  <w:vAlign w:val="center"/>
                </w:tcPr>
                <w:p>
                  <w:pPr>
                    <w:jc w:val="center"/>
                    <w:rPr>
                      <w:rFonts w:hint="default" w:ascii="Times New Roman" w:hAnsi="Times New Roman" w:eastAsia="宋体" w:cs="Times New Roman"/>
                      <w:b w:val="0"/>
                      <w:bCs/>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w:t>
                  </w:r>
                </w:p>
              </w:tc>
              <w:tc>
                <w:tcPr>
                  <w:tcW w:w="3372" w:type="dxa"/>
                  <w:vAlign w:val="center"/>
                </w:tcPr>
                <w:p>
                  <w:pPr>
                    <w:jc w:val="center"/>
                    <w:rPr>
                      <w:rFonts w:hint="default" w:ascii="Times New Roman" w:hAnsi="Times New Roman" w:eastAsia="宋体" w:cs="Times New Roman"/>
                      <w:b w:val="0"/>
                      <w:bCs/>
                      <w:color w:val="000000" w:themeColor="text1"/>
                      <w:kern w:val="0"/>
                      <w:sz w:val="21"/>
                      <w:szCs w:val="21"/>
                      <w:highlight w:val="none"/>
                      <w:lang w:val="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分类储存，</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交环卫部门处理</w:t>
                  </w:r>
                </w:p>
              </w:tc>
            </w:tr>
          </w:tbl>
          <w:p>
            <w:pPr>
              <w:pStyle w:val="72"/>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baseline"/>
              <w:outlineLvl w:val="9"/>
              <w:rPr>
                <w:rFonts w:hint="default" w:ascii="Times New Roman" w:hAnsi="Times New Roman" w:eastAsia="宋体" w:cs="Times New Roman"/>
                <w:b/>
                <w:bCs w:val="0"/>
                <w:color w:val="000000" w:themeColor="text1"/>
                <w:highlight w:val="none"/>
                <w14:textFill>
                  <w14:solidFill>
                    <w14:schemeClr w14:val="tx1"/>
                  </w14:solidFill>
                </w14:textFill>
              </w:rPr>
            </w:pPr>
            <w:r>
              <w:rPr>
                <w:rFonts w:hint="default" w:ascii="Times New Roman" w:hAnsi="Times New Roman" w:eastAsia="宋体" w:cs="Times New Roman"/>
                <w:b/>
                <w:bCs w:val="0"/>
                <w:color w:val="000000" w:themeColor="text1"/>
                <w:highlight w:val="none"/>
                <w:lang w:val="en-US" w:eastAsia="zh-CN"/>
                <w14:textFill>
                  <w14:solidFill>
                    <w14:schemeClr w14:val="tx1"/>
                  </w14:solidFill>
                </w14:textFill>
              </w:rPr>
              <w:t>9</w:t>
            </w:r>
            <w:r>
              <w:rPr>
                <w:rFonts w:hint="default" w:ascii="Times New Roman" w:hAnsi="Times New Roman" w:eastAsia="宋体" w:cs="Times New Roman"/>
                <w:b/>
                <w:bCs w:val="0"/>
                <w:color w:val="000000" w:themeColor="text1"/>
                <w:highlight w:val="none"/>
                <w14:textFill>
                  <w14:solidFill>
                    <w14:schemeClr w14:val="tx1"/>
                  </w14:solidFill>
                </w14:textFill>
              </w:rPr>
              <w:t>.</w:t>
            </w:r>
            <w:r>
              <w:rPr>
                <w:rFonts w:hint="default" w:ascii="Times New Roman" w:hAnsi="Times New Roman" w:eastAsia="宋体" w:cs="Times New Roman"/>
                <w:b/>
                <w:bCs w:val="0"/>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highlight w:val="none"/>
                <w14:textFill>
                  <w14:solidFill>
                    <w14:schemeClr w14:val="tx1"/>
                  </w14:solidFill>
                </w14:textFill>
              </w:rPr>
              <w:t>4.1一般工业固废处理措施</w:t>
            </w:r>
          </w:p>
          <w:p>
            <w:pPr>
              <w:pStyle w:val="72"/>
              <w:keepNext w:val="0"/>
              <w:keepLines w:val="0"/>
              <w:pageBreakBefore w:val="0"/>
              <w:kinsoku/>
              <w:overflowPunct/>
              <w:topLinePunct w:val="0"/>
              <w:bidi w:val="0"/>
              <w:adjustRightInd/>
              <w:snapToGrid/>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本项目一般工业固废需要设置固废暂存场所，能利用的尽量循环使用，不能利用的定期交由有固废资质单位或专业机构进行无害化处理。</w:t>
            </w:r>
          </w:p>
          <w:p>
            <w:pPr>
              <w:pStyle w:val="72"/>
              <w:keepNext w:val="0"/>
              <w:keepLines w:val="0"/>
              <w:pageBreakBefore w:val="0"/>
              <w:kinsoku/>
              <w:overflowPunct/>
              <w:topLinePunct w:val="0"/>
              <w:bidi w:val="0"/>
              <w:adjustRightInd/>
              <w:snapToGrid/>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按照《一般工业固体废物贮存、处置场污染控制标准》（GB18599-2001）的相关要求建立固体废物临时的堆放场地，不得随处堆放。临时堆放的地面与</w:t>
            </w:r>
            <w:r>
              <w:rPr>
                <w:rFonts w:hint="default" w:ascii="Times New Roman" w:hAnsi="Times New Roman" w:eastAsia="宋体" w:cs="Times New Roman"/>
                <w:color w:val="000000" w:themeColor="text1"/>
                <w:highlight w:val="none"/>
                <w:lang w:eastAsia="zh-CN"/>
                <w14:textFill>
                  <w14:solidFill>
                    <w14:schemeClr w14:val="tx1"/>
                  </w14:solidFill>
                </w14:textFill>
              </w:rPr>
              <w:t>墙角</w:t>
            </w:r>
            <w:r>
              <w:rPr>
                <w:rFonts w:hint="default" w:ascii="Times New Roman" w:hAnsi="Times New Roman" w:eastAsia="宋体" w:cs="Times New Roman"/>
                <w:color w:val="000000" w:themeColor="text1"/>
                <w:highlight w:val="none"/>
                <w14:textFill>
                  <w14:solidFill>
                    <w14:schemeClr w14:val="tx1"/>
                  </w14:solidFill>
                </w14:textFill>
              </w:rPr>
              <w:t>要用竖固、防渗的建筑材料建造，基础必须防渗，应设计建造径流疏导系统，保证能防止暴雨不会流到临时堆放的场所。临时堆放场所要防风、防雨、防晒，设置周围应设置围墙并做好密闭处理，禁止危险废物及生活垃混入。</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9.1.4.2危险废物防治措施</w:t>
            </w:r>
          </w:p>
          <w:p>
            <w:pPr>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危险废物须严格按《广东省危险废物经营许可证管理暂行规定》和《广东省危险废物转移报告联单管理暂行规定》中的有关要求管理。加强对危险废物的管理，对危险废物的产生、利用、收集、运输、贮存、处置等环节建立追踪性的帐目和手续，并纳入环保部门的监督管理。危险废物的运输和贮存注意事项如下：</w:t>
            </w:r>
          </w:p>
          <w:p>
            <w:pPr>
              <w:spacing w:line="360" w:lineRule="auto"/>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b/>
                <w:bCs w:val="0"/>
                <w:cap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val="0"/>
                <w:color w:val="000000" w:themeColor="text1"/>
                <w:sz w:val="24"/>
                <w:szCs w:val="28"/>
                <w:highlight w:val="none"/>
                <w14:textFill>
                  <w14:solidFill>
                    <w14:schemeClr w14:val="tx1"/>
                  </w14:solidFill>
                </w14:textFill>
              </w:rPr>
              <w:t>危险废物贮存</w:t>
            </w: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措施</w:t>
            </w: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 </w:t>
            </w:r>
          </w:p>
          <w:p>
            <w:pPr>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本项目运营过程中将产生一定量的危险废物，应严格按照《危险废物贮存污染控制标准》（GBl8597-2001）相关要求进行分类收集后置于专用桶中，暂存放在项目的危险废物贮存间内。同时该危险废物贮存间应严格按照《危险废物贮存污染控制标准》（GBl8597-2001）相关要求进行。 </w:t>
            </w:r>
          </w:p>
          <w:p>
            <w:pPr>
              <w:spacing w:line="360" w:lineRule="auto"/>
              <w:rPr>
                <w:rFonts w:hint="default" w:ascii="Times New Roman" w:hAnsi="Times New Roman" w:eastAsia="宋体" w:cs="Times New Roman"/>
                <w:b/>
                <w:bCs w:val="0"/>
                <w:color w:val="000000" w:themeColor="text1"/>
                <w:sz w:val="24"/>
                <w:szCs w:val="28"/>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8"/>
                <w:highlight w:val="none"/>
                <w:lang w:val="en-US" w:eastAsia="zh-CN"/>
                <w14:textFill>
                  <w14:solidFill>
                    <w14:schemeClr w14:val="tx1"/>
                  </w14:solidFill>
                </w14:textFill>
              </w:rPr>
              <w:t>2、</w:t>
            </w:r>
            <w:r>
              <w:rPr>
                <w:rFonts w:hint="default" w:ascii="Times New Roman" w:hAnsi="Times New Roman" w:eastAsia="宋体" w:cs="Times New Roman"/>
                <w:b/>
                <w:bCs w:val="0"/>
                <w:color w:val="000000" w:themeColor="text1"/>
                <w:sz w:val="24"/>
                <w:szCs w:val="28"/>
                <w:highlight w:val="none"/>
                <w14:textFill>
                  <w14:solidFill>
                    <w14:schemeClr w14:val="tx1"/>
                  </w14:solidFill>
                </w14:textFill>
              </w:rPr>
              <w:t>危险废物运输</w:t>
            </w: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措施</w:t>
            </w:r>
            <w:r>
              <w:rPr>
                <w:rFonts w:hint="default" w:ascii="Times New Roman" w:hAnsi="Times New Roman" w:eastAsia="宋体" w:cs="Times New Roman"/>
                <w:b/>
                <w:bCs w:val="0"/>
                <w:color w:val="000000" w:themeColor="text1"/>
                <w:sz w:val="24"/>
                <w:szCs w:val="28"/>
                <w:highlight w:val="none"/>
                <w14:textFill>
                  <w14:solidFill>
                    <w14:schemeClr w14:val="tx1"/>
                  </w14:solidFill>
                </w14:textFill>
              </w:rPr>
              <w:t xml:space="preserve"> </w:t>
            </w:r>
          </w:p>
          <w:p>
            <w:pPr>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本项目产生的危险废物，拟交由有资质单位回收处理，由处理单位派专用车辆定期上门接收，运输至资质单位废物处理场进行处理。 </w:t>
            </w:r>
          </w:p>
          <w:p>
            <w:pPr>
              <w:spacing w:line="360" w:lineRule="auto"/>
              <w:rPr>
                <w:rFonts w:hint="default" w:ascii="Times New Roman" w:hAnsi="Times New Roman" w:eastAsia="宋体" w:cs="Times New Roman"/>
                <w:b/>
                <w:bCs w:val="0"/>
                <w:color w:val="000000" w:themeColor="text1"/>
                <w:sz w:val="24"/>
                <w:szCs w:val="28"/>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8"/>
                <w:highlight w:val="none"/>
                <w:lang w:val="en-US" w:eastAsia="zh-CN"/>
                <w14:textFill>
                  <w14:solidFill>
                    <w14:schemeClr w14:val="tx1"/>
                  </w14:solidFill>
                </w14:textFill>
              </w:rPr>
              <w:t>3、</w:t>
            </w:r>
            <w:r>
              <w:rPr>
                <w:rFonts w:hint="default" w:ascii="Times New Roman" w:hAnsi="Times New Roman" w:eastAsia="宋体" w:cs="Times New Roman"/>
                <w:b/>
                <w:bCs w:val="0"/>
                <w:color w:val="000000" w:themeColor="text1"/>
                <w:sz w:val="24"/>
                <w:szCs w:val="28"/>
                <w:highlight w:val="none"/>
                <w14:textFill>
                  <w14:solidFill>
                    <w14:schemeClr w14:val="tx1"/>
                  </w14:solidFill>
                </w14:textFill>
              </w:rPr>
              <w:t>危险废物处置</w:t>
            </w: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措施</w:t>
            </w:r>
            <w:r>
              <w:rPr>
                <w:rFonts w:hint="default" w:ascii="Times New Roman" w:hAnsi="Times New Roman" w:eastAsia="宋体" w:cs="Times New Roman"/>
                <w:b/>
                <w:bCs w:val="0"/>
                <w:color w:val="000000" w:themeColor="text1"/>
                <w:sz w:val="24"/>
                <w:szCs w:val="28"/>
                <w:highlight w:val="none"/>
                <w14:textFill>
                  <w14:solidFill>
                    <w14:schemeClr w14:val="tx1"/>
                  </w14:solidFill>
                </w14:textFill>
              </w:rPr>
              <w:t xml:space="preserve"> </w:t>
            </w:r>
          </w:p>
          <w:p>
            <w:pPr>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本项目产生的危险废物交由有资质单位根据各危险废物的性质进行无害化处置，项目设置的危险废物临时堆放间需满足以下要求： </w:t>
            </w:r>
          </w:p>
          <w:p>
            <w:pPr>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1）危险废物临时堆放场要做好防风、防雨、防晒，基础必须防渗。 </w:t>
            </w:r>
          </w:p>
          <w:p>
            <w:pPr>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2）应设计建造径流疏导系统，保证能防止25年一遇的暴雨不会流到危险废物临时堆放场内。   </w:t>
            </w:r>
          </w:p>
          <w:p>
            <w:pPr>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3）堆放危险废物的高度应根据地面承载能力确定。   </w:t>
            </w:r>
          </w:p>
          <w:p>
            <w:pPr>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8"/>
                <w:highlight w:val="none"/>
                <w14:textFill>
                  <w14:solidFill>
                    <w14:schemeClr w14:val="tx1"/>
                  </w14:solidFill>
                </w14:textFill>
              </w:rPr>
              <w:t xml:space="preserve">4）在衬里上设计、建造浸出液收集清除系统。衬里放在一个基础或底座上，衬里要能够覆盖危险废物或其溶出物可能涉及到的范围，衬里材料与堆放危险废物相容。   </w:t>
            </w:r>
          </w:p>
          <w:p>
            <w:pPr>
              <w:spacing w:line="360" w:lineRule="auto"/>
              <w:ind w:firstLine="480" w:firstLineChars="200"/>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4"/>
                <w:szCs w:val="28"/>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8"/>
                <w:highlight w:val="none"/>
                <w14:textFill>
                  <w14:solidFill>
                    <w14:schemeClr w14:val="tx1"/>
                  </w14:solidFill>
                </w14:textFill>
              </w:rPr>
              <w:t>5）不相容的危险废物不能堆放在一起。</w:t>
            </w:r>
          </w:p>
          <w:p>
            <w:pPr>
              <w:keepNext w:val="0"/>
              <w:keepLines w:val="0"/>
              <w:pageBreakBefore w:val="0"/>
              <w:kinsoku/>
              <w:overflowPunct/>
              <w:topLinePunct w:val="0"/>
              <w:bidi w:val="0"/>
              <w:adjustRightInd/>
              <w:snapToGrid/>
              <w:spacing w:line="360" w:lineRule="auto"/>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9.</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highlight w:val="none"/>
                <w14:textFill>
                  <w14:solidFill>
                    <w14:schemeClr w14:val="tx1"/>
                  </w14:solidFill>
                </w14:textFill>
              </w:rPr>
              <w:t>4.</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highlight w:val="none"/>
                <w14:textFill>
                  <w14:solidFill>
                    <w14:schemeClr w14:val="tx1"/>
                  </w14:solidFill>
                </w14:textFill>
              </w:rPr>
              <w:t>生活垃圾</w:t>
            </w:r>
          </w:p>
          <w:p>
            <w:pPr>
              <w:keepNext w:val="0"/>
              <w:keepLines w:val="0"/>
              <w:pageBreakBefore w:val="0"/>
              <w:kinsoku/>
              <w:overflowPunct/>
              <w:topLinePunct w:val="0"/>
              <w:bidi w:val="0"/>
              <w:adjustRightInd/>
              <w:snapToGrid/>
              <w:spacing w:line="360" w:lineRule="auto"/>
              <w:ind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办公室设有生活垃圾桶，生活垃圾由垃圾桶收集后再运至生活垃圾收集站，最终由环卫部门运至佛冈县生活垃圾填埋场处理，</w:t>
            </w:r>
            <w:r>
              <w:rPr>
                <w:rFonts w:hint="default" w:ascii="Times New Roman" w:hAnsi="Times New Roman" w:eastAsia="宋体" w:cs="Times New Roman"/>
                <w:color w:val="000000" w:themeColor="text1"/>
                <w:sz w:val="24"/>
                <w:szCs w:val="24"/>
                <w:highlight w:val="none"/>
                <w14:textFill>
                  <w14:solidFill>
                    <w14:schemeClr w14:val="tx1"/>
                  </w14:solidFill>
                </w14:textFill>
              </w:rPr>
              <w:t>垃圾堆放点定期进行消毒，消灭害虫，避免散发恶臭，滋生蚊蝇。</w:t>
            </w:r>
          </w:p>
          <w:p>
            <w:pPr>
              <w:keepNext w:val="0"/>
              <w:keepLines w:val="0"/>
              <w:pageBreakBefore w:val="0"/>
              <w:kinsoku/>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佛冈县生活垃圾卫生填埋场选址位于汤塘镇升平村下刀排村（京港澳高速以西），总投资为7303万元，占地389.03亩，垃圾填埋区位于场区的中部和西部，其中，一期工程位于场区的中间，呈不规则五边形，面积3.01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；填埋区二期工程位于场区西部，呈不规则长条形，面积4.96万m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；三期工程在一期、二期面积的基础上向周边延伸，继续在上方进行填埋，面积11.86万m2。填埋场设计总库容为292.57万m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，总有效库容为248.68万m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，可填埋垃圾量为298.41万吨；填埋场的服务年限约为22年，即服务期从2015年至2036年。故本项目生活垃圾分类收集后交环卫部门统一送佛冈县生活垃级填埋场处理是可行的。</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bCs w:val="0"/>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bCs w:val="0"/>
                <w:color w:val="000000" w:themeColor="text1"/>
                <w:sz w:val="24"/>
                <w:szCs w:val="24"/>
                <w:highlight w:val="none"/>
                <w:shd w:val="clear" w:color="auto" w:fill="auto"/>
                <w14:textFill>
                  <w14:solidFill>
                    <w14:schemeClr w14:val="tx1"/>
                  </w14:solidFill>
                </w14:textFill>
              </w:rPr>
              <w:t>环境风险防范措施</w:t>
            </w:r>
          </w:p>
          <w:p>
            <w:pPr>
              <w:keepNext w:val="0"/>
              <w:keepLines w:val="0"/>
              <w:pageBreakBefore w:val="0"/>
              <w:widowControl w:val="0"/>
              <w:kinsoku/>
              <w:overflowPunct/>
              <w:topLinePunct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在现实许多企业由于监管不力或设备长期运行失效而出现环保事故泄露和排放。故建设单位应做好监管工作，预防泄露事件的发生；认真做好设备的保养，定期维护、保修工作，使处理设施达到预期效果。为确保不发生事故性泄露和污染物排放，建议采取一定的事故性防范措施：</w:t>
            </w:r>
          </w:p>
          <w:p>
            <w:pPr>
              <w:keepNext w:val="0"/>
              <w:keepLines w:val="0"/>
              <w:pageBreakBefore w:val="0"/>
              <w:widowControl w:val="0"/>
              <w:kinsoku/>
              <w:overflowPunct/>
              <w:topLinePunct w:val="0"/>
              <w:bidi w:val="0"/>
              <w:adjustRightInd/>
              <w:snapToGrid/>
              <w:spacing w:line="360" w:lineRule="auto"/>
              <w:ind w:firstLine="480" w:firstLineChars="200"/>
              <w:jc w:val="both"/>
              <w:textAlignment w:val="baseline"/>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（1）各生产环节严格执行生产管理的有关规定，并加强设备的检修及保养，提高管理人员素质，设置机器事故应急措施及管理制度，确保设备长期处于良好状态，使设备达到预期的处理效果。</w:t>
            </w:r>
          </w:p>
          <w:p>
            <w:pPr>
              <w:pStyle w:val="72"/>
              <w:keepNext w:val="0"/>
              <w:keepLines w:val="0"/>
              <w:pageBreakBefore w:val="0"/>
              <w:widowControl w:val="0"/>
              <w:kinsoku/>
              <w:wordWrap/>
              <w:overflowPunct/>
              <w:topLinePunct w:val="0"/>
              <w:autoSpaceDE/>
              <w:autoSpaceDN/>
              <w:bidi w:val="0"/>
              <w:adjustRightInd/>
              <w:snapToGrid/>
              <w:ind w:firstLine="480" w:firstLineChars="200"/>
              <w:textAlignment w:val="baseline"/>
              <w:outlineLvl w:val="9"/>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2）现场作业人员定时记录环保设施运行状况，如对环保设施的管网系统、抽风机等设备进行点检工作，并派专人巡视，遇不良工作状况立即停止车间排污工序，维修正常后再开始作业，杜绝事故性直排，待检修完毕再通知生产车间相关工序恢复生产。</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val="0"/>
                <w:color w:val="000000" w:themeColor="text1"/>
                <w:kern w:val="2"/>
                <w:sz w:val="28"/>
                <w:szCs w:val="28"/>
                <w:highlight w:val="none"/>
                <w:shd w:val="clear" w:color="auto" w:fill="auto"/>
                <w:lang w:val="en-US" w:eastAsia="zh-CN" w:bidi="ar-SA"/>
                <w14:textFill>
                  <w14:solidFill>
                    <w14:schemeClr w14:val="tx1"/>
                  </w14:solidFill>
                </w14:textFill>
              </w:rPr>
              <w:t>9.2</w:t>
            </w:r>
            <w:r>
              <w:rPr>
                <w:rFonts w:hint="default" w:ascii="Times New Roman" w:hAnsi="Times New Roman" w:eastAsia="宋体" w:cs="Times New Roman"/>
                <w:b/>
                <w:bCs w:val="0"/>
                <w:color w:val="000000" w:themeColor="text1"/>
                <w:sz w:val="28"/>
                <w:szCs w:val="28"/>
                <w:highlight w:val="none"/>
                <w14:textFill>
                  <w14:solidFill>
                    <w14:schemeClr w14:val="tx1"/>
                  </w14:solidFill>
                </w14:textFill>
              </w:rPr>
              <w:t>环</w:t>
            </w:r>
            <w:r>
              <w:rPr>
                <w:rFonts w:hint="default" w:ascii="Times New Roman" w:hAnsi="Times New Roman" w:eastAsia="宋体" w:cs="Times New Roman"/>
                <w:b/>
                <w:color w:val="000000" w:themeColor="text1"/>
                <w:sz w:val="28"/>
                <w:szCs w:val="28"/>
                <w:highlight w:val="none"/>
                <w14:textFill>
                  <w14:solidFill>
                    <w14:schemeClr w14:val="tx1"/>
                  </w14:solidFill>
                </w14:textFill>
              </w:rPr>
              <w:t>保投资经济可行性分析</w:t>
            </w:r>
          </w:p>
          <w:p>
            <w:pPr>
              <w:keepNext w:val="0"/>
              <w:keepLines w:val="0"/>
              <w:pageBreakBefore w:val="0"/>
              <w:kinsoku/>
              <w:overflowPunct/>
              <w:topLinePunct w:val="0"/>
              <w:bidi w:val="0"/>
              <w:adjustRightInd/>
              <w:snapToGrid/>
              <w:spacing w:line="360" w:lineRule="auto"/>
              <w:jc w:val="left"/>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.1环保投资估算</w:t>
            </w:r>
          </w:p>
          <w:p>
            <w:pPr>
              <w:pStyle w:val="76"/>
              <w:keepNext w:val="0"/>
              <w:keepLines w:val="0"/>
              <w:pageBreakBefore w:val="0"/>
              <w:kinsoku/>
              <w:overflowPunct/>
              <w:topLinePunct w:val="0"/>
              <w:bidi w:val="0"/>
              <w:adjustRightInd/>
              <w:snapToGrid/>
              <w:spacing w:line="360" w:lineRule="auto"/>
              <w:ind w:firstLine="480" w:firstLineChars="200"/>
              <w:jc w:val="both"/>
              <w:rPr>
                <w:rFonts w:hint="default" w:ascii="Times New Roman" w:hAnsi="Times New Roman" w:eastAsia="宋体" w:cs="Times New Roman"/>
                <w:b/>
                <w:color w:val="000000" w:themeColor="text1"/>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本项目环保设施投资估算如表9.</w:t>
            </w:r>
            <w:r>
              <w:rPr>
                <w:rFonts w:hint="default"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-1所示。</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-1</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14:textFill>
                  <w14:solidFill>
                    <w14:schemeClr w14:val="tx1"/>
                  </w14:solidFill>
                </w14:textFill>
              </w:rPr>
              <w:t>本项目环保投资估算一览表</w:t>
            </w:r>
          </w:p>
          <w:tbl>
            <w:tblPr>
              <w:tblStyle w:val="26"/>
              <w:tblW w:w="938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5"/>
              <w:gridCol w:w="460"/>
              <w:gridCol w:w="1604"/>
              <w:gridCol w:w="3948"/>
              <w:gridCol w:w="1366"/>
              <w:gridCol w:w="13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序号</w:t>
                  </w:r>
                </w:p>
              </w:tc>
              <w:tc>
                <w:tcPr>
                  <w:tcW w:w="2064" w:type="dxa"/>
                  <w:gridSpan w:val="2"/>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类别</w:t>
                  </w:r>
                </w:p>
              </w:tc>
              <w:tc>
                <w:tcPr>
                  <w:tcW w:w="394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主要环保措施</w:t>
                  </w:r>
                </w:p>
              </w:tc>
              <w:tc>
                <w:tcPr>
                  <w:tcW w:w="136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投资金额</w:t>
                  </w:r>
                </w:p>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万元</w:t>
                  </w: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w:t>
                  </w: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2064" w:type="dxa"/>
                  <w:gridSpan w:val="2"/>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生活污水</w:t>
                  </w:r>
                </w:p>
              </w:tc>
              <w:tc>
                <w:tcPr>
                  <w:tcW w:w="394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val="0"/>
                      <w:color w:val="000000" w:themeColor="text1"/>
                      <w:sz w:val="21"/>
                      <w:szCs w:val="21"/>
                      <w:highlight w:val="none"/>
                      <w:lang w:eastAsia="zh-CN"/>
                      <w14:textFill>
                        <w14:solidFill>
                          <w14:schemeClr w14:val="tx1"/>
                        </w14:solidFill>
                      </w14:textFill>
                    </w:rPr>
                    <w:t>一体化</w:t>
                  </w:r>
                  <w:r>
                    <w:rPr>
                      <w:rFonts w:hint="default" w:ascii="Times New Roman" w:hAnsi="Times New Roman" w:eastAsia="宋体" w:cs="Times New Roman"/>
                      <w:bCs w:val="0"/>
                      <w:color w:val="000000" w:themeColor="text1"/>
                      <w:sz w:val="21"/>
                      <w:szCs w:val="21"/>
                      <w:highlight w:val="none"/>
                      <w14:textFill>
                        <w14:solidFill>
                          <w14:schemeClr w14:val="tx1"/>
                        </w14:solidFill>
                      </w14:textFill>
                    </w:rPr>
                    <w:t>污水处理设施</w:t>
                  </w:r>
                </w:p>
              </w:tc>
              <w:tc>
                <w:tcPr>
                  <w:tcW w:w="136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2064" w:type="dxa"/>
                  <w:gridSpan w:val="2"/>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洗砂废水</w:t>
                  </w:r>
                </w:p>
              </w:tc>
              <w:tc>
                <w:tcPr>
                  <w:tcW w:w="394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洗砂废水循环处理设施</w:t>
                  </w:r>
                </w:p>
              </w:tc>
              <w:tc>
                <w:tcPr>
                  <w:tcW w:w="136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2064" w:type="dxa"/>
                  <w:gridSpan w:val="2"/>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生产废水</w:t>
                  </w:r>
                </w:p>
              </w:tc>
              <w:tc>
                <w:tcPr>
                  <w:tcW w:w="394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工艺为“中和调节</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+混凝</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絮凝</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+沉淀+过滤”的生产废水处理设施；</w:t>
                  </w:r>
                </w:p>
              </w:tc>
              <w:tc>
                <w:tcPr>
                  <w:tcW w:w="136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33</w:t>
                  </w: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2064" w:type="dxa"/>
                  <w:gridSpan w:val="2"/>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热水炉燃烧废气</w:t>
                  </w:r>
                </w:p>
              </w:tc>
              <w:tc>
                <w:tcPr>
                  <w:tcW w:w="3948" w:type="dxa"/>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收集系统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+“旋风除尘+麻石水膜除尘”+1根15m高排气筒</w:t>
                  </w:r>
                </w:p>
              </w:tc>
              <w:tc>
                <w:tcPr>
                  <w:tcW w:w="1366" w:type="dxa"/>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1398" w:type="dxa"/>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2064" w:type="dxa"/>
                  <w:gridSpan w:val="2"/>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烘干炉燃烧废气</w:t>
                  </w:r>
                </w:p>
              </w:tc>
              <w:tc>
                <w:tcPr>
                  <w:tcW w:w="3948"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66"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398"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2064" w:type="dxa"/>
                  <w:gridSpan w:val="2"/>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烘干筛分粉尘</w:t>
                  </w:r>
                </w:p>
              </w:tc>
              <w:tc>
                <w:tcPr>
                  <w:tcW w:w="3948"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366"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398"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2064" w:type="dxa"/>
                  <w:gridSpan w:val="2"/>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394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val="0"/>
                      <w:color w:val="000000" w:themeColor="text1"/>
                      <w:kern w:val="0"/>
                      <w:sz w:val="21"/>
                      <w:szCs w:val="21"/>
                      <w:highlight w:val="none"/>
                      <w14:textFill>
                        <w14:solidFill>
                          <w14:schemeClr w14:val="tx1"/>
                        </w14:solidFill>
                      </w14:textFill>
                    </w:rPr>
                    <w:t>采用隔声、吸声、减震等措施</w:t>
                  </w:r>
                </w:p>
              </w:tc>
              <w:tc>
                <w:tcPr>
                  <w:tcW w:w="1366"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460" w:type="dxa"/>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固废</w:t>
                  </w:r>
                </w:p>
              </w:tc>
              <w:tc>
                <w:tcPr>
                  <w:tcW w:w="1604"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尾泥饼</w:t>
                  </w:r>
                </w:p>
              </w:tc>
              <w:tc>
                <w:tcPr>
                  <w:tcW w:w="3948"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分类收集暂存仓，</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外售给水泥厂综合利用</w:t>
                  </w:r>
                </w:p>
              </w:tc>
              <w:tc>
                <w:tcPr>
                  <w:tcW w:w="1366" w:type="dxa"/>
                  <w:vMerge w:val="restart"/>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460"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604"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磁尾砂</w:t>
                  </w:r>
                </w:p>
              </w:tc>
              <w:tc>
                <w:tcPr>
                  <w:tcW w:w="3948" w:type="dxa"/>
                  <w:vMerge w:val="restart"/>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分类收集暂存仓，</w:t>
                  </w: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收集后外售给建材厂综合利用</w:t>
                  </w:r>
                </w:p>
              </w:tc>
              <w:tc>
                <w:tcPr>
                  <w:tcW w:w="1366"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460"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604"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杂砂</w:t>
                  </w:r>
                </w:p>
              </w:tc>
              <w:tc>
                <w:tcPr>
                  <w:tcW w:w="3948"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366"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460"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604"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除尘灰</w:t>
                  </w:r>
                </w:p>
              </w:tc>
              <w:tc>
                <w:tcPr>
                  <w:tcW w:w="3948" w:type="dxa"/>
                  <w:vMerge w:val="continue"/>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p>
              </w:tc>
              <w:tc>
                <w:tcPr>
                  <w:tcW w:w="1366"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460"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604"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包装固废</w:t>
                  </w:r>
                </w:p>
              </w:tc>
              <w:tc>
                <w:tcPr>
                  <w:tcW w:w="3948"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原料桶、原料袋等由原材料供应商回收利用，其他交由专业固废回收公司处理</w:t>
                  </w:r>
                </w:p>
              </w:tc>
              <w:tc>
                <w:tcPr>
                  <w:tcW w:w="1366"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460"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604"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污泥</w:t>
                  </w:r>
                </w:p>
              </w:tc>
              <w:tc>
                <w:tcPr>
                  <w:tcW w:w="3948"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收集后可交由专业固废回收公司处理</w:t>
                  </w:r>
                </w:p>
              </w:tc>
              <w:tc>
                <w:tcPr>
                  <w:tcW w:w="1366"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460"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604"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废润滑油</w:t>
                  </w:r>
                </w:p>
              </w:tc>
              <w:tc>
                <w:tcPr>
                  <w:tcW w:w="3948" w:type="dxa"/>
                  <w:tcBorders>
                    <w:tl2br w:val="nil"/>
                    <w:tr2bl w:val="nil"/>
                  </w:tcBorders>
                  <w:vAlign w:val="center"/>
                </w:tcPr>
                <w:p>
                  <w:pPr>
                    <w:jc w:val="center"/>
                    <w:rPr>
                      <w:rFonts w:hint="default" w:ascii="Times New Roman" w:hAnsi="Times New Roman" w:eastAsia="宋体" w:cs="Times New Roman"/>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分类收集暂存仓，</w:t>
                  </w:r>
                  <w:r>
                    <w:rPr>
                      <w:rFonts w:hint="default" w:ascii="Times New Roman" w:hAnsi="Times New Roman" w:eastAsia="宋体" w:cs="Times New Roman"/>
                      <w:color w:val="000000" w:themeColor="text1"/>
                      <w:sz w:val="21"/>
                      <w:szCs w:val="21"/>
                      <w:highlight w:val="none"/>
                      <w14:textFill>
                        <w14:solidFill>
                          <w14:schemeClr w14:val="tx1"/>
                        </w14:solidFill>
                      </w14:textFill>
                    </w:rPr>
                    <w:t>交</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由</w:t>
                  </w:r>
                  <w:r>
                    <w:rPr>
                      <w:rFonts w:hint="default" w:ascii="Times New Roman" w:hAnsi="Times New Roman" w:eastAsia="宋体" w:cs="Times New Roman"/>
                      <w:color w:val="000000" w:themeColor="text1"/>
                      <w:sz w:val="21"/>
                      <w:szCs w:val="21"/>
                      <w:highlight w:val="none"/>
                      <w14:textFill>
                        <w14:solidFill>
                          <w14:schemeClr w14:val="tx1"/>
                        </w14:solidFill>
                      </w14:textFill>
                    </w:rPr>
                    <w:t>有资质危废公司处理</w:t>
                  </w:r>
                </w:p>
              </w:tc>
              <w:tc>
                <w:tcPr>
                  <w:tcW w:w="1366"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460"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04"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生活垃圾</w:t>
                  </w:r>
                </w:p>
              </w:tc>
              <w:tc>
                <w:tcPr>
                  <w:tcW w:w="394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bCs w:val="0"/>
                      <w:color w:val="000000" w:themeColor="text1"/>
                      <w:sz w:val="21"/>
                      <w:szCs w:val="21"/>
                      <w:highlight w:val="none"/>
                      <w14:textFill>
                        <w14:solidFill>
                          <w14:schemeClr w14:val="tx1"/>
                        </w14:solidFill>
                      </w14:textFill>
                    </w:rPr>
                    <w:t>垃圾桶</w:t>
                  </w:r>
                  <w:r>
                    <w:rPr>
                      <w:rFonts w:hint="default" w:ascii="Times New Roman" w:hAnsi="Times New Roman" w:eastAsia="宋体" w:cs="Times New Roman"/>
                      <w:bCs w:val="0"/>
                      <w:snapToGrid w:val="0"/>
                      <w:color w:val="000000" w:themeColor="text1"/>
                      <w:kern w:val="0"/>
                      <w:sz w:val="21"/>
                      <w:szCs w:val="21"/>
                      <w:highlight w:val="none"/>
                      <w14:textFill>
                        <w14:solidFill>
                          <w14:schemeClr w14:val="tx1"/>
                        </w14:solidFill>
                      </w14:textFill>
                    </w:rPr>
                    <w:t>贮存，</w:t>
                  </w:r>
                  <w:r>
                    <w:rPr>
                      <w:rFonts w:hint="default" w:ascii="Times New Roman" w:hAnsi="Times New Roman" w:eastAsia="宋体" w:cs="Times New Roman"/>
                      <w:bCs w:val="0"/>
                      <w:color w:val="000000" w:themeColor="text1"/>
                      <w:kern w:val="0"/>
                      <w:sz w:val="21"/>
                      <w:szCs w:val="21"/>
                      <w:highlight w:val="none"/>
                      <w14:textFill>
                        <w14:solidFill>
                          <w14:schemeClr w14:val="tx1"/>
                        </w14:solidFill>
                      </w14:textFill>
                    </w:rPr>
                    <w:t>交由环卫部门处理处置</w:t>
                  </w:r>
                </w:p>
              </w:tc>
              <w:tc>
                <w:tcPr>
                  <w:tcW w:w="1366" w:type="dxa"/>
                  <w:vMerge w:val="continue"/>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98"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2064" w:type="dxa"/>
                  <w:gridSpan w:val="2"/>
                  <w:tcBorders>
                    <w:tl2br w:val="nil"/>
                    <w:tr2bl w:val="nil"/>
                  </w:tcBorders>
                  <w:vAlign w:val="center"/>
                </w:tcPr>
                <w:p>
                  <w:pPr>
                    <w:keepNext w:val="0"/>
                    <w:keepLines w:val="0"/>
                    <w:pageBreakBefore w:val="0"/>
                    <w:kinsoku/>
                    <w:overflowPunct/>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雨污分流措施</w:t>
                  </w:r>
                </w:p>
              </w:tc>
              <w:tc>
                <w:tcPr>
                  <w:tcW w:w="3948" w:type="dxa"/>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vertAlign w:val="baseline"/>
                      <w:lang w:eastAsia="zh-CN"/>
                      <w14:textFill>
                        <w14:solidFill>
                          <w14:schemeClr w14:val="tx1"/>
                        </w14:solidFill>
                      </w14:textFill>
                    </w:rPr>
                    <w:t>设置</w:t>
                  </w:r>
                  <w:r>
                    <w:rPr>
                      <w:rFonts w:hint="default" w:ascii="Times New Roman" w:hAnsi="Times New Roman" w:eastAsia="宋体" w:cs="Times New Roman"/>
                      <w:color w:val="000000" w:themeColor="text1"/>
                      <w:sz w:val="21"/>
                      <w:szCs w:val="21"/>
                      <w:highlight w:val="none"/>
                      <w14:textFill>
                        <w14:solidFill>
                          <w14:schemeClr w14:val="tx1"/>
                        </w14:solidFill>
                      </w14:textFill>
                    </w:rPr>
                    <w:t>各构筑物雨污分流沟渠</w:t>
                  </w:r>
                </w:p>
              </w:tc>
              <w:tc>
                <w:tcPr>
                  <w:tcW w:w="1366" w:type="dxa"/>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w:t>
                  </w:r>
                </w:p>
              </w:tc>
              <w:tc>
                <w:tcPr>
                  <w:tcW w:w="1398" w:type="dxa"/>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w:t>
                  </w:r>
                </w:p>
              </w:tc>
              <w:tc>
                <w:tcPr>
                  <w:tcW w:w="2064" w:type="dxa"/>
                  <w:gridSpan w:val="2"/>
                  <w:tcBorders>
                    <w:tl2br w:val="nil"/>
                    <w:tr2bl w:val="nil"/>
                  </w:tcBorders>
                  <w:vAlign w:val="center"/>
                </w:tcPr>
                <w:p>
                  <w:pPr>
                    <w:keepNext w:val="0"/>
                    <w:keepLines w:val="0"/>
                    <w:pageBreakBefore w:val="0"/>
                    <w:kinsoku/>
                    <w:overflowPunct/>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环境应急措施</w:t>
                  </w:r>
                </w:p>
              </w:tc>
              <w:tc>
                <w:tcPr>
                  <w:tcW w:w="3948" w:type="dxa"/>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编制企业防泄漏措施、应急管理措施及规章制度等</w:t>
                  </w:r>
                </w:p>
              </w:tc>
              <w:tc>
                <w:tcPr>
                  <w:tcW w:w="1366" w:type="dxa"/>
                  <w:vMerge w:val="restart"/>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2</w:t>
                  </w:r>
                </w:p>
              </w:tc>
              <w:tc>
                <w:tcPr>
                  <w:tcW w:w="1398" w:type="dxa"/>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w:t>
                  </w:r>
                </w:p>
              </w:tc>
              <w:tc>
                <w:tcPr>
                  <w:tcW w:w="2064" w:type="dxa"/>
                  <w:gridSpan w:val="2"/>
                  <w:tcBorders>
                    <w:tl2br w:val="nil"/>
                    <w:tr2bl w:val="nil"/>
                  </w:tcBorders>
                  <w:vAlign w:val="center"/>
                </w:tcPr>
                <w:p>
                  <w:pPr>
                    <w:keepNext w:val="0"/>
                    <w:keepLines w:val="0"/>
                    <w:pageBreakBefore w:val="0"/>
                    <w:kinsoku/>
                    <w:overflowPunct/>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排污口规范化</w:t>
                  </w:r>
                </w:p>
              </w:tc>
              <w:tc>
                <w:tcPr>
                  <w:tcW w:w="3948" w:type="dxa"/>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1个</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生活污水</w:t>
                  </w:r>
                  <w:r>
                    <w:rPr>
                      <w:rFonts w:hint="default" w:ascii="Times New Roman" w:hAnsi="Times New Roman" w:eastAsia="宋体" w:cs="Times New Roman"/>
                      <w:color w:val="000000" w:themeColor="text1"/>
                      <w:sz w:val="21"/>
                      <w:szCs w:val="21"/>
                      <w:highlight w:val="none"/>
                      <w14:textFill>
                        <w14:solidFill>
                          <w14:schemeClr w14:val="tx1"/>
                        </w14:solidFill>
                      </w14:textFill>
                    </w:rPr>
                    <w:t>排放口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1个</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生产废水</w:t>
                  </w:r>
                  <w:r>
                    <w:rPr>
                      <w:rFonts w:hint="default" w:ascii="Times New Roman" w:hAnsi="Times New Roman" w:eastAsia="宋体" w:cs="Times New Roman"/>
                      <w:color w:val="000000" w:themeColor="text1"/>
                      <w:sz w:val="21"/>
                      <w:szCs w:val="21"/>
                      <w:highlight w:val="none"/>
                      <w14:textFill>
                        <w14:solidFill>
                          <w14:schemeClr w14:val="tx1"/>
                        </w14:solidFill>
                      </w14:textFill>
                    </w:rPr>
                    <w:t>排放口</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1个废气排放口，</w:t>
                  </w: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标志牌</w:t>
                  </w:r>
                  <w:r>
                    <w:rPr>
                      <w:rFonts w:hint="default" w:ascii="Times New Roman" w:hAnsi="Times New Roman" w:eastAsia="宋体" w:cs="Times New Roman"/>
                      <w:color w:val="000000" w:themeColor="text1"/>
                      <w:sz w:val="21"/>
                      <w:szCs w:val="21"/>
                      <w:highlight w:val="none"/>
                      <w14:textFill>
                        <w14:solidFill>
                          <w14:schemeClr w14:val="tx1"/>
                        </w14:solidFill>
                      </w14:textFill>
                    </w:rPr>
                    <w:t>等</w:t>
                  </w:r>
                </w:p>
              </w:tc>
              <w:tc>
                <w:tcPr>
                  <w:tcW w:w="1366" w:type="dxa"/>
                  <w:vMerge w:val="continue"/>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98" w:type="dxa"/>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6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064" w:type="dxa"/>
                  <w:gridSpan w:val="2"/>
                  <w:tcBorders>
                    <w:tl2br w:val="nil"/>
                    <w:tr2bl w:val="nil"/>
                  </w:tcBorders>
                  <w:vAlign w:val="center"/>
                </w:tcPr>
                <w:p>
                  <w:pPr>
                    <w:keepNext w:val="0"/>
                    <w:keepLines w:val="0"/>
                    <w:pageBreakBefore w:val="0"/>
                    <w:kinsoku/>
                    <w:overflowPunct/>
                    <w:topLinePunct w:val="0"/>
                    <w:bidi w:val="0"/>
                    <w:adjustRightInd/>
                    <w:snapToGrid/>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环境管理措施</w:t>
                  </w:r>
                </w:p>
              </w:tc>
              <w:tc>
                <w:tcPr>
                  <w:tcW w:w="3948" w:type="dxa"/>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设立环保管理负责人1名，环保设施操作人员</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人，制定环保管理制度及台帐制度</w:t>
                  </w:r>
                </w:p>
              </w:tc>
              <w:tc>
                <w:tcPr>
                  <w:tcW w:w="1366" w:type="dxa"/>
                  <w:vMerge w:val="continue"/>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98" w:type="dxa"/>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266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总计</w:t>
                  </w:r>
                </w:p>
              </w:tc>
              <w:tc>
                <w:tcPr>
                  <w:tcW w:w="39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36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13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bl>
          <w:p>
            <w:pPr>
              <w:keepNext w:val="0"/>
              <w:keepLines w:val="0"/>
              <w:pageBreakBefore w:val="0"/>
              <w:kinsoku/>
              <w:overflowPunct/>
              <w:topLinePunct w:val="0"/>
              <w:bidi w:val="0"/>
              <w:adjustRightInd/>
              <w:snapToGrid/>
              <w:spacing w:beforeLines="50" w:line="360" w:lineRule="auto"/>
              <w:outlineLvl w:val="1"/>
              <w:rPr>
                <w:rFonts w:hint="default" w:ascii="Times New Roman" w:hAnsi="Times New Roman" w:eastAsia="宋体" w:cs="Times New Roman"/>
                <w:b/>
                <w:color w:val="000000" w:themeColor="text1"/>
                <w:sz w:val="24"/>
                <w:highlight w:val="none"/>
                <w14:textFill>
                  <w14:solidFill>
                    <w14:schemeClr w14:val="tx1"/>
                  </w14:solidFill>
                </w14:textFill>
              </w:rPr>
            </w:pPr>
            <w:bookmarkStart w:id="24" w:name="_Toc16708"/>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4"/>
                <w:szCs w:val="24"/>
                <w:highlight w:val="none"/>
                <w14:textFill>
                  <w14:solidFill>
                    <w14:schemeClr w14:val="tx1"/>
                  </w14:solidFill>
                </w14:textFill>
              </w:rPr>
              <w:t>.2</w:t>
            </w:r>
            <w:r>
              <w:rPr>
                <w:rFonts w:hint="default" w:ascii="Times New Roman" w:hAnsi="Times New Roman" w:eastAsia="宋体" w:cs="Times New Roman"/>
                <w:b/>
                <w:color w:val="000000" w:themeColor="text1"/>
                <w:sz w:val="24"/>
                <w:highlight w:val="none"/>
                <w14:textFill>
                  <w14:solidFill>
                    <w14:schemeClr w14:val="tx1"/>
                  </w14:solidFill>
                </w14:textFill>
              </w:rPr>
              <w:t>环境影响经济损益分析</w:t>
            </w:r>
            <w:bookmarkEnd w:id="24"/>
          </w:p>
          <w:p>
            <w:pPr>
              <w:keepNext w:val="0"/>
              <w:keepLines w:val="0"/>
              <w:pageBreakBefore w:val="0"/>
              <w:kinsoku/>
              <w:overflowPunct/>
              <w:topLinePunct w:val="0"/>
              <w:bidi w:val="0"/>
              <w:adjustRightInd/>
              <w:snapToGrid/>
              <w:spacing w:line="360" w:lineRule="auto"/>
              <w:ind w:firstLine="480" w:firstLineChars="200"/>
              <w:outlineLvl w:val="1"/>
              <w:rPr>
                <w:rFonts w:hint="default" w:ascii="Times New Roman" w:hAnsi="Times New Roman" w:eastAsia="宋体" w:cs="Times New Roman"/>
                <w:bCs/>
                <w:color w:val="000000" w:themeColor="text1"/>
                <w:sz w:val="24"/>
                <w:szCs w:val="24"/>
                <w:highlight w:val="none"/>
                <w14:textFill>
                  <w14:solidFill>
                    <w14:schemeClr w14:val="tx1"/>
                  </w14:solidFill>
                </w14:textFill>
              </w:rPr>
            </w:pPr>
            <w:bookmarkStart w:id="25" w:name="_Toc17604"/>
            <w:r>
              <w:rPr>
                <w:rFonts w:hint="default" w:ascii="Times New Roman" w:hAnsi="Times New Roman" w:eastAsia="宋体" w:cs="Times New Roman"/>
                <w:color w:val="000000" w:themeColor="text1"/>
                <w:sz w:val="24"/>
                <w:szCs w:val="24"/>
                <w:highlight w:val="none"/>
                <w14:textFill>
                  <w14:solidFill>
                    <w14:schemeClr w14:val="tx1"/>
                  </w14:solidFill>
                </w14:textFill>
              </w:rPr>
              <w:t>本项目总投资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00万元，环保投资约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highlight w:val="none"/>
                <w14:textFill>
                  <w14:solidFill>
                    <w14:schemeClr w14:val="tx1"/>
                  </w14:solidFill>
                </w14:textFill>
              </w:rPr>
              <w:t>万元，占总投资额</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%。环保工程的建设会给企业带来环境效益和社会效益</w:t>
            </w:r>
            <w:r>
              <w:rPr>
                <w:rFonts w:hint="default" w:ascii="Times New Roman" w:hAnsi="Times New Roman" w:eastAsia="宋体" w:cs="Times New Roman"/>
                <w:bCs/>
                <w:color w:val="000000" w:themeColor="text1"/>
                <w:sz w:val="24"/>
                <w:szCs w:val="24"/>
                <w:highlight w:val="none"/>
                <w14:textFill>
                  <w14:solidFill>
                    <w14:schemeClr w14:val="tx1"/>
                  </w14:solidFill>
                </w14:textFill>
              </w:rPr>
              <w:t>，具体表现在：</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本项目通过足够环保资金投入，可有效防治项目运行时产生的环境负面影响，</w:t>
            </w:r>
            <w:r>
              <w:rPr>
                <w:rFonts w:hint="default" w:ascii="Times New Roman" w:hAnsi="Times New Roman" w:eastAsia="宋体" w:cs="Times New Roman"/>
                <w:color w:val="000000" w:themeColor="text1"/>
                <w:sz w:val="24"/>
                <w:szCs w:val="24"/>
                <w:highlight w:val="none"/>
                <w14:textFill>
                  <w14:solidFill>
                    <w14:schemeClr w14:val="tx1"/>
                  </w14:solidFill>
                </w14:textFill>
              </w:rPr>
              <w:t>避免企业与周围群众产生不必要的</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环境</w:t>
            </w:r>
            <w:r>
              <w:rPr>
                <w:rFonts w:hint="default" w:ascii="Times New Roman" w:hAnsi="Times New Roman" w:eastAsia="宋体" w:cs="Times New Roman"/>
                <w:color w:val="000000" w:themeColor="text1"/>
                <w:sz w:val="24"/>
                <w:szCs w:val="24"/>
                <w:highlight w:val="none"/>
                <w14:textFill>
                  <w14:solidFill>
                    <w14:schemeClr w14:val="tx1"/>
                  </w14:solidFill>
                </w14:textFill>
              </w:rPr>
              <w:t>纠纷。</w:t>
            </w:r>
            <w:bookmarkEnd w:id="25"/>
          </w:p>
          <w:p>
            <w:pPr>
              <w:keepNext w:val="0"/>
              <w:keepLines w:val="0"/>
              <w:pageBreakBefore w:val="0"/>
              <w:kinsoku/>
              <w:overflowPunct/>
              <w:topLinePunct w:val="0"/>
              <w:bidi w:val="0"/>
              <w:adjustRightInd/>
              <w:snapToGrid/>
              <w:spacing w:line="360" w:lineRule="auto"/>
              <w:ind w:firstLine="480" w:firstLineChars="200"/>
              <w:outlineLvl w:val="1"/>
              <w:rPr>
                <w:rFonts w:hint="default" w:ascii="Times New Roman" w:hAnsi="Times New Roman" w:eastAsia="宋体" w:cs="Times New Roman"/>
                <w:b/>
                <w:color w:val="000000" w:themeColor="text1"/>
                <w:sz w:val="24"/>
                <w:szCs w:val="24"/>
                <w:highlight w:val="none"/>
                <w14:textFill>
                  <w14:solidFill>
                    <w14:schemeClr w14:val="tx1"/>
                  </w14:solidFill>
                </w14:textFill>
              </w:rPr>
            </w:pPr>
            <w:bookmarkStart w:id="26" w:name="_Toc27693"/>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项目环保工程的投资是十分必要的，环保治理设施的建设能使企业污染物排放达到国家环保法律、法规规定的排放标准，具有明显的的环境效益和社会效益，从环境保护及经济角度分析是合理的。</w:t>
            </w:r>
            <w:bookmarkEnd w:id="26"/>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9.</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环境管理与监测计划</w:t>
            </w:r>
          </w:p>
          <w:p>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outlineLvl w:val="9"/>
              <w:rPr>
                <w:rFonts w:hint="default" w:ascii="Times New Roman" w:hAnsi="Times New Roman" w:eastAsia="宋体" w:cs="Times New Roman"/>
                <w:b/>
                <w:bCs/>
                <w:color w:val="000000" w:themeColor="text1"/>
                <w:szCs w:val="24"/>
                <w:highlight w:val="none"/>
                <w:u w:val="none"/>
                <w14:textFill>
                  <w14:solidFill>
                    <w14:schemeClr w14:val="tx1"/>
                  </w14:solidFill>
                </w14:textFill>
              </w:rPr>
            </w:pPr>
            <w:r>
              <w:rPr>
                <w:rFonts w:hint="default" w:ascii="Times New Roman" w:hAnsi="Times New Roman" w:eastAsia="宋体" w:cs="Times New Roman"/>
                <w:b/>
                <w:bCs/>
                <w:color w:val="000000" w:themeColor="text1"/>
                <w:szCs w:val="24"/>
                <w:highlight w:val="none"/>
                <w:u w:val="none"/>
                <w:lang w:val="en-US" w:eastAsia="zh-CN"/>
                <w14:textFill>
                  <w14:solidFill>
                    <w14:schemeClr w14:val="tx1"/>
                  </w14:solidFill>
                </w14:textFill>
              </w:rPr>
              <w:t>9.3.1</w:t>
            </w:r>
            <w:r>
              <w:rPr>
                <w:rFonts w:hint="default" w:ascii="Times New Roman" w:hAnsi="Times New Roman" w:eastAsia="宋体" w:cs="Times New Roman"/>
                <w:b/>
                <w:bCs/>
                <w:color w:val="000000" w:themeColor="text1"/>
                <w:szCs w:val="24"/>
                <w:highlight w:val="none"/>
                <w:u w:val="none"/>
                <w14:textFill>
                  <w14:solidFill>
                    <w14:schemeClr w14:val="tx1"/>
                  </w14:solidFill>
                </w14:textFill>
              </w:rPr>
              <w:t>营运期的环境管理</w:t>
            </w:r>
          </w:p>
          <w:p>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t>建立环境保护管理组织和机构，指定专人或兼职环保管理人员，落实各级环保责任。</w:t>
            </w:r>
          </w:p>
          <w:p>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t>对产污工序的工人和班组长进行上岗前的环保知识法规教育及操作规程的培训，使各项环保设施的操作规范化，保证环保设施的正常运转。</w:t>
            </w:r>
          </w:p>
          <w:p>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t>落实环境监测工作，重点是各污染源的监测，并注意做好记录，不弄虚作假。</w:t>
            </w:r>
          </w:p>
          <w:p>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t>建立相关记录台账：a、危险废物收集交接记录，转运交接记录；b、突发环境事件记录；</w:t>
            </w:r>
          </w:p>
          <w:p>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t>建立污染事故报告制度。当污染事故发生时，必须在事故发生二十四小时内，向区环境主管部门作出事故发生的时间、地点、类型和排放污染物的数量、经济损失等情况的初步报告，事故查清后，向区环境主管部门面报告事故的原因，采取的措施，处理结果，并附有关证明。若发生污染事故，则有责任排除危害，同时对直接受到损害的单位或个人赔偿损失。</w:t>
            </w:r>
          </w:p>
          <w:p>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outlineLvl w:val="9"/>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lang w:val="en-US" w:eastAsia="zh-CN"/>
                <w14:textFill>
                  <w14:solidFill>
                    <w14:schemeClr w14:val="tx1"/>
                  </w14:solidFill>
                </w14:textFill>
              </w:rPr>
              <w:t>6</w:t>
            </w: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t>建立突发环境事件应急预案，配备相关应急器材，定期开展演练。</w:t>
            </w:r>
          </w:p>
          <w:p>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outlineLvl w:val="9"/>
              <w:rPr>
                <w:rFonts w:hint="default" w:ascii="Times New Roman" w:hAnsi="Times New Roman" w:eastAsia="宋体" w:cs="Times New Roman"/>
                <w:b/>
                <w:bCs/>
                <w:color w:val="000000" w:themeColor="text1"/>
                <w:szCs w:val="24"/>
                <w:highlight w:val="none"/>
                <w:u w:val="none"/>
                <w14:textFill>
                  <w14:solidFill>
                    <w14:schemeClr w14:val="tx1"/>
                  </w14:solidFill>
                </w14:textFill>
              </w:rPr>
            </w:pPr>
            <w:r>
              <w:rPr>
                <w:rFonts w:hint="default" w:ascii="Times New Roman" w:hAnsi="Times New Roman" w:eastAsia="宋体" w:cs="Times New Roman"/>
                <w:b/>
                <w:bCs/>
                <w:color w:val="000000" w:themeColor="text1"/>
                <w:szCs w:val="24"/>
                <w:highlight w:val="none"/>
                <w:u w:val="none"/>
                <w:lang w:val="en-US" w:eastAsia="zh-CN"/>
                <w14:textFill>
                  <w14:solidFill>
                    <w14:schemeClr w14:val="tx1"/>
                  </w14:solidFill>
                </w14:textFill>
              </w:rPr>
              <w:t>9.3.2</w:t>
            </w:r>
            <w:r>
              <w:rPr>
                <w:rFonts w:hint="default" w:ascii="Times New Roman" w:hAnsi="Times New Roman" w:eastAsia="宋体" w:cs="Times New Roman"/>
                <w:b/>
                <w:bCs/>
                <w:color w:val="000000" w:themeColor="text1"/>
                <w:szCs w:val="24"/>
                <w:highlight w:val="none"/>
                <w:u w:val="none"/>
                <w14:textFill>
                  <w14:solidFill>
                    <w14:schemeClr w14:val="tx1"/>
                  </w14:solidFill>
                </w14:textFill>
              </w:rPr>
              <w:t>环境监测</w:t>
            </w:r>
          </w:p>
          <w:p>
            <w:pPr>
              <w:pStyle w:val="36"/>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both"/>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t>根据《排污单位自行监测技术指南 总则》（HJ 819-2017），并结合项目运营期间污染物排放特点，制定本项目的污染源监测计划，建议建设单位按监测计划实施。监测分析方法按照现行国家、部颁标准和有关规定执行。本项目运营期环境自行监测</w:t>
            </w:r>
            <w:r>
              <w:rPr>
                <w:rFonts w:hint="default" w:ascii="Times New Roman" w:hAnsi="Times New Roman" w:eastAsia="宋体" w:cs="Times New Roman"/>
                <w:b w:val="0"/>
                <w:bCs w:val="0"/>
                <w:color w:val="000000" w:themeColor="text1"/>
                <w:szCs w:val="24"/>
                <w:highlight w:val="none"/>
                <w:u w:val="none"/>
                <w:lang w:eastAsia="zh-CN"/>
                <w14:textFill>
                  <w14:solidFill>
                    <w14:schemeClr w14:val="tx1"/>
                  </w14:solidFill>
                </w14:textFill>
              </w:rPr>
              <w:t>内容</w:t>
            </w:r>
            <w:r>
              <w:rPr>
                <w:rFonts w:hint="default" w:ascii="Times New Roman" w:hAnsi="Times New Roman" w:eastAsia="宋体" w:cs="Times New Roman"/>
                <w:b w:val="0"/>
                <w:bCs w:val="0"/>
                <w:color w:val="000000" w:themeColor="text1"/>
                <w:szCs w:val="24"/>
                <w:highlight w:val="none"/>
                <w:u w:val="none"/>
                <w14:textFill>
                  <w14:solidFill>
                    <w14:schemeClr w14:val="tx1"/>
                  </w14:solidFill>
                </w14:textFill>
              </w:rPr>
              <w:t>如下。</w:t>
            </w:r>
          </w:p>
          <w:p>
            <w:pPr>
              <w:pStyle w:val="36"/>
              <w:keepNext w:val="0"/>
              <w:keepLines w:val="0"/>
              <w:pageBreakBefore w:val="0"/>
              <w:widowControl w:val="0"/>
              <w:kinsoku/>
              <w:wordWrap/>
              <w:overflowPunct/>
              <w:topLinePunct w:val="0"/>
              <w:autoSpaceDE w:val="0"/>
              <w:autoSpaceDN w:val="0"/>
              <w:bidi w:val="0"/>
              <w:adjustRightInd/>
              <w:snapToGrid/>
              <w:spacing w:before="157" w:beforeLines="50" w:line="240" w:lineRule="auto"/>
              <w:ind w:firstLine="0" w:firstLineChars="0"/>
              <w:jc w:val="center"/>
              <w:textAlignment w:val="auto"/>
              <w:outlineLvl w:val="9"/>
              <w:rPr>
                <w:rFonts w:hint="default" w:ascii="Times New Roman" w:hAnsi="Times New Roman" w:eastAsia="宋体" w:cs="Times New Roman"/>
                <w:color w:val="000000" w:themeColor="text1"/>
                <w:szCs w:val="24"/>
                <w:highlight w:val="none"/>
                <w:u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9.3-1 </w:t>
            </w:r>
            <w:r>
              <w:rPr>
                <w:rFonts w:hint="default" w:ascii="Times New Roman" w:hAnsi="Times New Roman" w:eastAsia="宋体" w:cs="Times New Roman"/>
                <w:b/>
                <w:bCs/>
                <w:color w:val="000000" w:themeColor="text1"/>
                <w:szCs w:val="24"/>
                <w:highlight w:val="none"/>
                <w:u w:val="none"/>
                <w:lang w:val="en-US" w:eastAsia="zh-CN"/>
                <w14:textFill>
                  <w14:solidFill>
                    <w14:schemeClr w14:val="tx1"/>
                  </w14:solidFill>
                </w14:textFill>
              </w:rPr>
              <w:t>环境监测计划</w:t>
            </w:r>
          </w:p>
          <w:tbl>
            <w:tblPr>
              <w:tblStyle w:val="27"/>
              <w:tblW w:w="9224"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82"/>
              <w:gridCol w:w="2503"/>
              <w:gridCol w:w="1247"/>
              <w:gridCol w:w="429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82"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监测点位</w:t>
                  </w:r>
                </w:p>
              </w:tc>
              <w:tc>
                <w:tcPr>
                  <w:tcW w:w="2503"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监测指标</w:t>
                  </w:r>
                </w:p>
              </w:tc>
              <w:tc>
                <w:tcPr>
                  <w:tcW w:w="1247"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监测频次</w:t>
                  </w:r>
                </w:p>
              </w:tc>
              <w:tc>
                <w:tcPr>
                  <w:tcW w:w="4292"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14:textFill>
                        <w14:solidFill>
                          <w14:schemeClr w14:val="tx1"/>
                        </w14:solidFill>
                      </w14:textFill>
                    </w:rPr>
                    <w:t>执行排放标准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82"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1#排气筒</w:t>
                  </w:r>
                </w:p>
              </w:tc>
              <w:tc>
                <w:tcPr>
                  <w:tcW w:w="2503"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颗粒物、二氧化硫、氮氧化物</w:t>
                  </w:r>
                </w:p>
              </w:tc>
              <w:tc>
                <w:tcPr>
                  <w:tcW w:w="1247"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每年1次</w:t>
                  </w:r>
                </w:p>
              </w:tc>
              <w:tc>
                <w:tcPr>
                  <w:tcW w:w="4292"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《锅炉大气污染物排放标准》（DB 44/765-2019）中表2 新建锅炉大气污染物排放浓度限值燃气锅炉标准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82"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厂界</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上下风向</w:t>
                  </w:r>
                </w:p>
              </w:tc>
              <w:tc>
                <w:tcPr>
                  <w:tcW w:w="2503" w:type="dxa"/>
                  <w:tcBorders>
                    <w:bottom w:val="single" w:color="000000" w:sz="4" w:space="0"/>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颗粒物</w:t>
                  </w:r>
                </w:p>
              </w:tc>
              <w:tc>
                <w:tcPr>
                  <w:tcW w:w="1247" w:type="dxa"/>
                  <w:tcBorders>
                    <w:bottom w:val="single" w:color="000000" w:sz="4" w:space="0"/>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每年1次</w:t>
                  </w:r>
                </w:p>
              </w:tc>
              <w:tc>
                <w:tcPr>
                  <w:tcW w:w="4292" w:type="dxa"/>
                  <w:tcBorders>
                    <w:bottom w:val="single" w:color="000000" w:sz="4" w:space="0"/>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广东省《大气污染物排放标准》（DB44/27-2001）第二时段二级标准无组织排放监控浓度限值</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82" w:type="dxa"/>
                  <w:vMerge w:val="restart"/>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1#生活污水排放口</w:t>
                  </w:r>
                </w:p>
              </w:tc>
              <w:tc>
                <w:tcPr>
                  <w:tcW w:w="2503" w:type="dxa"/>
                  <w:tcBorders>
                    <w:top w:val="single" w:color="000000" w:sz="4" w:space="0"/>
                    <w:bottom w:val="single" w:color="000000" w:sz="4" w:space="0"/>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SS</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、BOD</w:t>
                  </w:r>
                  <w:r>
                    <w:rPr>
                      <w:rFonts w:hint="default" w:ascii="Times New Roman" w:hAnsi="Times New Roman" w:eastAsia="宋体" w:cs="Times New Roman"/>
                      <w:color w:val="000000" w:themeColor="text1"/>
                      <w:sz w:val="21"/>
                      <w:szCs w:val="21"/>
                      <w:highlight w:val="none"/>
                      <w:u w:val="none"/>
                      <w:vertAlign w:val="subscript"/>
                      <w:lang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、COD</w:t>
                  </w:r>
                  <w:r>
                    <w:rPr>
                      <w:rFonts w:hint="default" w:ascii="Times New Roman" w:hAnsi="Times New Roman" w:eastAsia="宋体" w:cs="Times New Roman"/>
                      <w:color w:val="000000" w:themeColor="text1"/>
                      <w:sz w:val="21"/>
                      <w:szCs w:val="21"/>
                      <w:highlight w:val="none"/>
                      <w:u w:val="none"/>
                      <w:vertAlign w:val="subscript"/>
                      <w:lang w:eastAsia="zh-CN"/>
                      <w14:textFill>
                        <w14:solidFill>
                          <w14:schemeClr w14:val="tx1"/>
                        </w14:solidFill>
                      </w14:textFill>
                    </w:rPr>
                    <w:t>cr</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、氨氮、</w:t>
                  </w:r>
                </w:p>
              </w:tc>
              <w:tc>
                <w:tcPr>
                  <w:tcW w:w="1247" w:type="dxa"/>
                  <w:tcBorders>
                    <w:top w:val="single" w:color="000000" w:sz="4" w:space="0"/>
                    <w:bottom w:val="single" w:color="000000" w:sz="4" w:space="0"/>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每季度1次</w:t>
                  </w:r>
                </w:p>
              </w:tc>
              <w:tc>
                <w:tcPr>
                  <w:tcW w:w="4292" w:type="dxa"/>
                  <w:vMerge w:val="restart"/>
                  <w:tcBorders>
                    <w:top w:val="single" w:color="000000" w:sz="4" w:space="0"/>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广东省地方标准《水污染物排放限值》(DB44/26-2001)中第二时段一级标准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82" w:type="dxa"/>
                  <w:vMerge w:val="continue"/>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pPr>
                </w:p>
              </w:tc>
              <w:tc>
                <w:tcPr>
                  <w:tcW w:w="2503" w:type="dxa"/>
                  <w:tcBorders>
                    <w:top w:val="single" w:color="000000" w:sz="4" w:space="0"/>
                    <w:bottom w:val="single" w:color="000000" w:sz="4" w:space="0"/>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pH、LAS、动植物油</w:t>
                  </w:r>
                </w:p>
              </w:tc>
              <w:tc>
                <w:tcPr>
                  <w:tcW w:w="1247" w:type="dxa"/>
                  <w:tcBorders>
                    <w:top w:val="single" w:color="000000" w:sz="4" w:space="0"/>
                    <w:bottom w:val="single" w:color="000000" w:sz="4" w:space="0"/>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每年1次</w:t>
                  </w:r>
                </w:p>
              </w:tc>
              <w:tc>
                <w:tcPr>
                  <w:tcW w:w="4292" w:type="dxa"/>
                  <w:vMerge w:val="continue"/>
                  <w:tcBorders>
                    <w:bottom w:val="single" w:color="000000" w:sz="4" w:space="0"/>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82"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2#生产废水排放口</w:t>
                  </w:r>
                </w:p>
              </w:tc>
              <w:tc>
                <w:tcPr>
                  <w:tcW w:w="2503"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SS</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、COD</w:t>
                  </w:r>
                  <w:r>
                    <w:rPr>
                      <w:rFonts w:hint="default" w:ascii="Times New Roman" w:hAnsi="Times New Roman" w:eastAsia="宋体" w:cs="Times New Roman"/>
                      <w:color w:val="000000" w:themeColor="text1"/>
                      <w:sz w:val="21"/>
                      <w:szCs w:val="21"/>
                      <w:highlight w:val="none"/>
                      <w:u w:val="none"/>
                      <w:vertAlign w:val="subscript"/>
                      <w:lang w:eastAsia="zh-CN"/>
                      <w14:textFill>
                        <w14:solidFill>
                          <w14:schemeClr w14:val="tx1"/>
                        </w14:solidFill>
                      </w14:textFill>
                    </w:rPr>
                    <w:t>cr</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PH</w:t>
                  </w:r>
                </w:p>
              </w:tc>
              <w:tc>
                <w:tcPr>
                  <w:tcW w:w="1247"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每季度1次</w:t>
                  </w:r>
                </w:p>
              </w:tc>
              <w:tc>
                <w:tcPr>
                  <w:tcW w:w="4292"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广东省地方标准《水污染物排放限值》(DB44/26-2001)中第二时段一级标准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1182"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项目四周边界</w:t>
                  </w:r>
                </w:p>
              </w:tc>
              <w:tc>
                <w:tcPr>
                  <w:tcW w:w="2503"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等效连续A声级</w:t>
                  </w:r>
                </w:p>
              </w:tc>
              <w:tc>
                <w:tcPr>
                  <w:tcW w:w="1247"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每季度1次</w:t>
                  </w:r>
                </w:p>
              </w:tc>
              <w:tc>
                <w:tcPr>
                  <w:tcW w:w="4292" w:type="dxa"/>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u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《工业企业厂界环境噪声排放标准》（GB3096-2008）</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u w:val="none"/>
                      <w14:textFill>
                        <w14:solidFill>
                          <w14:schemeClr w14:val="tx1"/>
                        </w14:solidFill>
                      </w14:textFill>
                    </w:rPr>
                    <w:t>类标准</w:t>
                  </w:r>
                </w:p>
              </w:tc>
            </w:tr>
          </w:tbl>
          <w:p>
            <w:pPr>
              <w:pStyle w:val="72"/>
              <w:keepNext w:val="0"/>
              <w:keepLines w:val="0"/>
              <w:pageBreakBefore w:val="0"/>
              <w:widowControl w:val="0"/>
              <w:kinsoku/>
              <w:wordWrap/>
              <w:overflowPunct/>
              <w:topLinePunct w:val="0"/>
              <w:autoSpaceDE/>
              <w:autoSpaceDN/>
              <w:bidi w:val="0"/>
              <w:adjustRightInd/>
              <w:snapToGrid/>
              <w:spacing w:before="157" w:beforeLines="50"/>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9.4</w:t>
            </w:r>
            <w:r>
              <w:rPr>
                <w:rFonts w:hint="default" w:ascii="Times New Roman" w:hAnsi="Times New Roman" w:eastAsia="宋体" w:cs="Times New Roman"/>
                <w:b/>
                <w:color w:val="000000" w:themeColor="text1"/>
                <w:sz w:val="28"/>
                <w:szCs w:val="28"/>
                <w:highlight w:val="none"/>
                <w14:textFill>
                  <w14:solidFill>
                    <w14:schemeClr w14:val="tx1"/>
                  </w14:solidFill>
                </w14:textFill>
              </w:rPr>
              <w:t>排污口规范化要求</w:t>
            </w:r>
          </w:p>
          <w:p>
            <w:pPr>
              <w:keepNext w:val="0"/>
              <w:keepLines w:val="0"/>
              <w:pageBreakBefore w:val="0"/>
              <w:widowControl w:val="0"/>
              <w:kinsoku/>
              <w:wordWrap/>
              <w:overflowPunct/>
              <w:topLinePunct w:val="0"/>
              <w:autoSpaceDE/>
              <w:autoSpaceDN/>
              <w:bidi w:val="0"/>
              <w:adjustRightInd/>
              <w:snapToGrid/>
              <w:spacing w:afterAutospacing="0" w:line="360" w:lineRule="auto"/>
              <w:ind w:left="0" w:leftChars="0" w:right="0" w:rightChars="0" w:firstLine="0" w:firstLineChars="0"/>
              <w:jc w:val="left"/>
              <w:textAlignment w:val="auto"/>
              <w:outlineLvl w:val="9"/>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.1排污口规范化依据    </w:t>
            </w:r>
          </w:p>
          <w:p>
            <w:pPr>
              <w:keepNext w:val="0"/>
              <w:keepLines w:val="0"/>
              <w:pageBreakBefore w:val="0"/>
              <w:widowControl w:val="0"/>
              <w:kinsoku/>
              <w:wordWrap/>
              <w:overflowPunct/>
              <w:topLinePunct w:val="0"/>
              <w:autoSpaceDE/>
              <w:autoSpaceDN/>
              <w:bidi w:val="0"/>
              <w:adjustRightInd/>
              <w:snapToGrid/>
              <w:spacing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◆《排污口规范化整治要求》（国家环保部试行）</w:t>
            </w:r>
          </w:p>
          <w:p>
            <w:pPr>
              <w:keepNext w:val="0"/>
              <w:keepLines w:val="0"/>
              <w:pageBreakBefore w:val="0"/>
              <w:widowControl w:val="0"/>
              <w:kinsoku/>
              <w:wordWrap/>
              <w:overflowPunct/>
              <w:topLinePunct w:val="0"/>
              <w:autoSpaceDE/>
              <w:autoSpaceDN/>
              <w:bidi w:val="0"/>
              <w:adjustRightInd/>
              <w:snapToGrid/>
              <w:spacing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《排污口规范化整治技术》</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国家环境保护总局，环发[1999]24号</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◆《环境保护图形标志—排放口（源）》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◆《环境保护图形标志》</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实施细则 </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1996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《广东省污染源排污口规范化设置导则》（粤环[2008]42号）</w:t>
            </w:r>
          </w:p>
          <w:p>
            <w:pPr>
              <w:keepNext w:val="0"/>
              <w:keepLines w:val="0"/>
              <w:pageBreakBefore w:val="0"/>
              <w:widowControl w:val="0"/>
              <w:kinsoku/>
              <w:wordWrap/>
              <w:overflowPunct/>
              <w:topLinePunct w:val="0"/>
              <w:autoSpaceDE/>
              <w:autoSpaceDN/>
              <w:bidi w:val="0"/>
              <w:adjustRightInd/>
              <w:snapToGrid/>
              <w:spacing w:afterAutospacing="0" w:line="360" w:lineRule="auto"/>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依据上述要求，企业所有排污口（包括水、渣、气、声），必须按照“便于采样、便于计量监测、便于日常现场监督检测”的原则和规范化要求，设置与之相适应的环境保护图形标志牌，绘制企业排污口分布图</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同时对环保治理设施安装在线监控装置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排污口的规范化要符合环境监察部门的有关要求。</w:t>
            </w:r>
          </w:p>
          <w:p>
            <w:pPr>
              <w:keepNext w:val="0"/>
              <w:keepLines w:val="0"/>
              <w:pageBreakBefore w:val="0"/>
              <w:kinsoku/>
              <w:overflowPunct/>
              <w:topLinePunct w:val="0"/>
              <w:bidi w:val="0"/>
              <w:adjustRightInd/>
              <w:snapToGrid/>
              <w:spacing w:before="20" w:line="360" w:lineRule="auto"/>
              <w:jc w:val="left"/>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14:textFill>
                  <w14:solidFill>
                    <w14:schemeClr w14:val="tx1"/>
                  </w14:solidFill>
                </w14:textFill>
              </w:rPr>
              <w:t>.2排污口规范化</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内容</w:t>
            </w:r>
          </w:p>
          <w:p>
            <w:pPr>
              <w:keepNext w:val="0"/>
              <w:keepLines w:val="0"/>
              <w:pageBreakBefore w:val="0"/>
              <w:widowControl w:val="0"/>
              <w:tabs>
                <w:tab w:val="left" w:pos="3135"/>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9.4.2.1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废水排放口</w:t>
            </w:r>
          </w:p>
          <w:p>
            <w:pPr>
              <w:keepNext w:val="0"/>
              <w:keepLines w:val="0"/>
              <w:pageBreakBefore w:val="0"/>
              <w:kinsoku/>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企业排水管网应严格执行清污分流、雨污分开的要求，严禁混排。在废（污）水排放口附近按照《环境保护图形标志—排放口(源)》(GB15562.1-1995)的要求设置明显的环保标志牌，废（污）水排放口设置便于日常采样、监管的采样口，废（污）水</w:t>
            </w:r>
            <w:r>
              <w:rPr>
                <w:rFonts w:hint="default" w:ascii="Times New Roman" w:hAnsi="Times New Roman" w:eastAsia="宋体" w:cs="Times New Roman"/>
                <w:color w:val="000000" w:themeColor="text1"/>
                <w:sz w:val="24"/>
                <w:szCs w:val="24"/>
                <w:highlight w:val="none"/>
                <w14:textFill>
                  <w14:solidFill>
                    <w14:schemeClr w14:val="tx1"/>
                  </w14:solidFill>
                </w14:textFill>
              </w:rPr>
              <w:t>排污口原则上只设一个（建设、改建项目视实际情况确定），排污口位置根据实际地形位置和污染物的种类情况确定。</w:t>
            </w:r>
          </w:p>
          <w:p>
            <w:pPr>
              <w:keepNext w:val="0"/>
              <w:keepLines w:val="0"/>
              <w:pageBreakBefore w:val="0"/>
              <w:tabs>
                <w:tab w:val="left" w:pos="3135"/>
              </w:tabs>
              <w:kinsoku/>
              <w:overflowPunct/>
              <w:topLinePunct w:val="0"/>
              <w:bidi w:val="0"/>
              <w:adjustRightInd/>
              <w:snapToGrid/>
              <w:spacing w:line="360" w:lineRule="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9.4.2.2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废气排放口</w:t>
            </w:r>
          </w:p>
          <w:p>
            <w:pPr>
              <w:keepNext w:val="0"/>
              <w:keepLines w:val="0"/>
              <w:pageBreakBefore w:val="0"/>
              <w:tabs>
                <w:tab w:val="left" w:pos="3135"/>
              </w:tabs>
              <w:kinsoku/>
              <w:overflowPunct/>
              <w:topLinePunct w:val="0"/>
              <w:bidi w:val="0"/>
              <w:adjustRightInd/>
              <w:snapToGrid/>
              <w:spacing w:line="360" w:lineRule="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废气污染源排放口应按规范设置永久性采样孔，搭建便于采样、测量和监测的平台或其它设施；在排气筒附近醒目处按照《环境保护图形标志—排放口(源)》(GB15562.1-1995)要求设置环保标志牌；废气排放口（排气筒）必须符合规定的高度和按《污染源监测技术规范》便于采样、监测的要求，废气采样口设置直径不小于75mm。如无法满足要求的，其采样口与环境监测部门共同确认</w:t>
            </w:r>
            <w:r>
              <w:rPr>
                <w:rFonts w:hint="default" w:ascii="Times New Roman" w:hAnsi="Times New Roman" w:eastAsia="宋体" w:cs="Times New Roman"/>
                <w:b w:val="0"/>
                <w:bCs w:val="0"/>
                <w:color w:val="000000" w:themeColor="text1"/>
                <w:sz w:val="24"/>
                <w:highlight w:val="none"/>
                <w14:textFill>
                  <w14:solidFill>
                    <w14:schemeClr w14:val="tx1"/>
                  </w14:solidFill>
                </w14:textFill>
              </w:rPr>
              <w:t>。</w:t>
            </w:r>
          </w:p>
          <w:p>
            <w:pPr>
              <w:keepNext w:val="0"/>
              <w:keepLines w:val="0"/>
              <w:pageBreakBefore w:val="0"/>
              <w:tabs>
                <w:tab w:val="left" w:pos="3135"/>
              </w:tabs>
              <w:kinsoku/>
              <w:overflowPunct/>
              <w:topLinePunct w:val="0"/>
              <w:bidi w:val="0"/>
              <w:adjustRightInd/>
              <w:snapToGrid/>
              <w:spacing w:line="360" w:lineRule="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9.4.2.3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固定噪声排放源</w:t>
            </w:r>
          </w:p>
          <w:p>
            <w:pPr>
              <w:keepNext w:val="0"/>
              <w:keepLines w:val="0"/>
              <w:pageBreakBefore w:val="0"/>
              <w:tabs>
                <w:tab w:val="left" w:pos="3135"/>
              </w:tabs>
              <w:kinsoku/>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主要固定噪声源附近按照《环境保护图形标志—排放口(源)》(GB15562.1-1995)及《环境保护图形标志》实施细则 (1996)的要求设置环境保护图形标志牌。</w:t>
            </w:r>
          </w:p>
          <w:p>
            <w:pPr>
              <w:keepNext w:val="0"/>
              <w:keepLines w:val="0"/>
              <w:pageBreakBefore w:val="0"/>
              <w:tabs>
                <w:tab w:val="left" w:pos="3135"/>
              </w:tabs>
              <w:kinsoku/>
              <w:overflowPunct/>
              <w:topLinePunct w:val="0"/>
              <w:bidi w:val="0"/>
              <w:adjustRightInd/>
              <w:snapToGrid/>
              <w:spacing w:line="360" w:lineRule="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9.4.2.4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固体废弃物贮存</w:t>
            </w:r>
          </w:p>
          <w:p>
            <w:pPr>
              <w:keepNext w:val="0"/>
              <w:keepLines w:val="0"/>
              <w:pageBreakBefore w:val="0"/>
              <w:kinsoku/>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固体废物应分类收集，分类处理。依据循环经济的理念，尽可能综合利用，不能回用的部分委托有资质的单位处理。固体废物在项目内暂存期间要根据《危险废物贮存污染控制标准》(GB18597-2001)的要求设置专门的储存设施或堆放场所，存放场地需采取防扬散、防渗漏、防流失措施，并根据《环境保护图形标志—固体废物贮存(处置)场》(GB15562.2-1995)的要求，按照</w:t>
            </w:r>
            <w:r>
              <w:rPr>
                <w:rFonts w:hint="default" w:ascii="Times New Roman" w:hAnsi="Times New Roman" w:eastAsia="宋体" w:cs="Times New Roman"/>
                <w:bCs/>
                <w:color w:val="000000" w:themeColor="text1"/>
                <w:sz w:val="24"/>
                <w:szCs w:val="24"/>
                <w:highlight w:val="none"/>
                <w14:textFill>
                  <w14:solidFill>
                    <w14:schemeClr w14:val="tx1"/>
                  </w14:solidFill>
                </w14:textFill>
              </w:rPr>
              <w:t>一般固废、严控废物、危险废物、生活垃圾</w:t>
            </w:r>
            <w:r>
              <w:rPr>
                <w:rFonts w:hint="default" w:ascii="Times New Roman" w:hAnsi="Times New Roman" w:eastAsia="宋体" w:cs="Times New Roman"/>
                <w:color w:val="000000" w:themeColor="text1"/>
                <w:sz w:val="24"/>
                <w:szCs w:val="24"/>
                <w:highlight w:val="none"/>
                <w14:textFill>
                  <w14:solidFill>
                    <w14:schemeClr w14:val="tx1"/>
                  </w14:solidFill>
                </w14:textFill>
              </w:rPr>
              <w:t>等设置专用的堆放场地并设置标志牌；</w:t>
            </w:r>
            <w:r>
              <w:rPr>
                <w:rFonts w:hint="default" w:ascii="Times New Roman" w:hAnsi="Times New Roman" w:eastAsia="宋体" w:cs="Times New Roman"/>
                <w:color w:val="000000" w:themeColor="text1"/>
                <w:sz w:val="24"/>
                <w:highlight w:val="none"/>
                <w14:textFill>
                  <w14:solidFill>
                    <w14:schemeClr w14:val="tx1"/>
                  </w14:solidFill>
                </w14:textFill>
              </w:rPr>
              <w:t>对固体废物的产生、处理全过程进行跟踪管理，建立台帐，便于查询。</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4"/>
                <w:highlight w:val="none"/>
                <w14:textFill>
                  <w14:solidFill>
                    <w14:schemeClr w14:val="tx1"/>
                  </w14:solidFill>
                </w14:textFill>
              </w:rPr>
              <w:t>.3排污口规范化要求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.3.1设置标志牌要求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（1）环境保护标志牌由省环保厅统一定点厂家制作，并由环境监察部门核定企业的排污编号。排放一般污染物排放口（源），设置提示性标志牌，排放有毒有害等污染物的排污口设置警告性标志牌。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（2）标志牌设置位置在排污口（采样点）附近且醒目处，高度为标志牌上缘离地面2米。排污口附近1米范围内有建筑物的，设平面式标志牌，无建筑物的设立式标志牌。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（3）规范化排污口的有关设置（如图形标志牌、计量装置、监控装置等）属环保设施，排污单位必须负责日常的维护保养，任何单位和个人不得擅自拆除，如需变更的须报环境监察部门同意并办理变更手续。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.3.2排污口的管理</w:t>
            </w:r>
          </w:p>
          <w:p>
            <w:pPr>
              <w:keepNext w:val="0"/>
              <w:keepLines w:val="0"/>
              <w:pageBreakBefore w:val="0"/>
              <w:kinsoku/>
              <w:overflowPunct/>
              <w:topLinePunct w:val="0"/>
              <w:bidi w:val="0"/>
              <w:adjustRightInd/>
              <w:snapToGrid/>
              <w:spacing w:line="360" w:lineRule="auto"/>
              <w:ind w:firstLine="480" w:firstLineChars="20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建设单位应在各排污口设立较明显的排污标志牌，须注明主要排放污染物的名称。</w:t>
            </w:r>
          </w:p>
          <w:p>
            <w:pPr>
              <w:keepNext w:val="0"/>
              <w:keepLines w:val="0"/>
              <w:pageBreakBefore w:val="0"/>
              <w:kinsoku/>
              <w:overflowPunct/>
              <w:topLinePunct w:val="0"/>
              <w:bidi w:val="0"/>
              <w:adjustRightInd/>
              <w:snapToGrid/>
              <w:spacing w:line="360" w:lineRule="auto"/>
              <w:ind w:firstLine="480" w:firstLineChars="20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建设单位应如实填写《中华人民共和国规范化排污口标志登记证》的有关内容，由环保主管部门签发登记证。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建设单位应将有关排污口的情况如：排污口的性质、编号、排污口的位置；主要排放的污染物种类、数量、浓度、排放规律、排放去向；污染治理设施的运行情况等进行建档管理，并报送环保主管部门备案，以便进行验收和排放口的规范化管理。</w:t>
            </w:r>
          </w:p>
          <w:p>
            <w:pPr>
              <w:keepNext w:val="0"/>
              <w:keepLines w:val="0"/>
              <w:pageBreakBefore w:val="0"/>
              <w:kinsoku/>
              <w:overflowPunct/>
              <w:topLinePunct w:val="0"/>
              <w:bidi w:val="0"/>
              <w:adjustRightInd/>
              <w:snapToGrid/>
              <w:spacing w:line="360" w:lineRule="auto"/>
              <w:ind w:firstLine="480" w:firstLineChars="200"/>
              <w:rPr>
                <w:rFonts w:hint="default" w:ascii="Times New Roman" w:hAnsi="Times New Roman" w:eastAsia="宋体" w:cs="Times New Roman"/>
                <w:b/>
                <w:color w:val="000000" w:themeColor="text1"/>
                <w:sz w:val="24"/>
                <w:szCs w:val="28"/>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各排污口(源)环境保护图形标志，详见列图表</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pPr>
              <w:keepNext w:val="0"/>
              <w:keepLines w:val="0"/>
              <w:pageBreakBefore w:val="0"/>
              <w:kinsoku/>
              <w:overflowPunct/>
              <w:topLinePunct w:val="0"/>
              <w:autoSpaceDE w:val="0"/>
              <w:autoSpaceDN w:val="0"/>
              <w:bidi w:val="0"/>
              <w:adjustRightInd/>
              <w:snapToGrid/>
              <w:spacing w:beforeLines="50"/>
              <w:jc w:val="center"/>
              <w:rPr>
                <w:rFonts w:hint="default" w:ascii="Times New Roman" w:hAnsi="Times New Roman" w:eastAsia="宋体" w:cs="Times New Roman"/>
                <w:b/>
                <w:color w:val="000000" w:themeColor="text1"/>
                <w:sz w:val="24"/>
                <w:szCs w:val="28"/>
                <w:highlight w:val="none"/>
                <w14:textFill>
                  <w14:solidFill>
                    <w14:schemeClr w14:val="tx1"/>
                  </w14:solidFill>
                </w14:textFill>
              </w:rPr>
            </w:pPr>
            <w:r>
              <w:rPr>
                <w:rFonts w:hint="default" w:ascii="Times New Roman" w:hAnsi="Times New Roman" w:eastAsia="宋体" w:cs="Times New Roman"/>
                <w:b/>
                <w:color w:val="000000" w:themeColor="text1"/>
                <w:sz w:val="24"/>
                <w:szCs w:val="28"/>
                <w:highlight w:val="none"/>
                <w14:textFill>
                  <w14:solidFill>
                    <w14:schemeClr w14:val="tx1"/>
                  </w14:solidFill>
                </w14:textFill>
              </w:rPr>
              <w:t>表9.</w:t>
            </w:r>
            <w:r>
              <w:rPr>
                <w:rFonts w:hint="default" w:ascii="Times New Roman" w:hAnsi="Times New Roman" w:eastAsia="宋体" w:cs="Times New Roman"/>
                <w:b/>
                <w:color w:val="000000" w:themeColor="text1"/>
                <w:sz w:val="24"/>
                <w:szCs w:val="28"/>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sz w:val="24"/>
                <w:szCs w:val="28"/>
                <w:highlight w:val="none"/>
                <w14:textFill>
                  <w14:solidFill>
                    <w14:schemeClr w14:val="tx1"/>
                  </w14:solidFill>
                </w14:textFill>
              </w:rPr>
              <w:t>-1</w:t>
            </w:r>
            <w:r>
              <w:rPr>
                <w:rFonts w:hint="default" w:ascii="Times New Roman" w:hAnsi="Times New Roman" w:eastAsia="宋体" w:cs="Times New Roman"/>
                <w:b/>
                <w:color w:val="000000" w:themeColor="text1"/>
                <w:sz w:val="24"/>
                <w:szCs w:val="28"/>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4"/>
                <w:szCs w:val="28"/>
                <w:highlight w:val="none"/>
                <w14:textFill>
                  <w14:solidFill>
                    <w14:schemeClr w14:val="tx1"/>
                  </w14:solidFill>
                </w14:textFill>
              </w:rPr>
              <w:t>各排污口(源)标志牌设置示意图</w:t>
            </w:r>
          </w:p>
          <w:tbl>
            <w:tblPr>
              <w:tblStyle w:val="26"/>
              <w:tblW w:w="922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090"/>
              <w:gridCol w:w="1757"/>
              <w:gridCol w:w="2307"/>
              <w:gridCol w:w="2029"/>
              <w:gridCol w:w="20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090"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b/>
                      <w:bCs/>
                      <w:caps w:val="0"/>
                      <w:color w:val="000000" w:themeColor="text1"/>
                      <w:highlight w:val="none"/>
                      <w14:textFill>
                        <w14:solidFill>
                          <w14:schemeClr w14:val="tx1"/>
                        </w14:solidFill>
                      </w14:textFill>
                    </w:rPr>
                  </w:pPr>
                  <w:r>
                    <w:rPr>
                      <w:rFonts w:hint="default" w:ascii="Times New Roman" w:hAnsi="Times New Roman" w:eastAsia="宋体" w:cs="Times New Roman"/>
                      <w:b/>
                      <w:bCs/>
                      <w:caps w:val="0"/>
                      <w:color w:val="000000" w:themeColor="text1"/>
                      <w:highlight w:val="none"/>
                      <w14:textFill>
                        <w14:solidFill>
                          <w14:schemeClr w14:val="tx1"/>
                        </w14:solidFill>
                      </w14:textFill>
                    </w:rPr>
                    <w:t>名称</w:t>
                  </w:r>
                </w:p>
              </w:tc>
              <w:tc>
                <w:tcPr>
                  <w:tcW w:w="1757"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b/>
                      <w:bCs/>
                      <w:caps w:val="0"/>
                      <w:color w:val="000000" w:themeColor="text1"/>
                      <w:highlight w:val="none"/>
                      <w14:textFill>
                        <w14:solidFill>
                          <w14:schemeClr w14:val="tx1"/>
                        </w14:solidFill>
                      </w14:textFill>
                    </w:rPr>
                  </w:pPr>
                  <w:r>
                    <w:rPr>
                      <w:rFonts w:hint="default" w:ascii="Times New Roman" w:hAnsi="Times New Roman" w:eastAsia="宋体" w:cs="Times New Roman"/>
                      <w:b/>
                      <w:bCs/>
                      <w:caps w:val="0"/>
                      <w:color w:val="000000" w:themeColor="text1"/>
                      <w:highlight w:val="none"/>
                      <w14:textFill>
                        <w14:solidFill>
                          <w14:schemeClr w14:val="tx1"/>
                        </w14:solidFill>
                      </w14:textFill>
                    </w:rPr>
                    <w:t>废水排放口</w:t>
                  </w:r>
                </w:p>
              </w:tc>
              <w:tc>
                <w:tcPr>
                  <w:tcW w:w="2307"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b/>
                      <w:bCs/>
                      <w:caps w:val="0"/>
                      <w:color w:val="000000" w:themeColor="text1"/>
                      <w:highlight w:val="none"/>
                      <w14:textFill>
                        <w14:solidFill>
                          <w14:schemeClr w14:val="tx1"/>
                        </w14:solidFill>
                      </w14:textFill>
                    </w:rPr>
                  </w:pPr>
                  <w:r>
                    <w:rPr>
                      <w:rFonts w:hint="default" w:ascii="Times New Roman" w:hAnsi="Times New Roman" w:eastAsia="宋体" w:cs="Times New Roman"/>
                      <w:b/>
                      <w:bCs/>
                      <w:caps w:val="0"/>
                      <w:color w:val="000000" w:themeColor="text1"/>
                      <w:highlight w:val="none"/>
                      <w14:textFill>
                        <w14:solidFill>
                          <w14:schemeClr w14:val="tx1"/>
                        </w14:solidFill>
                      </w14:textFill>
                    </w:rPr>
                    <w:t>废气排放口</w:t>
                  </w:r>
                </w:p>
              </w:tc>
              <w:tc>
                <w:tcPr>
                  <w:tcW w:w="2029"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b/>
                      <w:bCs/>
                      <w:caps w:val="0"/>
                      <w:color w:val="000000" w:themeColor="text1"/>
                      <w:highlight w:val="none"/>
                      <w14:textFill>
                        <w14:solidFill>
                          <w14:schemeClr w14:val="tx1"/>
                        </w14:solidFill>
                      </w14:textFill>
                    </w:rPr>
                  </w:pPr>
                  <w:r>
                    <w:rPr>
                      <w:rFonts w:hint="default" w:ascii="Times New Roman" w:hAnsi="Times New Roman" w:eastAsia="宋体" w:cs="Times New Roman"/>
                      <w:b/>
                      <w:bCs/>
                      <w:caps w:val="0"/>
                      <w:color w:val="000000" w:themeColor="text1"/>
                      <w:highlight w:val="none"/>
                      <w14:textFill>
                        <w14:solidFill>
                          <w14:schemeClr w14:val="tx1"/>
                        </w14:solidFill>
                      </w14:textFill>
                    </w:rPr>
                    <w:t>噪声排放源</w:t>
                  </w:r>
                </w:p>
              </w:tc>
              <w:tc>
                <w:tcPr>
                  <w:tcW w:w="2041"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b/>
                      <w:bCs/>
                      <w:caps w:val="0"/>
                      <w:color w:val="000000" w:themeColor="text1"/>
                      <w:highlight w:val="none"/>
                      <w14:textFill>
                        <w14:solidFill>
                          <w14:schemeClr w14:val="tx1"/>
                        </w14:solidFill>
                      </w14:textFill>
                    </w:rPr>
                  </w:pPr>
                  <w:r>
                    <w:rPr>
                      <w:rFonts w:hint="default" w:ascii="Times New Roman" w:hAnsi="Times New Roman" w:eastAsia="宋体" w:cs="Times New Roman"/>
                      <w:b/>
                      <w:bCs/>
                      <w:caps w:val="0"/>
                      <w:color w:val="000000" w:themeColor="text1"/>
                      <w:highlight w:val="none"/>
                      <w14:textFill>
                        <w14:solidFill>
                          <w14:schemeClr w14:val="tx1"/>
                        </w14:solidFill>
                      </w14:textFill>
                    </w:rPr>
                    <w:t>一般固体废物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090"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提示图形</w:t>
                  </w: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符号</w:t>
                  </w:r>
                </w:p>
              </w:tc>
              <w:tc>
                <w:tcPr>
                  <w:tcW w:w="1757"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mc:AlternateContent>
                      <mc:Choice Requires="wpg">
                        <w:drawing>
                          <wp:anchor distT="0" distB="0" distL="114300" distR="114300" simplePos="0" relativeHeight="251682816" behindDoc="0" locked="0" layoutInCell="1" allowOverlap="1">
                            <wp:simplePos x="0" y="0"/>
                            <wp:positionH relativeFrom="column">
                              <wp:posOffset>163195</wp:posOffset>
                            </wp:positionH>
                            <wp:positionV relativeFrom="paragraph">
                              <wp:posOffset>3175</wp:posOffset>
                            </wp:positionV>
                            <wp:extent cx="4740275" cy="758190"/>
                            <wp:effectExtent l="9525" t="9525" r="12700" b="13335"/>
                            <wp:wrapNone/>
                            <wp:docPr id="181" name="组合 386"/>
                            <wp:cNvGraphicFramePr/>
                            <a:graphic xmlns:a="http://schemas.openxmlformats.org/drawingml/2006/main">
                              <a:graphicData uri="http://schemas.microsoft.com/office/word/2010/wordprocessingGroup">
                                <wpg:wgp>
                                  <wpg:cNvGrpSpPr/>
                                  <wpg:grpSpPr>
                                    <a:xfrm>
                                      <a:off x="0" y="0"/>
                                      <a:ext cx="4740275" cy="758190"/>
                                      <a:chOff x="2762" y="2770"/>
                                      <a:chExt cx="7350" cy="1194"/>
                                    </a:xfrm>
                                  </wpg:grpSpPr>
                                  <pic:pic xmlns:pic="http://schemas.openxmlformats.org/drawingml/2006/picture">
                                    <pic:nvPicPr>
                                      <pic:cNvPr id="174" name="图片 387" descr="排污口图标（废水）"/>
                                      <pic:cNvPicPr>
                                        <a:picLocks noChangeAspect="1"/>
                                      </pic:cNvPicPr>
                                    </pic:nvPicPr>
                                    <pic:blipFill>
                                      <a:blip r:embed="rId39"/>
                                      <a:stretch>
                                        <a:fillRect/>
                                      </a:stretch>
                                    </pic:blipFill>
                                    <pic:spPr>
                                      <a:xfrm>
                                        <a:off x="2762" y="2817"/>
                                        <a:ext cx="1213" cy="1096"/>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175" name="图片 388" descr="排污口图标（废气）"/>
                                      <pic:cNvPicPr>
                                        <a:picLocks noChangeAspect="1"/>
                                      </pic:cNvPicPr>
                                    </pic:nvPicPr>
                                    <pic:blipFill>
                                      <a:blip r:embed="rId40"/>
                                      <a:stretch>
                                        <a:fillRect/>
                                      </a:stretch>
                                    </pic:blipFill>
                                    <pic:spPr>
                                      <a:xfrm>
                                        <a:off x="4862" y="2785"/>
                                        <a:ext cx="1219" cy="1179"/>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179" name="图片 389" descr="排污口图标（噪声）"/>
                                      <pic:cNvPicPr>
                                        <a:picLocks noChangeAspect="1"/>
                                      </pic:cNvPicPr>
                                    </pic:nvPicPr>
                                    <pic:blipFill>
                                      <a:blip r:embed="rId41"/>
                                      <a:stretch>
                                        <a:fillRect/>
                                      </a:stretch>
                                    </pic:blipFill>
                                    <pic:spPr>
                                      <a:xfrm>
                                        <a:off x="6920" y="2786"/>
                                        <a:ext cx="1168" cy="1168"/>
                                      </a:xfrm>
                                      <a:prstGeom prst="rect">
                                        <a:avLst/>
                                      </a:prstGeom>
                                      <a:noFill/>
                                      <a:ln w="9525" cap="flat" cmpd="sng">
                                        <a:solidFill>
                                          <a:srgbClr val="000000"/>
                                        </a:solidFill>
                                        <a:prstDash val="solid"/>
                                        <a:miter/>
                                        <a:headEnd type="none" w="med" len="med"/>
                                        <a:tailEnd type="none" w="med" len="med"/>
                                      </a:ln>
                                    </pic:spPr>
                                  </pic:pic>
                                  <pic:pic xmlns:pic="http://schemas.openxmlformats.org/drawingml/2006/picture">
                                    <pic:nvPicPr>
                                      <pic:cNvPr id="180" name="图片 390" descr="排污口图标（固废）"/>
                                      <pic:cNvPicPr>
                                        <a:picLocks noChangeAspect="1"/>
                                      </pic:cNvPicPr>
                                    </pic:nvPicPr>
                                    <pic:blipFill>
                                      <a:blip r:embed="rId42"/>
                                      <a:stretch>
                                        <a:fillRect/>
                                      </a:stretch>
                                    </pic:blipFill>
                                    <pic:spPr>
                                      <a:xfrm>
                                        <a:off x="8933" y="2770"/>
                                        <a:ext cx="1179" cy="1179"/>
                                      </a:xfrm>
                                      <a:prstGeom prst="rect">
                                        <a:avLst/>
                                      </a:prstGeom>
                                      <a:noFill/>
                                      <a:ln w="9525" cap="flat" cmpd="sng">
                                        <a:solidFill>
                                          <a:srgbClr val="000000"/>
                                        </a:solidFill>
                                        <a:prstDash val="solid"/>
                                        <a:miter/>
                                        <a:headEnd type="none" w="med" len="med"/>
                                        <a:tailEnd type="none" w="med" len="med"/>
                                      </a:ln>
                                    </pic:spPr>
                                  </pic:pic>
                                </wpg:wgp>
                              </a:graphicData>
                            </a:graphic>
                          </wp:anchor>
                        </w:drawing>
                      </mc:Choice>
                      <mc:Fallback>
                        <w:pict>
                          <v:group id="组合 386" o:spid="_x0000_s1026" o:spt="203" style="position:absolute;left:0pt;margin-left:12.85pt;margin-top:0.25pt;height:59.7pt;width:373.25pt;z-index:251682816;mso-width-relative:page;mso-height-relative:page;" coordorigin="2762,2770" coordsize="7350,1194" o:gfxdata="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">
                            <o:lock v:ext="edit" aspectratio="f"/>
                            <v:shape id="图片 387" o:spid="_x0000_s1026" o:spt="75" alt="排污口图标（废水）" type="#_x0000_t75" style="position:absolute;left:2762;top:2817;height:1096;width:1213;" filled="f" o:preferrelative="t" stroked="t" coordsize="21600,21600" o:gfxdata="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eGC8AAAA&#10;3AAAAA8AAAAAAAAAAQAgAAAAIgAAAGRycy9kb3ducmV2LnhtbFBLAQIUABQAAAAIAIdO4kAzLwWe&#10;OwAAADkAAAAQAAAAAAAAAAEAIAAAAAsBAABkcnMvc2hhcGV4bWwueG1sUEsFBgAAAAAGAAYAWwEA&#10;ALUDAAAAAA==&#10;">
                              <v:fill on="f" focussize="0,0"/>
                              <v:stroke color="#000000" joinstyle="miter"/>
                              <v:imagedata r:id="rId39" o:title=""/>
                              <o:lock v:ext="edit" aspectratio="t"/>
                            </v:shape>
                            <v:shape id="图片 388" o:spid="_x0000_s1026" o:spt="75" alt="排污口图标（废气）" type="#_x0000_t75" style="position:absolute;left:4862;top:2785;height:1179;width:1219;" filled="f" o:preferrelative="t" stroked="t" coordsize="21600,21600" o:gfxdata="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oINLsAAADc&#10;AAAADwAAAAAAAAABACAAAAAiAAAAZHJzL2Rvd25yZXYueG1sUEsBAhQAFAAAAAgAh07iQDMvBZ47&#10;AAAAOQAAABAAAAAAAAAAAQAgAAAACgEAAGRycy9zaGFwZXhtbC54bWxQSwUGAAAAAAYABgBbAQAA&#10;tAMAAAAA&#10;">
                              <v:fill on="f" focussize="0,0"/>
                              <v:stroke color="#000000" joinstyle="miter"/>
                              <v:imagedata r:id="rId40" o:title=""/>
                              <o:lock v:ext="edit" aspectratio="t"/>
                            </v:shape>
                            <v:shape id="图片 389" o:spid="_x0000_s1026" o:spt="75" alt="排污口图标（噪声）" type="#_x0000_t75" style="position:absolute;left:6920;top:2786;height:1168;width:1168;" filled="f" o:preferrelative="t" stroked="t" coordsize="21600,21600" o:gfxdata="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QRj7sAAADc&#10;AAAADwAAAAAAAAABACAAAAAiAAAAZHJzL2Rvd25yZXYueG1sUEsBAhQAFAAAAAgAh07iQDMvBZ47&#10;AAAAOQAAABAAAAAAAAAAAQAgAAAACgEAAGRycy9zaGFwZXhtbC54bWxQSwUGAAAAAAYABgBbAQAA&#10;tAMAAAAA&#10;">
                              <v:fill on="f" focussize="0,0"/>
                              <v:stroke color="#000000" joinstyle="miter"/>
                              <v:imagedata r:id="rId41" o:title=""/>
                              <o:lock v:ext="edit" aspectratio="t"/>
                            </v:shape>
                            <v:shape id="图片 390" o:spid="_x0000_s1026" o:spt="75" alt="排污口图标（固废）" type="#_x0000_t75" style="position:absolute;left:8933;top:2770;height:1179;width:1179;" filled="f" o:preferrelative="t" stroked="t" coordsize="21600,21600" o:gfxdata="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L5h68AAAA&#10;3AAAAA8AAAAAAAAAAQAgAAAAIgAAAGRycy9kb3ducmV2LnhtbFBLAQIUABQAAAAIAIdO4kAzLwWe&#10;OwAAADkAAAAQAAAAAAAAAAEAIAAAAAsBAABkcnMvc2hhcGV4bWwueG1sUEsFBgAAAAAGAAYAWwEA&#10;ALUDAAAAAA==&#10;">
                              <v:fill on="f" focussize="0,0"/>
                              <v:stroke color="#000000" joinstyle="miter"/>
                              <v:imagedata r:id="rId42" o:title=""/>
                              <o:lock v:ext="edit" aspectratio="t"/>
                            </v:shape>
                          </v:group>
                        </w:pict>
                      </mc:Fallback>
                    </mc:AlternateContent>
                  </w: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tc>
              <w:tc>
                <w:tcPr>
                  <w:tcW w:w="2307"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tc>
              <w:tc>
                <w:tcPr>
                  <w:tcW w:w="2029"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tc>
              <w:tc>
                <w:tcPr>
                  <w:tcW w:w="2041"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40" w:hRule="atLeast"/>
                <w:jc w:val="center"/>
              </w:trPr>
              <w:tc>
                <w:tcPr>
                  <w:tcW w:w="1090"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功能</w:t>
                  </w:r>
                </w:p>
              </w:tc>
              <w:tc>
                <w:tcPr>
                  <w:tcW w:w="1757"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表示污水向水体</w:t>
                  </w: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排放</w:t>
                  </w:r>
                </w:p>
              </w:tc>
              <w:tc>
                <w:tcPr>
                  <w:tcW w:w="2307"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表示废气向大气环境</w:t>
                  </w: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排放</w:t>
                  </w:r>
                </w:p>
              </w:tc>
              <w:tc>
                <w:tcPr>
                  <w:tcW w:w="2029"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表示噪声向外环境</w:t>
                  </w: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排放</w:t>
                  </w:r>
                </w:p>
              </w:tc>
              <w:tc>
                <w:tcPr>
                  <w:tcW w:w="2041" w:type="dxa"/>
                  <w:noWrap w:val="0"/>
                  <w:vAlign w:val="center"/>
                </w:tcPr>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表示一般固体废物</w:t>
                  </w:r>
                </w:p>
                <w:p>
                  <w:pPr>
                    <w:pStyle w:val="110"/>
                    <w:keepNext w:val="0"/>
                    <w:keepLines w:val="0"/>
                    <w:pageBreakBefore w:val="0"/>
                    <w:kinsoku/>
                    <w:wordWrap/>
                    <w:overflowPunct/>
                    <w:topLinePunct w:val="0"/>
                    <w:bidi w:val="0"/>
                    <w:adjustRightInd/>
                    <w:snapToGrid/>
                    <w:spacing w:afterAutospacing="0"/>
                    <w:ind w:left="0" w:leftChars="0" w:right="0" w:rightChars="0"/>
                    <w:rPr>
                      <w:rFonts w:hint="default" w:ascii="Times New Roman" w:hAnsi="Times New Roman" w:eastAsia="宋体" w:cs="Times New Roman"/>
                      <w:caps w:val="0"/>
                      <w:color w:val="000000" w:themeColor="text1"/>
                      <w:highlight w:val="none"/>
                      <w14:textFill>
                        <w14:solidFill>
                          <w14:schemeClr w14:val="tx1"/>
                        </w14:solidFill>
                      </w14:textFill>
                    </w:rPr>
                  </w:pPr>
                  <w:r>
                    <w:rPr>
                      <w:rFonts w:hint="default" w:ascii="Times New Roman" w:hAnsi="Times New Roman" w:eastAsia="宋体" w:cs="Times New Roman"/>
                      <w:caps w:val="0"/>
                      <w:color w:val="000000" w:themeColor="text1"/>
                      <w:highlight w:val="none"/>
                      <w14:textFill>
                        <w14:solidFill>
                          <w14:schemeClr w14:val="tx1"/>
                        </w14:solidFill>
                      </w14:textFill>
                    </w:rPr>
                    <w:t>贮存、处置场</w:t>
                  </w:r>
                </w:p>
              </w:tc>
            </w:tr>
          </w:tbl>
          <w:p>
            <w:pPr>
              <w:pStyle w:val="120"/>
              <w:keepNext w:val="0"/>
              <w:keepLines w:val="0"/>
              <w:pageBreakBefore w:val="0"/>
              <w:widowControl w:val="0"/>
              <w:tabs>
                <w:tab w:val="clear" w:pos="1132"/>
              </w:tabs>
              <w:kinsoku/>
              <w:wordWrap/>
              <w:overflowPunct/>
              <w:topLinePunct w:val="0"/>
              <w:autoSpaceDE w:val="0"/>
              <w:autoSpaceDN w:val="0"/>
              <w:bidi w:val="0"/>
              <w:adjustRightInd/>
              <w:snapToGrid/>
              <w:spacing w:before="157" w:beforeLines="50"/>
              <w:ind w:left="0" w:firstLine="0" w:firstLineChars="0"/>
              <w:jc w:val="center"/>
              <w:textAlignment w:val="center"/>
              <w:outlineLvl w:val="9"/>
              <w:rPr>
                <w:rFonts w:hint="default" w:ascii="Times New Roman" w:hAnsi="Times New Roman" w:eastAsia="宋体" w:cs="Times New Roman"/>
                <w:b/>
                <w:caps w:val="0"/>
                <w:color w:val="000000" w:themeColor="text1"/>
                <w:szCs w:val="24"/>
                <w:highlight w:val="none"/>
                <w14:textFill>
                  <w14:solidFill>
                    <w14:schemeClr w14:val="tx1"/>
                  </w14:solidFill>
                </w14:textFill>
              </w:rPr>
            </w:pPr>
            <w:r>
              <w:rPr>
                <w:rFonts w:hint="default" w:ascii="Times New Roman" w:hAnsi="Times New Roman" w:eastAsia="宋体" w:cs="Times New Roman"/>
                <w:b/>
                <w:caps w:val="0"/>
                <w:color w:val="000000" w:themeColor="text1"/>
                <w:szCs w:val="24"/>
                <w:highlight w:val="none"/>
                <w14:textFill>
                  <w14:solidFill>
                    <w14:schemeClr w14:val="tx1"/>
                  </w14:solidFill>
                </w14:textFill>
              </w:rPr>
              <w:t>表</w:t>
            </w:r>
            <w:r>
              <w:rPr>
                <w:rFonts w:hint="default" w:ascii="Times New Roman" w:hAnsi="Times New Roman" w:eastAsia="宋体" w:cs="Times New Roman"/>
                <w:b/>
                <w:bCs/>
                <w:caps w:val="0"/>
                <w:color w:val="000000" w:themeColor="text1"/>
                <w:sz w:val="24"/>
                <w:szCs w:val="24"/>
                <w:highlight w:val="none"/>
                <w:lang w:val="en-US" w:eastAsia="zh-CN"/>
                <w14:textFill>
                  <w14:solidFill>
                    <w14:schemeClr w14:val="tx1"/>
                  </w14:solidFill>
                </w14:textFill>
              </w:rPr>
              <w:t>9.4-2</w:t>
            </w:r>
            <w:r>
              <w:rPr>
                <w:rFonts w:hint="default" w:ascii="Times New Roman" w:hAnsi="Times New Roman" w:eastAsia="宋体" w:cs="Times New Roman"/>
                <w:b/>
                <w:caps w:val="0"/>
                <w:snapToGrid/>
                <w:color w:val="000000" w:themeColor="text1"/>
                <w:szCs w:val="24"/>
                <w:highlight w:val="none"/>
                <w14:textFill>
                  <w14:solidFill>
                    <w14:schemeClr w14:val="tx1"/>
                  </w14:solidFill>
                </w14:textFill>
              </w:rPr>
              <w:t xml:space="preserve"> </w:t>
            </w:r>
            <w:r>
              <w:rPr>
                <w:rFonts w:hint="default" w:ascii="Times New Roman" w:hAnsi="Times New Roman" w:eastAsia="宋体" w:cs="Times New Roman"/>
                <w:b/>
                <w:caps w:val="0"/>
                <w:color w:val="000000" w:themeColor="text1"/>
                <w:szCs w:val="24"/>
                <w:highlight w:val="none"/>
                <w14:textFill>
                  <w14:solidFill>
                    <w14:schemeClr w14:val="tx1"/>
                  </w14:solidFill>
                </w14:textFill>
              </w:rPr>
              <w:t xml:space="preserve"> </w:t>
            </w:r>
            <w:r>
              <w:rPr>
                <w:rFonts w:hint="default" w:ascii="Times New Roman" w:hAnsi="Times New Roman" w:eastAsia="宋体" w:cs="Times New Roman"/>
                <w:b/>
                <w:caps w:val="0"/>
                <w:color w:val="000000" w:themeColor="text1"/>
                <w:szCs w:val="24"/>
                <w:highlight w:val="none"/>
                <w:lang w:eastAsia="zh-CN"/>
                <w14:textFill>
                  <w14:solidFill>
                    <w14:schemeClr w14:val="tx1"/>
                  </w14:solidFill>
                </w14:textFill>
              </w:rPr>
              <w:t>本</w:t>
            </w:r>
            <w:r>
              <w:rPr>
                <w:rFonts w:hint="default" w:ascii="Times New Roman" w:hAnsi="Times New Roman" w:eastAsia="宋体" w:cs="Times New Roman"/>
                <w:b/>
                <w:caps w:val="0"/>
                <w:color w:val="000000" w:themeColor="text1"/>
                <w:szCs w:val="24"/>
                <w:highlight w:val="none"/>
                <w14:textFill>
                  <w14:solidFill>
                    <w14:schemeClr w14:val="tx1"/>
                  </w14:solidFill>
                </w14:textFill>
              </w:rPr>
              <w:t>项目标准化排污口情况一览表</w:t>
            </w:r>
          </w:p>
          <w:tbl>
            <w:tblPr>
              <w:tblStyle w:val="27"/>
              <w:tblW w:w="92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5"/>
              <w:gridCol w:w="3275"/>
              <w:gridCol w:w="1625"/>
              <w:gridCol w:w="24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排放源编号</w:t>
                  </w:r>
                </w:p>
              </w:tc>
              <w:tc>
                <w:tcPr>
                  <w:tcW w:w="3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kern w:val="2"/>
                      <w:sz w:val="21"/>
                      <w:szCs w:val="21"/>
                      <w:highlight w:val="none"/>
                      <w14:textFill>
                        <w14:solidFill>
                          <w14:schemeClr w14:val="tx1"/>
                        </w14:solidFill>
                      </w14:textFill>
                    </w:rPr>
                    <w:t>污染物名称</w:t>
                  </w:r>
                </w:p>
              </w:tc>
              <w:tc>
                <w:tcPr>
                  <w:tcW w:w="1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排放去向</w:t>
                  </w:r>
                </w:p>
              </w:tc>
              <w:tc>
                <w:tcPr>
                  <w:tcW w:w="2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aps w:val="0"/>
                      <w:color w:val="000000" w:themeColor="text1"/>
                      <w:sz w:val="21"/>
                      <w:szCs w:val="21"/>
                      <w:highlight w:val="none"/>
                      <w14:textFill>
                        <w14:solidFill>
                          <w14:schemeClr w14:val="tx1"/>
                        </w14:solidFill>
                      </w14:textFill>
                    </w:rPr>
                    <w:t>排放口形式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#废气排放口</w:t>
                  </w:r>
                </w:p>
              </w:tc>
              <w:tc>
                <w:tcPr>
                  <w:tcW w:w="3275" w:type="dxa"/>
                  <w:tcBorders>
                    <w:tl2br w:val="nil"/>
                    <w:tr2bl w:val="nil"/>
                  </w:tcBorders>
                  <w:noWrap w:val="0"/>
                  <w:vAlign w:val="center"/>
                </w:tcPr>
                <w:p>
                  <w:pPr>
                    <w:pStyle w:val="3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颗粒物、二氧化硫、氮氧化物</w:t>
                  </w:r>
                </w:p>
              </w:tc>
              <w:tc>
                <w:tcPr>
                  <w:tcW w:w="1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大气</w:t>
                  </w:r>
                </w:p>
              </w:tc>
              <w:tc>
                <w:tcPr>
                  <w:tcW w:w="2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标志牌</w:t>
                  </w: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，排气筒</w:t>
                  </w:r>
                  <w:r>
                    <w:rPr>
                      <w:rFonts w:hint="default" w:ascii="Times New Roman" w:hAnsi="Times New Roman" w:eastAsia="宋体" w:cs="Times New Roman"/>
                      <w:caps w:val="0"/>
                      <w:color w:val="000000" w:themeColor="text1"/>
                      <w:sz w:val="21"/>
                      <w:szCs w:val="21"/>
                      <w:highlight w:val="none"/>
                      <w14:textFill>
                        <w14:solidFill>
                          <w14:schemeClr w14:val="tx1"/>
                        </w14:solidFill>
                      </w14:textFill>
                    </w:rPr>
                    <w:t>高度</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15m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生活污水排放口</w:t>
                  </w:r>
                </w:p>
              </w:tc>
              <w:tc>
                <w:tcPr>
                  <w:tcW w:w="3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-N、LAS、</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SS</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PH、动植物油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w:t>
                  </w:r>
                </w:p>
              </w:tc>
              <w:tc>
                <w:tcPr>
                  <w:tcW w:w="1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潖江</w:t>
                  </w:r>
                </w:p>
              </w:tc>
              <w:tc>
                <w:tcPr>
                  <w:tcW w:w="2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caps w:val="0"/>
                      <w:color w:val="000000" w:themeColor="text1"/>
                      <w:sz w:val="21"/>
                      <w:szCs w:val="21"/>
                      <w:highlight w:val="none"/>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标志牌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生产废水排放口</w:t>
                  </w:r>
                </w:p>
              </w:tc>
              <w:tc>
                <w:tcPr>
                  <w:tcW w:w="32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SS</w:t>
                  </w:r>
                  <w:r>
                    <w:rPr>
                      <w:rFonts w:hint="default" w:ascii="Times New Roman" w:hAnsi="Times New Roman" w:eastAsia="宋体" w:cs="Times New Roman"/>
                      <w:color w:val="000000" w:themeColor="text1"/>
                      <w:sz w:val="21"/>
                      <w:szCs w:val="21"/>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lang w:val="en-US" w:eastAsia="zh-CN"/>
                      <w14:textFill>
                        <w14:solidFill>
                          <w14:schemeClr w14:val="tx1"/>
                        </w14:solidFill>
                      </w14:textFill>
                    </w:rPr>
                    <w:t>PH</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w:t>
                  </w:r>
                </w:p>
              </w:tc>
              <w:tc>
                <w:tcPr>
                  <w:tcW w:w="16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潖江</w:t>
                  </w:r>
                </w:p>
              </w:tc>
              <w:tc>
                <w:tcPr>
                  <w:tcW w:w="249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eastAsia="zh-CN"/>
                      <w14:textFill>
                        <w14:solidFill>
                          <w14:schemeClr w14:val="tx1"/>
                        </w14:solidFill>
                      </w14:textFill>
                    </w:rPr>
                    <w:t>标志牌</w:t>
                  </w:r>
                </w:p>
              </w:tc>
            </w:tr>
          </w:tbl>
          <w:p>
            <w:pPr>
              <w:pStyle w:val="72"/>
              <w:keepNext w:val="0"/>
              <w:keepLines w:val="0"/>
              <w:pageBreakBefore w:val="0"/>
              <w:widowControl w:val="0"/>
              <w:kinsoku/>
              <w:wordWrap/>
              <w:overflowPunct/>
              <w:topLinePunct w:val="0"/>
              <w:autoSpaceDE/>
              <w:autoSpaceDN/>
              <w:bidi w:val="0"/>
              <w:adjustRightInd/>
              <w:snapToGrid/>
              <w:spacing w:before="157" w:beforeLines="50" w:afterAutospacing="0" w:line="360" w:lineRule="auto"/>
              <w:ind w:left="0" w:leftChars="0" w:right="0" w:rightChars="0" w:firstLine="0" w:firstLineChars="0"/>
              <w:jc w:val="both"/>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9.</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5建设项目竣工环保设施验收</w:t>
            </w:r>
            <w:r>
              <w:rPr>
                <w:rFonts w:hint="default" w:ascii="Times New Roman" w:hAnsi="Times New Roman" w:eastAsia="宋体" w:cs="Times New Roman"/>
                <w:b/>
                <w:color w:val="000000" w:themeColor="text1"/>
                <w:sz w:val="28"/>
                <w:szCs w:val="28"/>
                <w:highlight w:val="none"/>
                <w14:textFill>
                  <w14:solidFill>
                    <w14:schemeClr w14:val="tx1"/>
                  </w14:solidFill>
                </w14:textFill>
              </w:rPr>
              <w:t xml:space="preserve">   </w:t>
            </w:r>
          </w:p>
          <w:p>
            <w:pPr>
              <w:pStyle w:val="72"/>
              <w:keepNext w:val="0"/>
              <w:keepLines w:val="0"/>
              <w:pageBreakBefore w:val="0"/>
              <w:widowControl w:val="0"/>
              <w:kinsoku/>
              <w:wordWrap/>
              <w:overflowPunct/>
              <w:topLinePunct w:val="0"/>
              <w:autoSpaceDE/>
              <w:autoSpaceDN/>
              <w:bidi w:val="0"/>
              <w:adjustRightInd/>
              <w:snapToGrid/>
              <w:spacing w:afterAutospacing="0" w:line="360" w:lineRule="auto"/>
              <w:ind w:left="0" w:leftChars="0" w:right="0" w:rightChars="0" w:firstLine="0" w:firstLineChars="0"/>
              <w:jc w:val="both"/>
              <w:textAlignment w:val="baseline"/>
              <w:outlineLvl w:val="9"/>
              <w:rPr>
                <w:rFonts w:hint="default" w:ascii="Times New Roman" w:hAnsi="Times New Roman" w:eastAsia="宋体" w:cs="Times New Roman"/>
                <w:b/>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bCs w:val="0"/>
                <w:color w:val="000000" w:themeColor="text1"/>
                <w:highlight w:val="none"/>
                <w:lang w:val="en-US" w:eastAsia="zh-CN"/>
                <w14:textFill>
                  <w14:solidFill>
                    <w14:schemeClr w14:val="tx1"/>
                  </w14:solidFill>
                </w14:textFill>
              </w:rPr>
              <w:t>9.5</w:t>
            </w:r>
            <w:r>
              <w:rPr>
                <w:rFonts w:hint="default" w:ascii="Times New Roman" w:hAnsi="Times New Roman" w:eastAsia="宋体" w:cs="Times New Roman"/>
                <w:b/>
                <w:bCs w:val="0"/>
                <w:color w:val="000000" w:themeColor="text1"/>
                <w:highlight w:val="none"/>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shd w:val="clear" w:color="auto" w:fill="auto"/>
                <w:lang w:eastAsia="zh-CN"/>
                <w14:textFill>
                  <w14:solidFill>
                    <w14:schemeClr w14:val="tx1"/>
                  </w14:solidFill>
                </w14:textFill>
              </w:rPr>
              <w:t>建设项目竣工</w:t>
            </w:r>
            <w:r>
              <w:rPr>
                <w:rFonts w:hint="default" w:ascii="Times New Roman" w:hAnsi="Times New Roman" w:eastAsia="宋体" w:cs="Times New Roman"/>
                <w:b/>
                <w:bCs/>
                <w:color w:val="000000" w:themeColor="text1"/>
                <w:highlight w:val="none"/>
                <w:shd w:val="clear" w:color="auto" w:fill="auto"/>
                <w14:textFill>
                  <w14:solidFill>
                    <w14:schemeClr w14:val="tx1"/>
                  </w14:solidFill>
                </w14:textFill>
              </w:rPr>
              <w:t>环保</w:t>
            </w:r>
            <w:r>
              <w:rPr>
                <w:rFonts w:hint="default" w:ascii="Times New Roman" w:hAnsi="Times New Roman" w:eastAsia="宋体" w:cs="Times New Roman"/>
                <w:b/>
                <w:color w:val="000000" w:themeColor="text1"/>
                <w:highlight w:val="none"/>
                <w:shd w:val="clear" w:color="auto" w:fill="auto"/>
                <w14:textFill>
                  <w14:solidFill>
                    <w14:schemeClr w14:val="tx1"/>
                  </w14:solidFill>
                </w14:textFill>
              </w:rPr>
              <w:t>验收依据</w:t>
            </w:r>
          </w:p>
          <w:p>
            <w:pPr>
              <w:keepNext w:val="0"/>
              <w:keepLines w:val="0"/>
              <w:pageBreakBefore w:val="0"/>
              <w:tabs>
                <w:tab w:val="left" w:pos="3135"/>
              </w:tabs>
              <w:kinsoku/>
              <w:overflowPunct/>
              <w:topLinePunct w:val="0"/>
              <w:autoSpaceDE/>
              <w:autoSpaceDN/>
              <w:bidi w:val="0"/>
              <w:adjustRightInd/>
              <w:snapToGrid/>
              <w:spacing w:line="360" w:lineRule="auto"/>
              <w:ind w:firstLine="480" w:firstLineChars="200"/>
              <w:rPr>
                <w:rFonts w:hint="default" w:ascii="Times New Roman" w:hAnsi="Times New Roman" w:eastAsia="宋体" w:cs="Times New Roman"/>
                <w:b w:val="0"/>
                <w:bCs w:val="0"/>
                <w:color w:val="000000" w:themeColor="text1"/>
                <w:sz w:val="24"/>
                <w:szCs w:val="24"/>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根据环保法规，建设工程污染防治设施必须与主体工程</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同时设计、同时施工、同时投产使用</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，而污染防治设施是严格控制污染源和污染物排放总量、遏制环境恶化趋势的有力措施。</w:t>
            </w:r>
            <w:r>
              <w:rPr>
                <w:rFonts w:hint="default" w:ascii="Times New Roman" w:hAnsi="Times New Roman" w:eastAsia="宋体" w:cs="Times New Roman"/>
                <w:caps w:val="0"/>
                <w:color w:val="000000" w:themeColor="text1"/>
                <w:sz w:val="24"/>
                <w:szCs w:val="22"/>
                <w:highlight w:val="none"/>
                <w:shd w:val="clear" w:color="auto" w:fill="auto"/>
                <w:lang w:val="en-US" w:eastAsia="zh-CN"/>
                <w14:textFill>
                  <w14:solidFill>
                    <w14:schemeClr w14:val="tx1"/>
                  </w14:solidFill>
                </w14:textFill>
              </w:rPr>
              <w:t>本项目</w:t>
            </w:r>
            <w:r>
              <w:rPr>
                <w:rFonts w:hint="default" w:ascii="Times New Roman" w:hAnsi="Times New Roman" w:eastAsia="宋体" w:cs="Times New Roman"/>
                <w:i w:val="0"/>
                <w:caps w:val="0"/>
                <w:color w:val="000000" w:themeColor="text1"/>
                <w:spacing w:val="0"/>
                <w:sz w:val="24"/>
                <w:szCs w:val="24"/>
                <w:highlight w:val="none"/>
                <w:shd w:val="clear" w:color="auto" w:fill="auto"/>
                <w:lang w:val="en-US" w:eastAsia="zh-CN"/>
                <w14:textFill>
                  <w14:solidFill>
                    <w14:schemeClr w14:val="tx1"/>
                  </w14:solidFill>
                </w14:textFill>
              </w:rPr>
              <w:t>竣工</w:t>
            </w:r>
            <w:r>
              <w:rPr>
                <w:rFonts w:hint="default" w:ascii="Times New Roman" w:hAnsi="Times New Roman" w:eastAsia="宋体" w:cs="Times New Roman"/>
                <w:b w:val="0"/>
                <w:bCs w:val="0"/>
                <w:color w:val="000000" w:themeColor="text1"/>
                <w:sz w:val="24"/>
                <w:szCs w:val="24"/>
                <w:highlight w:val="none"/>
                <w:shd w:val="clear" w:color="auto" w:fill="auto"/>
                <w14:textFill>
                  <w14:solidFill>
                    <w14:schemeClr w14:val="tx1"/>
                  </w14:solidFill>
                </w14:textFill>
              </w:rPr>
              <w:t>环保验收依据</w:t>
            </w:r>
            <w:r>
              <w:rPr>
                <w:rFonts w:hint="default" w:ascii="Times New Roman" w:hAnsi="Times New Roman" w:eastAsia="宋体" w:cs="Times New Roman"/>
                <w:b w:val="0"/>
                <w:bCs w:val="0"/>
                <w:color w:val="000000" w:themeColor="text1"/>
                <w:sz w:val="24"/>
                <w:szCs w:val="24"/>
                <w:highlight w:val="none"/>
                <w:shd w:val="clear" w:color="auto" w:fill="auto"/>
                <w:lang w:eastAsia="zh-CN"/>
                <w14:textFill>
                  <w14:solidFill>
                    <w14:schemeClr w14:val="tx1"/>
                  </w14:solidFill>
                </w14:textFill>
              </w:rPr>
              <w:t>：</w:t>
            </w:r>
          </w:p>
          <w:p>
            <w:pPr>
              <w:keepNext w:val="0"/>
              <w:keepLines w:val="0"/>
              <w:pageBreakBefore w:val="0"/>
              <w:numPr>
                <w:ilvl w:val="0"/>
                <w:numId w:val="0"/>
              </w:numPr>
              <w:tabs>
                <w:tab w:val="left" w:pos="3135"/>
              </w:tabs>
              <w:kinsoku/>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◆《建设项目环境保护管理条例》（2017.10.1修订施行）</w:t>
            </w:r>
          </w:p>
          <w:p>
            <w:pPr>
              <w:keepNext w:val="0"/>
              <w:keepLines w:val="0"/>
              <w:pageBreakBefore w:val="0"/>
              <w:numPr>
                <w:ilvl w:val="0"/>
                <w:numId w:val="0"/>
              </w:numPr>
              <w:tabs>
                <w:tab w:val="left" w:pos="3135"/>
              </w:tabs>
              <w:kinsoku/>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◆《建设项目竣工环境保护验收暂行办法》（2017.11.20修订施行）</w:t>
            </w:r>
          </w:p>
          <w:p>
            <w:pPr>
              <w:keepNext w:val="0"/>
              <w:keepLines w:val="0"/>
              <w:pageBreakBefore w:val="0"/>
              <w:numPr>
                <w:ilvl w:val="0"/>
                <w:numId w:val="0"/>
              </w:numPr>
              <w:tabs>
                <w:tab w:val="left" w:pos="3135"/>
              </w:tabs>
              <w:kinsoku/>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bCs w:val="0"/>
                <w:i w:val="0"/>
                <w:caps w:val="0"/>
                <w:color w:val="000000" w:themeColor="text1"/>
                <w:spacing w:val="8"/>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b w:val="0"/>
                <w:bCs w:val="0"/>
                <w:i w:val="0"/>
                <w:caps w:val="0"/>
                <w:color w:val="000000" w:themeColor="text1"/>
                <w:spacing w:val="8"/>
                <w:sz w:val="24"/>
                <w:szCs w:val="24"/>
                <w:highlight w:val="none"/>
                <w:shd w:val="clear" w:color="auto" w:fill="auto"/>
                <w14:textFill>
                  <w14:solidFill>
                    <w14:schemeClr w14:val="tx1"/>
                  </w14:solidFill>
                </w14:textFill>
              </w:rPr>
              <w:t>建设项目环境保护设施竣工验收监测技术要求</w:t>
            </w:r>
            <w:r>
              <w:rPr>
                <w:rFonts w:hint="default" w:ascii="Times New Roman" w:hAnsi="Times New Roman" w:eastAsia="宋体" w:cs="Times New Roman"/>
                <w:b w:val="0"/>
                <w:bCs w:val="0"/>
                <w:i w:val="0"/>
                <w:caps w:val="0"/>
                <w:color w:val="000000" w:themeColor="text1"/>
                <w:spacing w:val="8"/>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2000年2月22日发布）</w:t>
            </w:r>
          </w:p>
          <w:p>
            <w:pPr>
              <w:keepNext w:val="0"/>
              <w:keepLines w:val="0"/>
              <w:pageBreakBefore w:val="0"/>
              <w:numPr>
                <w:ilvl w:val="0"/>
                <w:numId w:val="0"/>
              </w:numPr>
              <w:tabs>
                <w:tab w:val="left" w:pos="3135"/>
              </w:tabs>
              <w:kinsoku/>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 xml:space="preserve">◆《建设项目竣工环境保护验收技术指南 污染影响类》（2018年5月15日发布）   </w:t>
            </w:r>
          </w:p>
          <w:p>
            <w:pPr>
              <w:keepNext w:val="0"/>
              <w:keepLines w:val="0"/>
              <w:pageBreakBefore w:val="0"/>
              <w:numPr>
                <w:ilvl w:val="0"/>
                <w:numId w:val="0"/>
              </w:numPr>
              <w:tabs>
                <w:tab w:val="left" w:pos="3135"/>
              </w:tabs>
              <w:kinsoku/>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◆《建设项目竣工环境保护验收效果评估技术指南（试行）》（2018.05.22施行）</w:t>
            </w:r>
          </w:p>
          <w:p>
            <w:pPr>
              <w:keepNext w:val="0"/>
              <w:keepLines w:val="0"/>
              <w:pageBreakBefore w:val="0"/>
              <w:numPr>
                <w:ilvl w:val="0"/>
                <w:numId w:val="0"/>
              </w:numPr>
              <w:tabs>
                <w:tab w:val="left" w:pos="3135"/>
              </w:tabs>
              <w:kinsoku/>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◆《建设项目环境影响报告表及审批部门审批意见》</w:t>
            </w:r>
          </w:p>
          <w:p>
            <w:pPr>
              <w:keepNext w:val="0"/>
              <w:keepLines w:val="0"/>
              <w:pageBreakBefore w:val="0"/>
              <w:widowControl w:val="0"/>
              <w:tabs>
                <w:tab w:val="left" w:pos="3135"/>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val="0"/>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9.5.2</w:t>
            </w:r>
            <w:r>
              <w:rPr>
                <w:rFonts w:hint="default" w:ascii="Times New Roman" w:hAnsi="Times New Roman" w:eastAsia="宋体" w:cs="Times New Roman"/>
                <w:b/>
                <w:color w:val="000000" w:themeColor="text1"/>
                <w:sz w:val="24"/>
                <w:szCs w:val="24"/>
                <w:highlight w:val="none"/>
                <w:shd w:val="clear" w:color="auto" w:fill="auto"/>
                <w14:textFill>
                  <w14:solidFill>
                    <w14:schemeClr w14:val="tx1"/>
                  </w14:solidFill>
                </w14:textFill>
              </w:rPr>
              <w:t>建设项目竣工环保验收</w:t>
            </w:r>
            <w:r>
              <w:rPr>
                <w:rFonts w:hint="default" w:ascii="Times New Roman" w:hAnsi="Times New Roman" w:eastAsia="宋体" w:cs="Times New Roman"/>
                <w:b/>
                <w:color w:val="000000" w:themeColor="text1"/>
                <w:sz w:val="24"/>
                <w:szCs w:val="24"/>
                <w:highlight w:val="none"/>
                <w:shd w:val="clear" w:color="auto" w:fill="auto"/>
                <w:lang w:val="en-US" w:eastAsia="zh-CN"/>
                <w14:textFill>
                  <w14:solidFill>
                    <w14:schemeClr w14:val="tx1"/>
                  </w14:solidFill>
                </w14:textFill>
              </w:rPr>
              <w:t>责任主体</w:t>
            </w:r>
          </w:p>
          <w:p>
            <w:pPr>
              <w:pStyle w:val="72"/>
              <w:keepNext w:val="0"/>
              <w:keepLines w:val="0"/>
              <w:pageBreakBefore w:val="0"/>
              <w:widowControl w:val="0"/>
              <w:kinsoku/>
              <w:wordWrap/>
              <w:overflowPunct/>
              <w:topLinePunct w:val="0"/>
              <w:autoSpaceDE/>
              <w:autoSpaceDN/>
              <w:bidi w:val="0"/>
              <w:adjustRightInd/>
              <w:snapToGrid/>
              <w:spacing w:afterAutospacing="0" w:line="360" w:lineRule="auto"/>
              <w:ind w:left="0" w:leftChars="0" w:right="0" w:rightChars="0" w:firstLine="480" w:firstLineChars="200"/>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根据环保法规，</w:t>
            </w:r>
            <w:r>
              <w:rPr>
                <w:rFonts w:hint="default" w:ascii="Times New Roman" w:hAnsi="Times New Roman" w:eastAsia="宋体" w:cs="Times New Roman"/>
                <w:i w:val="0"/>
                <w:caps w:val="0"/>
                <w:color w:val="000000" w:themeColor="text1"/>
                <w:spacing w:val="0"/>
                <w:sz w:val="24"/>
                <w:szCs w:val="24"/>
                <w:highlight w:val="none"/>
                <w:shd w:val="clear" w:color="auto" w:fill="auto"/>
                <w:lang w:val="en-US" w:eastAsia="zh-CN"/>
                <w14:textFill>
                  <w14:solidFill>
                    <w14:schemeClr w14:val="tx1"/>
                  </w14:solidFill>
                </w14:textFill>
              </w:rPr>
              <w:t>建设单位是建设项目竣工</w:t>
            </w:r>
            <w:r>
              <w:rPr>
                <w:rFonts w:hint="default" w:ascii="Times New Roman" w:hAnsi="Times New Roman" w:eastAsia="宋体" w:cs="Times New Roman"/>
                <w:b w:val="0"/>
                <w:i w:val="0"/>
                <w:caps w:val="0"/>
                <w:color w:val="000000" w:themeColor="text1"/>
                <w:spacing w:val="0"/>
                <w:sz w:val="24"/>
                <w:szCs w:val="24"/>
                <w:highlight w:val="none"/>
                <w:u w:val="none"/>
                <w:shd w:val="clear" w:color="auto" w:fill="auto"/>
                <w14:textFill>
                  <w14:solidFill>
                    <w14:schemeClr w14:val="tx1"/>
                  </w14:solidFill>
                </w14:textFill>
              </w:rPr>
              <w:t>环境保护</w:t>
            </w:r>
            <w:r>
              <w:rPr>
                <w:rFonts w:hint="default" w:ascii="Times New Roman" w:hAnsi="Times New Roman" w:eastAsia="宋体" w:cs="Times New Roman"/>
                <w:i w:val="0"/>
                <w:caps w:val="0"/>
                <w:color w:val="000000" w:themeColor="text1"/>
                <w:spacing w:val="0"/>
                <w:sz w:val="24"/>
                <w:szCs w:val="24"/>
                <w:highlight w:val="none"/>
                <w:shd w:val="clear" w:color="auto" w:fill="auto"/>
                <w:lang w:val="en-US" w:eastAsia="zh-CN"/>
                <w14:textFill>
                  <w14:solidFill>
                    <w14:schemeClr w14:val="tx1"/>
                  </w14:solidFill>
                </w14:textFill>
              </w:rPr>
              <w:t>验收的责任主体，应当在建设项目竣工后按照《</w:t>
            </w: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建设项目竣工环境保护验收暂行办法</w:t>
            </w:r>
            <w:r>
              <w:rPr>
                <w:rFonts w:hint="default" w:ascii="Times New Roman" w:hAnsi="Times New Roman" w:eastAsia="宋体" w:cs="Times New Roman"/>
                <w:i w:val="0"/>
                <w:caps w:val="0"/>
                <w:color w:val="000000" w:themeColor="text1"/>
                <w:spacing w:val="0"/>
                <w:sz w:val="24"/>
                <w:szCs w:val="24"/>
                <w:highlight w:val="none"/>
                <w:shd w:val="clear" w:color="auto" w:fill="auto"/>
                <w:lang w:val="en-US" w:eastAsia="zh-CN"/>
                <w14:textFill>
                  <w14:solidFill>
                    <w14:schemeClr w14:val="tx1"/>
                  </w14:solidFill>
                </w14:textFill>
              </w:rPr>
              <w:t>》规定的程序和要求，及时组织对建设项目需配套建设的环境保护设施进行验收，编制验收报告，公开相关信息，接受社会监督，确保建设项目需配套建设的环境保护设施与主体工程同时投产或使用，并对验收内容、结论、公开信息的真实性、准确性和完整性负责，不得在验收过程中弄虚作假。验收时限按照《暂行办法》执行。</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验收报告分为验收监测（调查）报告、验收意见和其他需要说明的事项等三项内容。</w:t>
            </w:r>
          </w:p>
          <w:p>
            <w:pPr>
              <w:pStyle w:val="2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i w:val="0"/>
                <w:caps w:val="0"/>
                <w:color w:val="000000" w:themeColor="text1"/>
                <w:spacing w:val="0"/>
                <w:sz w:val="24"/>
                <w:szCs w:val="24"/>
                <w:highlight w:val="none"/>
                <w:u w:val="none"/>
                <w:shd w:val="clear" w:color="auto" w:fill="auto"/>
                <w14:textFill>
                  <w14:solidFill>
                    <w14:schemeClr w14:val="tx1"/>
                  </w14:solidFill>
                </w14:textFill>
              </w:rPr>
              <w:t>特别提示</w:t>
            </w:r>
            <w:r>
              <w:rPr>
                <w:rFonts w:hint="default" w:ascii="Times New Roman" w:hAnsi="Times New Roman" w:eastAsia="宋体" w:cs="Times New Roman"/>
                <w:b/>
                <w:bCs/>
                <w:i w:val="0"/>
                <w:caps w:val="0"/>
                <w:color w:val="000000" w:themeColor="text1"/>
                <w:spacing w:val="0"/>
                <w:sz w:val="24"/>
                <w:szCs w:val="24"/>
                <w:highlight w:val="none"/>
                <w:u w:val="none"/>
                <w:shd w:val="clear" w:color="auto" w:fill="auto"/>
                <w:lang w:val="en-US" w:eastAsia="zh-CN"/>
                <w14:textFill>
                  <w14:solidFill>
                    <w14:schemeClr w14:val="tx1"/>
                  </w14:solidFill>
                </w14:textFill>
              </w:rPr>
              <w:t>：</w:t>
            </w:r>
            <w:r>
              <w:rPr>
                <w:rFonts w:hint="default" w:ascii="Times New Roman" w:hAnsi="Times New Roman" w:eastAsia="宋体" w:cs="Times New Roman"/>
                <w:b w:val="0"/>
                <w:i w:val="0"/>
                <w:caps w:val="0"/>
                <w:color w:val="000000" w:themeColor="text1"/>
                <w:spacing w:val="0"/>
                <w:sz w:val="24"/>
                <w:szCs w:val="24"/>
                <w:highlight w:val="none"/>
                <w:u w:val="none"/>
                <w:shd w:val="clear" w:color="auto" w:fill="auto"/>
                <w14:textFill>
                  <w14:solidFill>
                    <w14:schemeClr w14:val="tx1"/>
                  </w14:solidFill>
                </w14:textFill>
              </w:rPr>
              <w:t>需要配套建设的环境保护设施未建成、未经验收或者经验收不合格，建设项目已投入生产或者使用的，在环境保护设施验收中弄虚作假的，或者建设单位未依法向社会公开环境保护设施验收报告的，依照《建设项目环境保护管理条例》等的规定予以处罚。</w:t>
            </w:r>
          </w:p>
          <w:p>
            <w:pPr>
              <w:pStyle w:val="72"/>
              <w:keepNext w:val="0"/>
              <w:keepLines w:val="0"/>
              <w:pageBreakBefore w:val="0"/>
              <w:kinsoku/>
              <w:overflowPunct/>
              <w:topLinePunct w:val="0"/>
              <w:autoSpaceDE/>
              <w:autoSpaceDN/>
              <w:bidi w:val="0"/>
              <w:adjustRightInd/>
              <w:snapToGrid/>
              <w:spacing w:line="360" w:lineRule="auto"/>
              <w:ind w:firstLine="0"/>
              <w:rPr>
                <w:rFonts w:hint="default" w:ascii="Times New Roman" w:hAnsi="Times New Roman" w:eastAsia="宋体" w:cs="Times New Roman"/>
                <w:color w:val="000000" w:themeColor="text1"/>
                <w:highlight w:val="none"/>
                <w:shd w:val="clear" w:color="auto" w:fill="auto"/>
                <w14:textFill>
                  <w14:solidFill>
                    <w14:schemeClr w14:val="tx1"/>
                  </w14:solidFill>
                </w14:textFill>
              </w:rPr>
            </w:pPr>
            <w:r>
              <w:rPr>
                <w:rFonts w:hint="default" w:ascii="Times New Roman" w:hAnsi="Times New Roman" w:eastAsia="宋体" w:cs="Times New Roman"/>
                <w:b/>
                <w:bCs w:val="0"/>
                <w:color w:val="000000" w:themeColor="text1"/>
                <w:kern w:val="2"/>
                <w:sz w:val="24"/>
                <w:szCs w:val="24"/>
                <w:highlight w:val="none"/>
                <w:lang w:val="en-US" w:eastAsia="zh-CN" w:bidi="ar-SA"/>
                <w14:textFill>
                  <w14:solidFill>
                    <w14:schemeClr w14:val="tx1"/>
                  </w14:solidFill>
                </w14:textFill>
              </w:rPr>
              <w:t>9.5</w:t>
            </w:r>
            <w:r>
              <w:rPr>
                <w:rFonts w:hint="default" w:ascii="Times New Roman" w:hAnsi="Times New Roman" w:eastAsia="宋体" w:cs="Times New Roman"/>
                <w:b/>
                <w:color w:val="000000" w:themeColor="text1"/>
                <w:highlight w:val="none"/>
                <w14:textFill>
                  <w14:solidFill>
                    <w14:schemeClr w14:val="tx1"/>
                  </w14:solidFill>
                </w14:textFill>
              </w:rPr>
              <w:t>.</w:t>
            </w:r>
            <w:r>
              <w:rPr>
                <w:rFonts w:hint="default" w:ascii="Times New Roman" w:hAnsi="Times New Roman" w:eastAsia="宋体" w:cs="Times New Roman"/>
                <w:b/>
                <w:bCs/>
                <w:color w:val="000000" w:themeColor="text1"/>
                <w:highlight w:val="none"/>
                <w14:textFill>
                  <w14:solidFill>
                    <w14:schemeClr w14:val="tx1"/>
                  </w14:solidFill>
                </w14:textFill>
              </w:rPr>
              <w:t>3</w:t>
            </w:r>
            <w:r>
              <w:rPr>
                <w:rFonts w:hint="default" w:ascii="Times New Roman" w:hAnsi="Times New Roman" w:eastAsia="宋体" w:cs="Times New Roman"/>
                <w:b/>
                <w:color w:val="000000" w:themeColor="text1"/>
                <w:sz w:val="24"/>
                <w:szCs w:val="24"/>
                <w:highlight w:val="none"/>
                <w:shd w:val="clear" w:color="auto" w:fill="auto"/>
                <w14:textFill>
                  <w14:solidFill>
                    <w14:schemeClr w14:val="tx1"/>
                  </w14:solidFill>
                </w14:textFill>
              </w:rPr>
              <w:t>建设项目竣工环保验收</w:t>
            </w:r>
            <w:r>
              <w:rPr>
                <w:rFonts w:hint="default" w:ascii="Times New Roman" w:hAnsi="Times New Roman" w:eastAsia="宋体" w:cs="Times New Roman"/>
                <w:b/>
                <w:bCs/>
                <w:color w:val="000000" w:themeColor="text1"/>
                <w:highlight w:val="none"/>
                <w:shd w:val="clear" w:color="auto" w:fill="auto"/>
                <w14:textFill>
                  <w14:solidFill>
                    <w14:schemeClr w14:val="tx1"/>
                  </w14:solidFill>
                </w14:textFill>
              </w:rPr>
              <w:t>程序</w:t>
            </w:r>
          </w:p>
          <w:p>
            <w:pPr>
              <w:pStyle w:val="23"/>
              <w:keepNext w:val="0"/>
              <w:keepLines w:val="0"/>
              <w:pageBreakBefore w:val="0"/>
              <w:numPr>
                <w:ilvl w:val="0"/>
                <w:numId w:val="0"/>
              </w:numPr>
              <w:kinsoku/>
              <w:overflowPunct/>
              <w:topLinePunct w:val="0"/>
              <w:bidi w:val="0"/>
              <w:adjustRightInd/>
              <w:snapToGrid/>
              <w:spacing w:before="0" w:beforeAutospacing="0" w:after="0" w:afterAutospacing="0" w:line="360" w:lineRule="auto"/>
              <w:jc w:val="both"/>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宋体" w:cs="Times New Roman"/>
                <w:b/>
                <w:bCs w:val="0"/>
                <w:color w:val="000000" w:themeColor="text1"/>
                <w:kern w:val="2"/>
                <w:sz w:val="24"/>
                <w:szCs w:val="24"/>
                <w:highlight w:val="none"/>
                <w:shd w:val="clear" w:color="auto" w:fill="auto"/>
                <w:lang w:val="en-US" w:eastAsia="zh-CN" w:bidi="ar-SA"/>
                <w14:textFill>
                  <w14:solidFill>
                    <w14:schemeClr w14:val="tx1"/>
                  </w14:solidFill>
                </w14:textFill>
              </w:rPr>
              <w:t>9.5.</w:t>
            </w:r>
            <w:r>
              <w:rPr>
                <w:rFonts w:hint="default" w:ascii="Times New Roman" w:hAnsi="Times New Roman" w:eastAsia="宋体" w:cs="Times New Roman"/>
                <w:b/>
                <w:bCs/>
                <w:color w:val="000000" w:themeColor="text1"/>
                <w:highlight w:val="none"/>
                <w:shd w:val="clear" w:color="auto" w:fill="auto"/>
                <w14:textFill>
                  <w14:solidFill>
                    <w14:schemeClr w14:val="tx1"/>
                  </w14:solidFill>
                </w14:textFill>
              </w:rPr>
              <w:t>3</w:t>
            </w:r>
            <w:r>
              <w:rPr>
                <w:rFonts w:hint="default" w:ascii="Times New Roman" w:hAnsi="Times New Roman" w:eastAsia="宋体" w:cs="Times New Roman"/>
                <w:b/>
                <w:bCs/>
                <w:color w:val="000000" w:themeColor="text1"/>
                <w:highlight w:val="none"/>
                <w:shd w:val="clear" w:color="auto" w:fill="auto"/>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shd w:val="clear" w:color="auto" w:fill="FFFFFF"/>
                <w:lang w:val="en-US" w:eastAsia="zh-CN"/>
                <w14:textFill>
                  <w14:solidFill>
                    <w14:schemeClr w14:val="tx1"/>
                  </w14:solidFill>
                </w14:textFill>
              </w:rPr>
              <w:t>启动环保验收程序</w:t>
            </w:r>
          </w:p>
          <w:p>
            <w:pPr>
              <w:pStyle w:val="23"/>
              <w:keepNext w:val="0"/>
              <w:keepLines w:val="0"/>
              <w:pageBreakBefore w:val="0"/>
              <w:numPr>
                <w:ilvl w:val="0"/>
                <w:numId w:val="0"/>
              </w:numPr>
              <w:kinsoku/>
              <w:overflowPunct/>
              <w:topLinePunct w:val="0"/>
              <w:bidi w:val="0"/>
              <w:adjustRightInd/>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pPr>
            <w:r>
              <w:rPr>
                <w:rFonts w:hint="default" w:ascii="Times New Roman" w:hAnsi="Times New Roman" w:eastAsia="宋体" w:cs="Times New Roman"/>
                <w:b w:val="0"/>
                <w:bCs/>
                <w:color w:val="000000" w:themeColor="text1"/>
                <w:szCs w:val="24"/>
                <w:highlight w:val="none"/>
                <w:shd w:val="clear" w:color="auto" w:fill="FFFFFF"/>
                <w14:textFill>
                  <w14:solidFill>
                    <w14:schemeClr w14:val="tx1"/>
                  </w14:solidFill>
                </w14:textFill>
              </w:rPr>
              <w:t>建设单位依据环保法规</w:t>
            </w:r>
            <w:r>
              <w:rPr>
                <w:rFonts w:hint="default" w:ascii="Times New Roman" w:hAnsi="Times New Roman" w:eastAsia="宋体" w:cs="Times New Roman"/>
                <w:b w:val="0"/>
                <w:bCs/>
                <w:color w:val="000000" w:themeColor="text1"/>
                <w:szCs w:val="24"/>
                <w:highlight w:val="none"/>
                <w:shd w:val="clear" w:color="auto" w:fill="FFFFFF"/>
                <w:lang w:eastAsia="zh-CN"/>
                <w14:textFill>
                  <w14:solidFill>
                    <w14:schemeClr w14:val="tx1"/>
                  </w14:solidFill>
                </w14:textFill>
              </w:rPr>
              <w:t>，按以下流程</w:t>
            </w:r>
            <w:r>
              <w:rPr>
                <w:rFonts w:hint="default" w:ascii="Times New Roman" w:hAnsi="Times New Roman" w:eastAsia="宋体" w:cs="Times New Roman"/>
                <w:b w:val="0"/>
                <w:bCs/>
                <w:color w:val="000000" w:themeColor="text1"/>
                <w:szCs w:val="24"/>
                <w:highlight w:val="none"/>
                <w:shd w:val="clear" w:color="auto" w:fill="FFFFFF"/>
                <w:lang w:val="en-US" w:eastAsia="zh-CN"/>
                <w14:textFill>
                  <w14:solidFill>
                    <w14:schemeClr w14:val="tx1"/>
                  </w14:solidFill>
                </w14:textFill>
              </w:rPr>
              <w:t>启动</w:t>
            </w:r>
            <w:r>
              <w:rPr>
                <w:rFonts w:hint="default" w:ascii="Times New Roman" w:hAnsi="Times New Roman" w:eastAsia="宋体" w:cs="Times New Roman"/>
                <w:b w:val="0"/>
                <w:bCs/>
                <w:color w:val="000000" w:themeColor="text1"/>
                <w:sz w:val="24"/>
                <w:szCs w:val="24"/>
                <w:highlight w:val="none"/>
                <w:shd w:val="clear" w:color="auto" w:fill="auto"/>
                <w14:textFill>
                  <w14:solidFill>
                    <w14:schemeClr w14:val="tx1"/>
                  </w14:solidFill>
                </w14:textFill>
              </w:rPr>
              <w:t>建设项目竣工“三同时”环保验收</w:t>
            </w:r>
            <w:r>
              <w:rPr>
                <w:rFonts w:hint="default" w:ascii="Times New Roman" w:hAnsi="Times New Roman" w:eastAsia="宋体" w:cs="Times New Roman"/>
                <w:b w:val="0"/>
                <w:bCs/>
                <w:color w:val="000000" w:themeColor="text1"/>
                <w:szCs w:val="24"/>
                <w:highlight w:val="none"/>
                <w:shd w:val="clear" w:color="auto" w:fill="FFFFFF"/>
                <w:lang w:val="en-US" w:eastAsia="zh-CN"/>
                <w14:textFill>
                  <w14:solidFill>
                    <w14:schemeClr w14:val="tx1"/>
                  </w14:solidFill>
                </w14:textFill>
              </w:rPr>
              <w:t>：</w:t>
            </w:r>
          </w:p>
          <w:p>
            <w:pPr>
              <w:pStyle w:val="23"/>
              <w:keepNext w:val="0"/>
              <w:keepLines w:val="0"/>
              <w:pageBreakBefore w:val="0"/>
              <w:numPr>
                <w:ilvl w:val="0"/>
                <w:numId w:val="0"/>
              </w:numPr>
              <w:kinsoku/>
              <w:overflowPunct/>
              <w:topLinePunct w:val="0"/>
              <w:bidi w:val="0"/>
              <w:adjustRightInd/>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环保设施与主体工程竣工后</w:t>
            </w:r>
            <w:r>
              <w:rPr>
                <w:rFonts w:hint="default"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---拟定</w:t>
            </w:r>
            <w:r>
              <w:rPr>
                <w:rFonts w:hint="default" w:ascii="Times New Roman" w:hAnsi="Times New Roman" w:eastAsia="宋体" w:cs="Times New Roman"/>
                <w:color w:val="000000" w:themeColor="text1"/>
                <w:highlight w:val="none"/>
                <w:shd w:val="clear" w:color="auto" w:fill="FFFFFF"/>
                <w14:textFill>
                  <w14:solidFill>
                    <w14:schemeClr w14:val="tx1"/>
                  </w14:solidFill>
                </w14:textFill>
              </w:rPr>
              <w:t>建设项目</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竣工验收计划</w:t>
            </w:r>
            <w:r>
              <w:rPr>
                <w:rFonts w:hint="default"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---试运行前向环保部门申请临时排污许可证---网上公示</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建设项目竣工和调试起止时间</w:t>
            </w:r>
            <w:r>
              <w:rPr>
                <w:rFonts w:hint="default"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----取得临时排污许可证后---</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主体工程与环保设施试运行</w:t>
            </w:r>
            <w:r>
              <w:rPr>
                <w:rFonts w:hint="default"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---同步启动环保验收</w:t>
            </w:r>
            <w:r>
              <w:rPr>
                <w:rFonts w:hint="default" w:ascii="Times New Roman" w:hAnsi="Times New Roman" w:eastAsia="宋体" w:cs="Times New Roman"/>
                <w:color w:val="000000" w:themeColor="text1"/>
                <w:highlight w:val="none"/>
                <w:shd w:val="clear" w:color="auto" w:fill="FFFFFF"/>
                <w14:textFill>
                  <w14:solidFill>
                    <w14:schemeClr w14:val="tx1"/>
                  </w14:solidFill>
                </w14:textFill>
              </w:rPr>
              <w:t>工作</w:t>
            </w:r>
            <w:r>
              <w:rPr>
                <w:rFonts w:hint="default" w:ascii="Times New Roman" w:hAnsi="Times New Roman" w:eastAsia="宋体" w:cs="Times New Roman"/>
                <w:color w:val="000000" w:themeColor="text1"/>
                <w:sz w:val="24"/>
                <w:szCs w:val="24"/>
                <w:highlight w:val="none"/>
                <w:shd w:val="clear" w:color="auto" w:fill="FFFFFF"/>
                <w:lang w:val="en-US" w:eastAsia="zh-CN"/>
                <w14:textFill>
                  <w14:solidFill>
                    <w14:schemeClr w14:val="tx1"/>
                  </w14:solidFill>
                </w14:textFill>
              </w:rPr>
              <w:t>。</w:t>
            </w:r>
          </w:p>
          <w:p>
            <w:pPr>
              <w:pStyle w:val="23"/>
              <w:keepNext w:val="0"/>
              <w:keepLines w:val="0"/>
              <w:pageBreakBefore w:val="0"/>
              <w:kinsoku/>
              <w:overflowPunct/>
              <w:topLinePunct w:val="0"/>
              <w:bidi w:val="0"/>
              <w:adjustRightInd/>
              <w:snapToGrid/>
              <w:spacing w:before="0" w:beforeAutospacing="0" w:after="0" w:afterAutospacing="0" w:line="360" w:lineRule="auto"/>
              <w:jc w:val="both"/>
              <w:rPr>
                <w:rFonts w:hint="default" w:ascii="Times New Roman" w:hAnsi="Times New Roman" w:eastAsia="宋体" w:cs="Times New Roman"/>
                <w:b/>
                <w:bCs/>
                <w:color w:val="000000" w:themeColor="text1"/>
                <w:sz w:val="24"/>
                <w:szCs w:val="24"/>
                <w:highlight w:val="none"/>
                <w:shd w:val="clear" w:color="auto" w:fill="FFFFFF"/>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24"/>
                <w:szCs w:val="24"/>
                <w:highlight w:val="none"/>
                <w:shd w:val="clear" w:color="auto" w:fill="auto"/>
                <w:lang w:val="en-US" w:eastAsia="zh-CN" w:bidi="ar-SA"/>
                <w14:textFill>
                  <w14:solidFill>
                    <w14:schemeClr w14:val="tx1"/>
                  </w14:solidFill>
                </w14:textFill>
              </w:rPr>
              <w:t>9.5</w:t>
            </w:r>
            <w:r>
              <w:rPr>
                <w:rFonts w:hint="default" w:ascii="Times New Roman" w:hAnsi="Times New Roman" w:eastAsia="宋体" w:cs="Times New Roman"/>
                <w:b/>
                <w:color w:val="000000" w:themeColor="text1"/>
                <w:sz w:val="24"/>
                <w:szCs w:val="24"/>
                <w:highlight w:val="none"/>
                <w:shd w:val="clear" w:color="auto" w:fill="auto"/>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t>3</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shd w:val="clear" w:color="auto" w:fill="FFFFFF"/>
                <w:lang w:val="en-US" w:eastAsia="zh-CN"/>
                <w14:textFill>
                  <w14:solidFill>
                    <w14:schemeClr w14:val="tx1"/>
                  </w14:solidFill>
                </w14:textFill>
              </w:rPr>
              <w:t>开展环保验收程序</w:t>
            </w:r>
          </w:p>
          <w:p>
            <w:pPr>
              <w:keepNext w:val="0"/>
              <w:keepLines w:val="0"/>
              <w:pageBreakBefore w:val="0"/>
              <w:kinsoku/>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依照</w:t>
            </w: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《建设项目竣工环境保护验收暂行办法》，</w:t>
            </w:r>
            <w:r>
              <w:rPr>
                <w:rFonts w:hint="default" w:ascii="Times New Roman" w:hAnsi="Times New Roman" w:eastAsia="宋体" w:cs="Times New Roman"/>
                <w:b w:val="0"/>
                <w:bCs/>
                <w:color w:val="000000" w:themeColor="text1"/>
                <w:sz w:val="24"/>
                <w:szCs w:val="24"/>
                <w:highlight w:val="none"/>
                <w:shd w:val="clear" w:color="auto" w:fill="auto"/>
                <w14:textFill>
                  <w14:solidFill>
                    <w14:schemeClr w14:val="tx1"/>
                  </w14:solidFill>
                </w14:textFill>
              </w:rPr>
              <w:t>建设项目竣工“三同时”环保验收</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工作主要包括</w:t>
            </w:r>
            <w:r>
              <w:rPr>
                <w:rFonts w:hint="default" w:ascii="Times New Roman" w:hAnsi="Times New Roman" w:eastAsia="宋体" w:cs="Times New Roman"/>
                <w:color w:val="000000" w:themeColor="text1"/>
                <w:sz w:val="24"/>
                <w:szCs w:val="24"/>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FFFFFF"/>
                <w14:textFill>
                  <w14:solidFill>
                    <w14:schemeClr w14:val="tx1"/>
                  </w14:solidFill>
                </w14:textFill>
              </w:rPr>
              <w:t>验收监测工作和后续工作，其中验收监测工作可分为启动、自查、编制验收监测方案、实施监测与检查、编制验收监测报告五个阶段。</w:t>
            </w:r>
          </w:p>
          <w:p>
            <w:pPr>
              <w:keepNext w:val="0"/>
              <w:keepLines w:val="0"/>
              <w:pageBreakBefore w:val="0"/>
              <w:kinsoku/>
              <w:overflowPunct/>
              <w:topLinePunct w:val="0"/>
              <w:autoSpaceDE/>
              <w:autoSpaceDN/>
              <w:bidi w:val="0"/>
              <w:adjustRightInd/>
              <w:snapToGrid/>
              <w:spacing w:line="360" w:lineRule="auto"/>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9.5.3</w:t>
            </w:r>
            <w:r>
              <w:rPr>
                <w:rFonts w:hint="default" w:ascii="Times New Roman" w:hAnsi="Times New Roman" w:eastAsia="宋体" w:cs="Times New Roman"/>
                <w:b/>
                <w:bCs/>
                <w:color w:val="000000" w:themeColor="text1"/>
                <w:sz w:val="24"/>
                <w:szCs w:val="24"/>
                <w:highlight w:val="none"/>
                <w:shd w:val="clear" w:color="auto" w:fill="auto"/>
                <w:lang w:val="en-US" w:eastAsia="zh-CN"/>
                <w14:textFill>
                  <w14:solidFill>
                    <w14:schemeClr w14:val="tx1"/>
                  </w14:solidFill>
                </w14:textFill>
              </w:rPr>
              <w:t>企业存档备查的验收资料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bookmarkStart w:id="27" w:name="_Toc30181"/>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（1）建设项目环境保护设施验收报告（含水、气、声、渣等）；</w:t>
            </w:r>
            <w:bookmarkEnd w:id="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（2）建设项目环境保护措施“三同时”落实情况表；</w:t>
            </w:r>
          </w:p>
          <w:p>
            <w:pPr>
              <w:keepNext w:val="0"/>
              <w:keepLines w:val="0"/>
              <w:pageBreakBefore w:val="0"/>
              <w:widowControl w:val="0"/>
              <w:tabs>
                <w:tab w:val="left" w:pos="3135"/>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（3）建设项目在市政集水</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纳污</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范围内的，提供水务部门出具的排水</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纳污</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证明；污</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废）水纳入其他污水厂的需提供相应的委托合同或纳污证明等；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（4）建设项目排污口规范化设置情况说明及设置“排污口标志牌”的现场照片；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bookmarkStart w:id="28" w:name="_Toc22484"/>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（5）建设项目主体工程及环保设施现场彩色照片；</w:t>
            </w:r>
            <w:bookmarkEnd w:id="28"/>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（6）涉及危险废物需委托有资质单位处置的，提供双方签署的</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处置</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协议、接收单位的资质复印件</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危险废物转移联单复印件</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及已发生的转移记录</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（7）环评文件批复意见要求开展施工期环境监理的，提供施工期环境监理报告；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（8）环评文件批复意见要求编制环境风险应急预案的，提供环境风险应急预案及备案证明和环境风险应急措施；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（9）环评文件批复意见要求安装在线监测仪器的，提供在线监测仪器比对监测报告以及在线监测仪器与当地环保部门的联网证明；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bookmarkStart w:id="29" w:name="_Toc30705"/>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（10）</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环保</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设施管理岗位责任制度</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维修保养制度</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、运行台帐等</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w:t>
            </w:r>
            <w:bookmarkEnd w:id="29"/>
          </w:p>
          <w:p>
            <w:pPr>
              <w:keepNext w:val="0"/>
              <w:keepLines w:val="0"/>
              <w:pageBreakBefore w:val="0"/>
              <w:widowControl w:val="0"/>
              <w:tabs>
                <w:tab w:val="left" w:pos="3135"/>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（11）</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竣工相关图件（包括厂区总平面图、生产工艺流程图、污染防治方案复印件（如配套污染治理设施的设计方案、污染治理设施工艺流程图、设计说明书等））、应急设备图，涉生产废水产生和排放的企业，还应补充带有标识和流向的厂区雨水、生活污水、工业废水、污泥管网图）；</w:t>
            </w:r>
          </w:p>
          <w:p>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（12）企业法人营业执照复印件</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p>
          <w:p>
            <w:pPr>
              <w:keepNext w:val="0"/>
              <w:keepLines w:val="0"/>
              <w:pageBreakBefore w:val="0"/>
              <w:kinsoku/>
              <w:overflowPunct/>
              <w:topLinePunct w:val="0"/>
              <w:bidi w:val="0"/>
              <w:adjustRightInd/>
              <w:snapToGrid/>
              <w:spacing w:line="360" w:lineRule="auto"/>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9.</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本项目竣工环保验收内容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shd w:val="clear" w:color="auto" w:fill="auto"/>
                <w14:textFill>
                  <w14:solidFill>
                    <w14:schemeClr w14:val="tx1"/>
                  </w14:solidFill>
                </w14:textFill>
              </w:rPr>
              <w:t>本项目竣工环保验收内容</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如表9.</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-1所示。</w:t>
            </w:r>
          </w:p>
        </w:tc>
      </w:tr>
    </w:tbl>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p>
    <w:p>
      <w:pPr>
        <w:pStyle w:val="2"/>
        <w:ind w:left="0" w:leftChars="0" w:firstLine="0" w:firstLineChars="0"/>
        <w:rPr>
          <w:rFonts w:hint="default" w:ascii="Times New Roman" w:hAnsi="Times New Roman" w:eastAsia="宋体" w:cs="Times New Roman"/>
          <w:b/>
          <w:bCs/>
          <w:color w:val="000000" w:themeColor="text1"/>
          <w:sz w:val="21"/>
          <w:szCs w:val="21"/>
          <w:highlight w:val="none"/>
          <w14:textFill>
            <w14:solidFill>
              <w14:schemeClr w14:val="tx1"/>
            </w14:solidFill>
          </w14:textFill>
        </w:rPr>
        <w:sectPr>
          <w:pgSz w:w="11906" w:h="16838"/>
          <w:pgMar w:top="1304" w:right="1304" w:bottom="1304" w:left="1304" w:header="851" w:footer="992" w:gutter="0"/>
          <w:pgBorders>
            <w:top w:val="none" w:sz="0" w:space="0"/>
            <w:left w:val="none" w:sz="0" w:space="0"/>
            <w:bottom w:val="none" w:sz="0" w:space="0"/>
            <w:right w:val="none" w:sz="0" w:space="0"/>
          </w:pgBorders>
          <w:cols w:space="0" w:num="1"/>
          <w:docGrid w:type="lines" w:linePitch="312" w:charSpace="0"/>
        </w:sectPr>
      </w:pPr>
    </w:p>
    <w:p>
      <w:pPr>
        <w:pStyle w:val="120"/>
        <w:tabs>
          <w:tab w:val="clear" w:pos="1132"/>
        </w:tabs>
        <w:spacing w:beforeLines="50"/>
        <w:ind w:left="0" w:firstLine="482" w:firstLineChars="200"/>
        <w:rPr>
          <w:rFonts w:hint="default" w:ascii="Times New Roman" w:hAnsi="Times New Roman" w:eastAsia="宋体" w:cs="Times New Roman"/>
          <w:b/>
          <w:bCs/>
          <w:color w:val="000000" w:themeColor="text1"/>
          <w:kern w:val="0"/>
          <w:highlight w:val="none"/>
          <w14:textFill>
            <w14:solidFill>
              <w14:schemeClr w14:val="tx1"/>
            </w14:solidFill>
          </w14:textFill>
        </w:rPr>
      </w:pPr>
      <w:r>
        <w:rPr>
          <w:rFonts w:hint="default" w:ascii="Times New Roman" w:hAnsi="Times New Roman" w:eastAsia="宋体" w:cs="Times New Roman"/>
          <w:b/>
          <w:color w:val="000000" w:themeColor="text1"/>
          <w:szCs w:val="24"/>
          <w:highlight w:val="none"/>
          <w14:textFill>
            <w14:solidFill>
              <w14:schemeClr w14:val="tx1"/>
            </w14:solidFill>
          </w14:textFill>
        </w:rPr>
        <w:t>表9.</w:t>
      </w: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Cs w:val="24"/>
          <w:highlight w:val="none"/>
          <w14:textFill>
            <w14:solidFill>
              <w14:schemeClr w14:val="tx1"/>
            </w14:solidFill>
          </w14:textFill>
        </w:rPr>
        <w:t>-1</w:t>
      </w:r>
      <w:r>
        <w:rPr>
          <w:rFonts w:hint="default" w:ascii="Times New Roman" w:hAnsi="Times New Roman" w:eastAsia="宋体" w:cs="Times New Roman"/>
          <w:b/>
          <w:color w:val="000000" w:themeColor="text1"/>
          <w:szCs w:val="24"/>
          <w:highlight w:val="none"/>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Cs w:val="24"/>
          <w14:textFill>
            <w14:solidFill>
              <w14:schemeClr w14:val="tx1"/>
            </w14:solidFill>
          </w14:textFill>
        </w:rPr>
        <w:t>建设项目排污清单</w:t>
      </w:r>
      <w:r>
        <w:rPr>
          <w:rFonts w:hint="default" w:ascii="Times New Roman" w:hAnsi="Times New Roman" w:eastAsia="宋体" w:cs="Times New Roman"/>
          <w:b/>
          <w:bCs/>
          <w:color w:val="000000" w:themeColor="text1"/>
          <w:sz w:val="24"/>
          <w:szCs w:val="24"/>
          <w:highlight w:val="none"/>
          <w:shd w:val="clear" w:color="auto" w:fill="auto"/>
          <w14:textFill>
            <w14:solidFill>
              <w14:schemeClr w14:val="tx1"/>
            </w14:solidFill>
          </w14:textFill>
        </w:rPr>
        <w:t>竣工环保</w:t>
      </w:r>
      <w:r>
        <w:rPr>
          <w:rFonts w:hint="default" w:ascii="Times New Roman" w:hAnsi="Times New Roman" w:eastAsia="宋体" w:cs="Times New Roman"/>
          <w:b/>
          <w:color w:val="000000" w:themeColor="text1"/>
          <w:szCs w:val="24"/>
          <w:highlight w:val="none"/>
          <w14:textFill>
            <w14:solidFill>
              <w14:schemeClr w14:val="tx1"/>
            </w14:solidFill>
          </w14:textFill>
        </w:rPr>
        <w:t>验收内容一览表</w:t>
      </w:r>
    </w:p>
    <w:tbl>
      <w:tblPr>
        <w:tblStyle w:val="26"/>
        <w:tblW w:w="14414" w:type="dxa"/>
        <w:jc w:val="center"/>
        <w:tblInd w:w="-35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83"/>
        <w:gridCol w:w="1108"/>
        <w:gridCol w:w="1098"/>
        <w:gridCol w:w="3287"/>
        <w:gridCol w:w="4792"/>
        <w:gridCol w:w="18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项目</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类别</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污染源</w:t>
            </w:r>
          </w:p>
        </w:tc>
        <w:tc>
          <w:tcPr>
            <w:tcW w:w="22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污染物名称</w:t>
            </w:r>
          </w:p>
        </w:tc>
        <w:tc>
          <w:tcPr>
            <w:tcW w:w="3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拟采取的环境保护</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防治</w:t>
            </w:r>
            <w:r>
              <w:rPr>
                <w:rFonts w:hint="default" w:ascii="Times New Roman" w:hAnsi="Times New Roman" w:eastAsia="宋体" w:cs="Times New Roman"/>
                <w:b/>
                <w:bCs/>
                <w:color w:val="000000" w:themeColor="text1"/>
                <w:sz w:val="21"/>
                <w:szCs w:val="21"/>
                <w14:textFill>
                  <w14:solidFill>
                    <w14:schemeClr w14:val="tx1"/>
                  </w14:solidFill>
                </w14:textFill>
              </w:rPr>
              <w:t>措施</w:t>
            </w:r>
          </w:p>
        </w:tc>
        <w:tc>
          <w:tcPr>
            <w:tcW w:w="4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预期治理效果及验收执行标准</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验收方式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废气处理</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热水炉燃烧废气</w:t>
            </w:r>
          </w:p>
        </w:tc>
        <w:tc>
          <w:tcPr>
            <w:tcW w:w="22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烟尘、二氧化硫、氮氧化物</w:t>
            </w:r>
          </w:p>
        </w:tc>
        <w:tc>
          <w:tcPr>
            <w:tcW w:w="328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设备密闭或集气罩收集措施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+“旋风除尘+麻石水膜除尘”+15m高排气筒</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#排气筒）</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广东省地方环境标准《锅炉大气污染物排放标准》（DB 44/765-2019）中表2 新建锅炉大气污染物排放浓度限值燃气锅炉标准</w:t>
            </w:r>
          </w:p>
        </w:tc>
        <w:tc>
          <w:tcPr>
            <w:tcW w:w="18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有组织</w:t>
            </w:r>
            <w:r>
              <w:rPr>
                <w:rFonts w:hint="default" w:ascii="Times New Roman" w:hAnsi="Times New Roman" w:eastAsia="宋体" w:cs="Times New Roman"/>
                <w:color w:val="000000" w:themeColor="text1"/>
                <w:sz w:val="21"/>
                <w:szCs w:val="21"/>
                <w:highlight w:val="none"/>
                <w14:textFill>
                  <w14:solidFill>
                    <w14:schemeClr w14:val="tx1"/>
                  </w14:solidFill>
                </w14:textFill>
              </w:rPr>
              <w:t>排放</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监测排气筒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烘干炉燃烧废气</w:t>
            </w:r>
          </w:p>
        </w:tc>
        <w:tc>
          <w:tcPr>
            <w:tcW w:w="22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烟尘、二氧化硫、氮氧化物</w:t>
            </w:r>
          </w:p>
        </w:tc>
        <w:tc>
          <w:tcPr>
            <w:tcW w:w="32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18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烘干筛分粉尘</w:t>
            </w:r>
          </w:p>
        </w:tc>
        <w:tc>
          <w:tcPr>
            <w:tcW w:w="22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粉尘</w:t>
            </w:r>
          </w:p>
        </w:tc>
        <w:tc>
          <w:tcPr>
            <w:tcW w:w="328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textAlignment w:val="auto"/>
              <w:outlineLvl w:val="9"/>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pPr>
          </w:p>
        </w:tc>
        <w:tc>
          <w:tcPr>
            <w:tcW w:w="18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3"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酸洗烘干筛分车间</w:t>
            </w:r>
            <w:r>
              <w:rPr>
                <w:rFonts w:hint="eastAsia" w:ascii="Times New Roman" w:hAnsi="Times New Roman" w:eastAsia="宋体" w:cs="Times New Roman"/>
                <w:color w:val="000000" w:themeColor="text1"/>
                <w:sz w:val="21"/>
                <w:szCs w:val="21"/>
                <w:lang w:eastAsia="zh-CN"/>
                <w14:textFill>
                  <w14:solidFill>
                    <w14:schemeClr w14:val="tx1"/>
                  </w14:solidFill>
                </w14:textFill>
              </w:rPr>
              <w:t>、堆场</w:t>
            </w:r>
          </w:p>
        </w:tc>
        <w:tc>
          <w:tcPr>
            <w:tcW w:w="22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粉尘（颗粒物）</w:t>
            </w:r>
          </w:p>
        </w:tc>
        <w:tc>
          <w:tcPr>
            <w:tcW w:w="3287" w:type="dxa"/>
            <w:tcBorders>
              <w:bottom w:val="single" w:color="000000" w:sz="6"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洒水抑尘</w:t>
            </w:r>
          </w:p>
        </w:tc>
        <w:tc>
          <w:tcPr>
            <w:tcW w:w="4792" w:type="dxa"/>
            <w:tcBorders>
              <w:bottom w:val="single" w:color="000000" w:sz="6"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广东省</w:t>
            </w:r>
            <w:r>
              <w:rPr>
                <w:rFonts w:hint="default" w:ascii="Times New Roman" w:hAnsi="Times New Roman" w:eastAsia="宋体" w:cs="Times New Roman"/>
                <w:caps w:val="0"/>
                <w:color w:val="000000" w:themeColor="text1"/>
                <w:sz w:val="21"/>
                <w:szCs w:val="21"/>
                <w:highlight w:val="none"/>
                <w:lang w:val="en-US" w:eastAsia="zh-CN"/>
                <w14:textFill>
                  <w14:solidFill>
                    <w14:schemeClr w14:val="tx1"/>
                  </w14:solidFill>
                </w14:textFill>
              </w:rPr>
              <w:t>地方环境标准</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《大气污染物排放标准》（DB44/27-2001）第二时段二级标准无组织排放监控浓度限值</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无组织排放</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3"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草酸酸雾</w:t>
            </w:r>
          </w:p>
        </w:tc>
        <w:tc>
          <w:tcPr>
            <w:tcW w:w="2206" w:type="dxa"/>
            <w:gridSpan w:val="2"/>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olor w:val="000000" w:themeColor="text1"/>
                <w:sz w:val="21"/>
                <w:szCs w:val="21"/>
                <w14:textFill>
                  <w14:solidFill>
                    <w14:schemeClr w14:val="tx1"/>
                  </w14:solidFill>
                </w14:textFill>
              </w:rPr>
              <w:t>酸雾</w:t>
            </w:r>
          </w:p>
        </w:tc>
        <w:tc>
          <w:tcPr>
            <w:tcW w:w="3287" w:type="dxa"/>
            <w:tcBorders>
              <w:bottom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olor w:val="auto"/>
                <w:szCs w:val="21"/>
              </w:rPr>
              <w:t>/</w:t>
            </w:r>
          </w:p>
        </w:tc>
        <w:tc>
          <w:tcPr>
            <w:tcW w:w="4792" w:type="dxa"/>
            <w:tcBorders>
              <w:bottom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olor w:val="auto"/>
                <w:szCs w:val="21"/>
              </w:rPr>
              <w:t>符合环保要求</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outlineLvl w:val="9"/>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lang w:val="en-US" w:eastAsia="zh-CN"/>
                <w14:textFill>
                  <w14:solidFill>
                    <w14:schemeClr w14:val="tx1"/>
                  </w14:solidFill>
                </w14:textFill>
              </w:rPr>
              <w:t>车辆尾气</w:t>
            </w:r>
          </w:p>
        </w:tc>
        <w:tc>
          <w:tcPr>
            <w:tcW w:w="2206" w:type="dxa"/>
            <w:gridSpan w:val="2"/>
            <w:tcBorders>
              <w:tl2br w:val="nil"/>
              <w:tr2bl w:val="nil"/>
            </w:tcBorders>
            <w:vAlign w:val="center"/>
          </w:tcPr>
          <w:p>
            <w:pPr>
              <w:keepNext w:val="0"/>
              <w:keepLines w:val="0"/>
              <w:pageBreakBefore w:val="0"/>
              <w:widowControl w:val="0"/>
              <w:tabs>
                <w:tab w:val="left" w:pos="297"/>
              </w:tabs>
              <w:kinsoku/>
              <w:wordWrap/>
              <w:overflowPunct/>
              <w:topLinePunct w:val="0"/>
              <w:autoSpaceDE/>
              <w:autoSpaceDN/>
              <w:bidi w:val="0"/>
              <w:adjustRightInd/>
              <w:snapToGrid/>
              <w:ind w:left="-63" w:leftChars="-30" w:right="-63" w:rightChars="-3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CO</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NO</w:t>
            </w:r>
            <w:r>
              <w:rPr>
                <w:rFonts w:hint="default" w:ascii="Times New Roman" w:hAnsi="Times New Roman" w:eastAsia="宋体" w:cs="Times New Roman"/>
                <w:color w:val="000000" w:themeColor="text1"/>
                <w:kern w:val="0"/>
                <w:sz w:val="21"/>
                <w:szCs w:val="21"/>
                <w:vertAlign w:val="subscript"/>
                <w14:textFill>
                  <w14:solidFill>
                    <w14:schemeClr w14:val="tx1"/>
                  </w14:solidFill>
                </w14:textFill>
              </w:rPr>
              <w:t>x</w:t>
            </w:r>
            <w:r>
              <w:rPr>
                <w:rFonts w:hint="default" w:ascii="Times New Roman" w:hAnsi="Times New Roman" w:eastAsia="宋体" w:cs="Times New Roman"/>
                <w:color w:val="000000" w:themeColor="text1"/>
                <w:kern w:val="0"/>
                <w:sz w:val="21"/>
                <w:szCs w:val="21"/>
                <w:vertAlign w:val="subscript"/>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碳氢化合物</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、硫化物</w:t>
            </w:r>
          </w:p>
        </w:tc>
        <w:tc>
          <w:tcPr>
            <w:tcW w:w="3287" w:type="dxa"/>
            <w:tcBorders>
              <w:bottom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olor w:val="auto"/>
                <w:szCs w:val="21"/>
              </w:rPr>
              <w:t>/</w:t>
            </w:r>
          </w:p>
        </w:tc>
        <w:tc>
          <w:tcPr>
            <w:tcW w:w="4792" w:type="dxa"/>
            <w:tcBorders>
              <w:bottom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olor w:val="auto"/>
                <w:szCs w:val="21"/>
              </w:rPr>
              <w:t>符合环保要求</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废</w:t>
            </w:r>
            <w:r>
              <w:rPr>
                <w:rFonts w:hint="default" w:ascii="Times New Roman" w:hAnsi="Times New Roman" w:eastAsia="宋体" w:cs="Times New Roman"/>
                <w:color w:val="000000" w:themeColor="text1"/>
                <w:sz w:val="21"/>
                <w:szCs w:val="21"/>
                <w:highlight w:val="none"/>
                <w14:textFill>
                  <w14:solidFill>
                    <w14:schemeClr w14:val="tx1"/>
                  </w14:solidFill>
                </w14:textFill>
              </w:rPr>
              <w:t>水处理</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生活污水</w:t>
            </w:r>
          </w:p>
        </w:tc>
        <w:tc>
          <w:tcPr>
            <w:tcW w:w="22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Cr</w:t>
            </w:r>
            <w:r>
              <w:rPr>
                <w:rFonts w:hint="default" w:ascii="Times New Roman" w:hAnsi="Times New Roman" w:eastAsia="宋体" w:cs="Times New Roman"/>
                <w:color w:val="000000" w:themeColor="text1"/>
                <w:sz w:val="21"/>
                <w:szCs w:val="21"/>
                <w:highlight w:val="none"/>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-N、SS</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、动植物油、</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LAS</w:t>
            </w:r>
          </w:p>
        </w:tc>
        <w:tc>
          <w:tcPr>
            <w:tcW w:w="3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一体化</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生活</w:t>
            </w:r>
            <w:r>
              <w:rPr>
                <w:rFonts w:hint="default" w:ascii="Times New Roman" w:hAnsi="Times New Roman" w:eastAsia="宋体" w:cs="Times New Roman"/>
                <w:color w:val="000000" w:themeColor="text1"/>
                <w:sz w:val="21"/>
                <w:szCs w:val="21"/>
                <w:highlight w:val="none"/>
                <w14:textFill>
                  <w14:solidFill>
                    <w14:schemeClr w14:val="tx1"/>
                  </w14:solidFill>
                </w14:textFill>
              </w:rPr>
              <w:t>污水</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处理设施</w:t>
            </w:r>
          </w:p>
        </w:tc>
        <w:tc>
          <w:tcPr>
            <w:tcW w:w="4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广东省地方标准《水污染物排放限值》(DB44/26-2001)中第二时段一级标准</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排放口采样池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生产废水</w:t>
            </w:r>
          </w:p>
        </w:tc>
        <w:tc>
          <w:tcPr>
            <w:tcW w:w="22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Cr</w:t>
            </w:r>
            <w:r>
              <w:rPr>
                <w:rFonts w:hint="default" w:ascii="Times New Roman" w:hAnsi="Times New Roman" w:eastAsia="宋体" w:cs="Times New Roman"/>
                <w:color w:val="000000" w:themeColor="text1"/>
                <w:sz w:val="21"/>
                <w:szCs w:val="21"/>
                <w:highlight w:val="none"/>
                <w14:textFill>
                  <w14:solidFill>
                    <w14:schemeClr w14:val="tx1"/>
                  </w14:solidFill>
                </w14:textFill>
              </w:rPr>
              <w:t>、SS</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w:t>
            </w:r>
          </w:p>
        </w:tc>
        <w:tc>
          <w:tcPr>
            <w:tcW w:w="3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中和</w:t>
            </w:r>
            <w:r>
              <w:rPr>
                <w:rFonts w:hint="default" w:ascii="Times New Roman" w:hAnsi="Times New Roman" w:eastAsia="宋体" w:cs="Times New Roman"/>
                <w:color w:val="000000" w:themeColor="text1"/>
                <w:sz w:val="21"/>
                <w:szCs w:val="21"/>
                <w:lang w:eastAsia="zh-CN"/>
                <w14:textFill>
                  <w14:solidFill>
                    <w14:schemeClr w14:val="tx1"/>
                  </w14:solidFill>
                </w14:textFill>
              </w:rPr>
              <w:t>调节</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+混凝</w:t>
            </w:r>
            <w:r>
              <w:rPr>
                <w:rFonts w:hint="default" w:ascii="Times New Roman" w:hAnsi="Times New Roman" w:eastAsia="宋体" w:cs="Times New Roman"/>
                <w:color w:val="000000" w:themeColor="text1"/>
                <w:sz w:val="21"/>
                <w:szCs w:val="21"/>
                <w:lang w:eastAsia="zh-CN"/>
                <w14:textFill>
                  <w14:solidFill>
                    <w14:schemeClr w14:val="tx1"/>
                  </w14:solidFill>
                </w14:textFill>
              </w:rPr>
              <w:t>絮凝</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+沉淀+过滤”的生产废水处理设施</w:t>
            </w:r>
          </w:p>
        </w:tc>
        <w:tc>
          <w:tcPr>
            <w:tcW w:w="4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广东省地方标准《水污染物排放限值》(DB44/26-2001)中第二时段一级标准</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排放口采样池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洗砂废水</w:t>
            </w:r>
          </w:p>
        </w:tc>
        <w:tc>
          <w:tcPr>
            <w:tcW w:w="22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SS等</w:t>
            </w:r>
          </w:p>
        </w:tc>
        <w:tc>
          <w:tcPr>
            <w:tcW w:w="3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混凝</w:t>
            </w:r>
            <w:r>
              <w:rPr>
                <w:rFonts w:hint="default" w:ascii="Times New Roman" w:hAnsi="Times New Roman" w:eastAsia="宋体" w:cs="Times New Roman"/>
                <w:color w:val="000000" w:themeColor="text1"/>
                <w:sz w:val="21"/>
                <w:szCs w:val="21"/>
                <w:lang w:eastAsia="zh-CN"/>
                <w14:textFill>
                  <w14:solidFill>
                    <w14:schemeClr w14:val="tx1"/>
                  </w14:solidFill>
                </w14:textFill>
              </w:rPr>
              <w:t>絮凝</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+沉淀+过滤”湿砂车间</w:t>
            </w: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洗砂废水循环处理设施</w:t>
            </w:r>
          </w:p>
        </w:tc>
        <w:tc>
          <w:tcPr>
            <w:tcW w:w="4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验收核查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183" w:type="dxa"/>
            <w:tcBorders>
              <w:tl2br w:val="nil"/>
              <w:tr2bl w:val="nil"/>
            </w:tcBorders>
            <w:vAlign w:val="center"/>
          </w:tcPr>
          <w:p>
            <w:pPr>
              <w:spacing w:line="360" w:lineRule="auto"/>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除尘废水</w:t>
            </w:r>
          </w:p>
        </w:tc>
        <w:tc>
          <w:tcPr>
            <w:tcW w:w="2206" w:type="dxa"/>
            <w:gridSpan w:val="2"/>
            <w:tcBorders>
              <w:tl2br w:val="nil"/>
              <w:tr2bl w:val="nil"/>
            </w:tcBorders>
            <w:vAlign w:val="center"/>
          </w:tcPr>
          <w:p>
            <w:pPr>
              <w:pStyle w:val="108"/>
              <w:snapToGrid/>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b w:val="0"/>
                <w:color w:val="000000" w:themeColor="text1"/>
                <w:sz w:val="21"/>
                <w:szCs w:val="21"/>
                <w:highlight w:val="none"/>
                <w:lang w:val="en-US" w:eastAsia="zh-CN"/>
                <w14:textFill>
                  <w14:solidFill>
                    <w14:schemeClr w14:val="tx1"/>
                  </w14:solidFill>
                </w14:textFill>
              </w:rPr>
              <w:t>SS</w:t>
            </w:r>
          </w:p>
        </w:tc>
        <w:tc>
          <w:tcPr>
            <w:tcW w:w="3287"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kern w:val="0"/>
                <w:sz w:val="21"/>
                <w:szCs w:val="21"/>
                <w:lang w:eastAsia="zh-CN"/>
                <w14:textFill>
                  <w14:solidFill>
                    <w14:schemeClr w14:val="tx1"/>
                  </w14:solidFill>
                </w14:textFill>
              </w:rPr>
              <w:t>循环处理</w:t>
            </w:r>
            <w:r>
              <w:rPr>
                <w:rFonts w:hint="eastAsia" w:cs="Times New Roman"/>
                <w:bCs/>
                <w:color w:val="000000" w:themeColor="text1"/>
                <w:kern w:val="0"/>
                <w:sz w:val="21"/>
                <w:szCs w:val="21"/>
                <w:lang w:eastAsia="zh-CN"/>
                <w14:textFill>
                  <w14:solidFill>
                    <w14:schemeClr w14:val="tx1"/>
                  </w14:solidFill>
                </w14:textFill>
              </w:rPr>
              <w:t>后回用，不外排</w:t>
            </w:r>
          </w:p>
        </w:tc>
        <w:tc>
          <w:tcPr>
            <w:tcW w:w="4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验收核查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噪声处理</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生产设备</w:t>
            </w:r>
          </w:p>
        </w:tc>
        <w:tc>
          <w:tcPr>
            <w:tcW w:w="220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设备噪声</w:t>
            </w:r>
          </w:p>
        </w:tc>
        <w:tc>
          <w:tcPr>
            <w:tcW w:w="3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隔声、消声、减震措施</w:t>
            </w:r>
          </w:p>
        </w:tc>
        <w:tc>
          <w:tcPr>
            <w:tcW w:w="4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厂界噪声符合《工业企业厂界环境噪声排放标准》（GB12348-2008）</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类标准</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监测</w:t>
            </w:r>
            <w:r>
              <w:rPr>
                <w:rFonts w:hint="default" w:ascii="Times New Roman" w:hAnsi="Times New Roman" w:eastAsia="宋体" w:cs="Times New Roman"/>
                <w:color w:val="000000" w:themeColor="text1"/>
                <w:sz w:val="21"/>
                <w:szCs w:val="21"/>
                <w14:textFill>
                  <w14:solidFill>
                    <w14:schemeClr w14:val="tx1"/>
                  </w14:solidFill>
                </w14:textFill>
              </w:rPr>
              <w:t>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固体废物</w:t>
            </w:r>
          </w:p>
        </w:tc>
        <w:tc>
          <w:tcPr>
            <w:tcW w:w="118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洗砂废水处理设施</w:t>
            </w:r>
          </w:p>
        </w:tc>
        <w:tc>
          <w:tcPr>
            <w:tcW w:w="1108" w:type="dxa"/>
            <w:tcBorders>
              <w:right w:val="single" w:color="000000" w:sz="6"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尾泥饼</w:t>
            </w:r>
          </w:p>
        </w:tc>
        <w:tc>
          <w:tcPr>
            <w:tcW w:w="1098" w:type="dxa"/>
            <w:vMerge w:val="restart"/>
            <w:tcBorders>
              <w:left w:val="single" w:color="000000" w:sz="6" w:space="0"/>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一般</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工业</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固废</w:t>
            </w:r>
          </w:p>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28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分类收集、贮存，交第三方处理</w:t>
            </w:r>
          </w:p>
        </w:tc>
        <w:tc>
          <w:tcPr>
            <w:tcW w:w="4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一般固废执行《一般工业固体废物贮存、处置场污染控制标准》（GB 18599-2001）及其修改单的有关规定。危险废物执行《危险废物贮存污染控制标准》（GB18597－2001）的规定。</w:t>
            </w:r>
          </w:p>
        </w:tc>
        <w:tc>
          <w:tcPr>
            <w:tcW w:w="182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验收核查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183" w:type="dxa"/>
            <w:tcBorders>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磁选工序</w:t>
            </w:r>
          </w:p>
        </w:tc>
        <w:tc>
          <w:tcPr>
            <w:tcW w:w="1108" w:type="dxa"/>
            <w:tcBorders>
              <w:right w:val="single" w:color="000000" w:sz="6" w:space="0"/>
              <w:tl2br w:val="nil"/>
              <w:tr2bl w:val="nil"/>
            </w:tcBorders>
            <w:vAlign w:val="center"/>
          </w:tcPr>
          <w:p>
            <w:pPr>
              <w:spacing w:line="360" w:lineRule="auto"/>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磁尾砂</w:t>
            </w:r>
          </w:p>
        </w:tc>
        <w:tc>
          <w:tcPr>
            <w:tcW w:w="1098" w:type="dxa"/>
            <w:vMerge w:val="continue"/>
            <w:tcBorders>
              <w:left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287" w:type="dxa"/>
            <w:vMerge w:val="restart"/>
            <w:tcBorders>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收集后外售给建材厂综合利用</w:t>
            </w:r>
          </w:p>
        </w:tc>
        <w:tc>
          <w:tcPr>
            <w:tcW w:w="4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183" w:type="dxa"/>
            <w:tcBorders>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色选工序</w:t>
            </w:r>
          </w:p>
        </w:tc>
        <w:tc>
          <w:tcPr>
            <w:tcW w:w="1108" w:type="dxa"/>
            <w:tcBorders>
              <w:right w:val="single" w:color="000000" w:sz="6" w:space="0"/>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杂砂</w:t>
            </w:r>
          </w:p>
        </w:tc>
        <w:tc>
          <w:tcPr>
            <w:tcW w:w="1098" w:type="dxa"/>
            <w:vMerge w:val="continue"/>
            <w:tcBorders>
              <w:left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287" w:type="dxa"/>
            <w:vMerge w:val="continue"/>
            <w:tcBorders>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c>
          <w:tcPr>
            <w:tcW w:w="4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183" w:type="dxa"/>
            <w:tcBorders>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废气处理</w:t>
            </w:r>
          </w:p>
        </w:tc>
        <w:tc>
          <w:tcPr>
            <w:tcW w:w="1108" w:type="dxa"/>
            <w:tcBorders>
              <w:right w:val="single" w:color="000000" w:sz="6" w:space="0"/>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除尘灰</w:t>
            </w:r>
          </w:p>
        </w:tc>
        <w:tc>
          <w:tcPr>
            <w:tcW w:w="1098" w:type="dxa"/>
            <w:vMerge w:val="continue"/>
            <w:tcBorders>
              <w:left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287" w:type="dxa"/>
            <w:vMerge w:val="continue"/>
            <w:tcBorders>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p>
        </w:tc>
        <w:tc>
          <w:tcPr>
            <w:tcW w:w="4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183" w:type="dxa"/>
            <w:tcBorders>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原辅料拆包、包装工序</w:t>
            </w:r>
          </w:p>
        </w:tc>
        <w:tc>
          <w:tcPr>
            <w:tcW w:w="1108" w:type="dxa"/>
            <w:tcBorders>
              <w:right w:val="single" w:color="000000" w:sz="6" w:space="0"/>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包装固废</w:t>
            </w:r>
          </w:p>
        </w:tc>
        <w:tc>
          <w:tcPr>
            <w:tcW w:w="1098" w:type="dxa"/>
            <w:vMerge w:val="continue"/>
            <w:tcBorders>
              <w:left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287" w:type="dxa"/>
            <w:tcBorders>
              <w:tl2br w:val="nil"/>
              <w:tr2bl w:val="nil"/>
            </w:tcBorders>
            <w:vAlign w:val="center"/>
          </w:tcPr>
          <w:p>
            <w:pPr>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原料桶、原料袋等由原材料供应商回收利用，其他交由专业固废回收公司处理</w:t>
            </w:r>
          </w:p>
        </w:tc>
        <w:tc>
          <w:tcPr>
            <w:tcW w:w="4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1183"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生活污水处理设施</w:t>
            </w:r>
          </w:p>
        </w:tc>
        <w:tc>
          <w:tcPr>
            <w:tcW w:w="1108" w:type="dxa"/>
            <w:tcBorders>
              <w:right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污泥</w:t>
            </w:r>
          </w:p>
        </w:tc>
        <w:tc>
          <w:tcPr>
            <w:tcW w:w="1098" w:type="dxa"/>
            <w:vMerge w:val="continue"/>
            <w:tcBorders>
              <w:left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3287" w:type="dxa"/>
            <w:tcBorders>
              <w:tl2br w:val="nil"/>
              <w:tr2bl w:val="nil"/>
            </w:tcBorders>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收集后可交由专业固废回收公司处理</w:t>
            </w:r>
          </w:p>
        </w:tc>
        <w:tc>
          <w:tcPr>
            <w:tcW w:w="4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3"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83"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机械维修</w:t>
            </w:r>
          </w:p>
        </w:tc>
        <w:tc>
          <w:tcPr>
            <w:tcW w:w="1108" w:type="dxa"/>
            <w:tcBorders>
              <w:right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废润滑油</w:t>
            </w:r>
          </w:p>
        </w:tc>
        <w:tc>
          <w:tcPr>
            <w:tcW w:w="1098" w:type="dxa"/>
            <w:tcBorders>
              <w:left w:val="single" w:color="000000" w:sz="6" w:space="0"/>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HW08类危险废物</w:t>
            </w:r>
          </w:p>
        </w:tc>
        <w:tc>
          <w:tcPr>
            <w:tcW w:w="3287"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分类收集、贮存，</w:t>
            </w:r>
            <w:r>
              <w:rPr>
                <w:rFonts w:hint="default" w:ascii="Times New Roman" w:hAnsi="Times New Roman" w:eastAsia="宋体" w:cs="Times New Roman"/>
                <w:color w:val="000000" w:themeColor="text1"/>
                <w:sz w:val="21"/>
                <w:szCs w:val="21"/>
                <w14:textFill>
                  <w14:solidFill>
                    <w14:schemeClr w14:val="tx1"/>
                  </w14:solidFill>
                </w14:textFill>
              </w:rPr>
              <w:t>交危废公司处理</w:t>
            </w:r>
          </w:p>
        </w:tc>
        <w:tc>
          <w:tcPr>
            <w:tcW w:w="4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389"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生活垃圾</w:t>
            </w:r>
          </w:p>
        </w:tc>
        <w:tc>
          <w:tcPr>
            <w:tcW w:w="32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分类收集、贮存，</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交环卫部门处理</w:t>
            </w:r>
          </w:p>
        </w:tc>
        <w:tc>
          <w:tcPr>
            <w:tcW w:w="4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2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清污分流</w:t>
            </w:r>
          </w:p>
        </w:tc>
        <w:tc>
          <w:tcPr>
            <w:tcW w:w="11468"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设置厂区</w:t>
            </w:r>
            <w:r>
              <w:rPr>
                <w:rFonts w:hint="default" w:ascii="Times New Roman" w:hAnsi="Times New Roman" w:eastAsia="宋体" w:cs="Times New Roman"/>
                <w:color w:val="000000" w:themeColor="text1"/>
                <w:sz w:val="21"/>
                <w:szCs w:val="21"/>
                <w14:textFill>
                  <w14:solidFill>
                    <w14:schemeClr w14:val="tx1"/>
                  </w14:solidFill>
                </w14:textFill>
              </w:rPr>
              <w:t>各构筑物雨污</w:t>
            </w:r>
            <w:r>
              <w:rPr>
                <w:rFonts w:hint="default" w:ascii="Times New Roman" w:hAnsi="Times New Roman" w:eastAsia="宋体" w:cs="Times New Roman"/>
                <w:color w:val="000000" w:themeColor="text1"/>
                <w:sz w:val="21"/>
                <w:szCs w:val="21"/>
                <w:lang w:eastAsia="zh-CN"/>
                <w14:textFill>
                  <w14:solidFill>
                    <w14:schemeClr w14:val="tx1"/>
                  </w14:solidFill>
                </w14:textFill>
              </w:rPr>
              <w:t>、清污</w:t>
            </w:r>
            <w:r>
              <w:rPr>
                <w:rFonts w:hint="default" w:ascii="Times New Roman" w:hAnsi="Times New Roman" w:eastAsia="宋体" w:cs="Times New Roman"/>
                <w:color w:val="000000" w:themeColor="text1"/>
                <w:sz w:val="21"/>
                <w:szCs w:val="21"/>
                <w14:textFill>
                  <w14:solidFill>
                    <w14:schemeClr w14:val="tx1"/>
                  </w14:solidFill>
                </w14:textFill>
              </w:rPr>
              <w:t>分流沟渠</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设罝带有标识和流向的厂区雨水、</w:t>
            </w:r>
            <w:r>
              <w:rPr>
                <w:rFonts w:hint="default" w:ascii="Times New Roman" w:hAnsi="Times New Roman" w:eastAsia="宋体" w:cs="Times New Roman"/>
                <w:color w:val="000000" w:themeColor="text1"/>
                <w:sz w:val="21"/>
                <w:szCs w:val="21"/>
                <w:lang w:eastAsia="zh-CN"/>
                <w14:textFill>
                  <w14:solidFill>
                    <w14:schemeClr w14:val="tx1"/>
                  </w14:solidFill>
                </w14:textFill>
              </w:rPr>
              <w:t>生产废水、</w:t>
            </w:r>
            <w:r>
              <w:rPr>
                <w:rFonts w:hint="default" w:ascii="Times New Roman" w:hAnsi="Times New Roman" w:eastAsia="宋体" w:cs="Times New Roman"/>
                <w:color w:val="000000" w:themeColor="text1"/>
                <w:sz w:val="21"/>
                <w:szCs w:val="21"/>
                <w14:textFill>
                  <w14:solidFill>
                    <w14:schemeClr w14:val="tx1"/>
                  </w14:solidFill>
                </w14:textFill>
              </w:rPr>
              <w:t>生活污水管网图</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验收核查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tcBorders>
              <w:tl2br w:val="nil"/>
              <w:tr2bl w:val="nil"/>
            </w:tcBorders>
            <w:vAlign w:val="center"/>
          </w:tcPr>
          <w:p>
            <w:pPr>
              <w:keepNext w:val="0"/>
              <w:keepLines w:val="0"/>
              <w:pageBreakBefore w:val="0"/>
              <w:kinsoku/>
              <w:overflowPunct/>
              <w:topLinePunct w:val="0"/>
              <w:bidi w:val="0"/>
              <w:adjustRightInd/>
              <w:snapToGrid/>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防漏措施</w:t>
            </w:r>
          </w:p>
        </w:tc>
        <w:tc>
          <w:tcPr>
            <w:tcW w:w="11468" w:type="dxa"/>
            <w:gridSpan w:val="5"/>
            <w:tcBorders>
              <w:tl2br w:val="nil"/>
              <w:tr2bl w:val="nil"/>
            </w:tcBorders>
            <w:vAlign w:val="center"/>
          </w:tcPr>
          <w:p>
            <w:pPr>
              <w:keepNext w:val="0"/>
              <w:keepLines w:val="0"/>
              <w:pageBreakBefore w:val="0"/>
              <w:kinsoku/>
              <w:wordWrap/>
              <w:overflowPunct/>
              <w:topLinePunct w:val="0"/>
              <w:bidi w:val="0"/>
              <w:adjustRightInd/>
              <w:snapToGrid/>
              <w:spacing w:afterAutospacing="0"/>
              <w:ind w:left="0" w:leftChars="0" w:right="0" w:righ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设置防止污染渗漏影响地下水措施</w:t>
            </w:r>
          </w:p>
        </w:tc>
        <w:tc>
          <w:tcPr>
            <w:tcW w:w="1820"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验收核查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应急措施</w:t>
            </w:r>
          </w:p>
        </w:tc>
        <w:tc>
          <w:tcPr>
            <w:tcW w:w="11468"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设罝废气、废水、固废、危废防泄漏措施，编制突发环境应急预案等</w:t>
            </w:r>
          </w:p>
        </w:tc>
        <w:tc>
          <w:tcPr>
            <w:tcW w:w="1820" w:type="dxa"/>
            <w:tcBorders>
              <w:tl2br w:val="nil"/>
              <w:tr2bl w:val="nil"/>
            </w:tcBorders>
            <w:vAlign w:val="center"/>
          </w:tcPr>
          <w:p>
            <w:pPr>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验收核查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排污规范</w:t>
            </w:r>
          </w:p>
        </w:tc>
        <w:tc>
          <w:tcPr>
            <w:tcW w:w="11468"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设罝废气</w:t>
            </w:r>
            <w:r>
              <w:rPr>
                <w:rFonts w:hint="default" w:ascii="Times New Roman" w:hAnsi="Times New Roman" w:eastAsia="宋体" w:cs="Times New Roman"/>
                <w:color w:val="000000" w:themeColor="text1"/>
                <w:sz w:val="21"/>
                <w:szCs w:val="21"/>
                <w:lang w:eastAsia="zh-CN"/>
                <w14:textFill>
                  <w14:solidFill>
                    <w14:schemeClr w14:val="tx1"/>
                  </w14:solidFill>
                </w14:textFill>
              </w:rPr>
              <w:t>、废水</w:t>
            </w:r>
            <w:r>
              <w:rPr>
                <w:rFonts w:hint="default" w:ascii="Times New Roman" w:hAnsi="Times New Roman" w:eastAsia="宋体" w:cs="Times New Roman"/>
                <w:color w:val="000000" w:themeColor="text1"/>
                <w:sz w:val="21"/>
                <w:szCs w:val="21"/>
                <w14:textFill>
                  <w14:solidFill>
                    <w14:schemeClr w14:val="tx1"/>
                  </w14:solidFill>
                </w14:textFill>
              </w:rPr>
              <w:t>标准化采样口，设罝污染物标志牌及固废、危废暂存仓标志牌等</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验收核查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环境管理</w:t>
            </w:r>
          </w:p>
        </w:tc>
        <w:tc>
          <w:tcPr>
            <w:tcW w:w="11468"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设立环保管理负责人，环保设备操作人员</w:t>
            </w:r>
            <w:r>
              <w:rPr>
                <w:rFonts w:hint="default" w:ascii="Times New Roman" w:hAnsi="Times New Roman" w:eastAsia="宋体" w:cs="Times New Roman"/>
                <w:color w:val="000000" w:themeColor="text1"/>
                <w:sz w:val="21"/>
                <w:szCs w:val="21"/>
                <w:lang w:eastAsia="zh-CN"/>
                <w14:textFill>
                  <w14:solidFill>
                    <w14:schemeClr w14:val="tx1"/>
                  </w14:solidFill>
                </w14:textFill>
              </w:rPr>
              <w:t>，制定</w:t>
            </w:r>
            <w:r>
              <w:rPr>
                <w:rFonts w:hint="default" w:ascii="Times New Roman" w:hAnsi="Times New Roman" w:eastAsia="宋体" w:cs="Times New Roman"/>
                <w:color w:val="000000" w:themeColor="text1"/>
                <w:sz w:val="21"/>
                <w:szCs w:val="21"/>
                <w14:textFill>
                  <w14:solidFill>
                    <w14:schemeClr w14:val="tx1"/>
                  </w14:solidFill>
                </w14:textFill>
              </w:rPr>
              <w:t>环保管理制度及台帐制度等</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验收核查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验收产能</w:t>
            </w:r>
          </w:p>
        </w:tc>
        <w:tc>
          <w:tcPr>
            <w:tcW w:w="11468"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验收项目运行工况稳定，</w:t>
            </w:r>
            <w:r>
              <w:rPr>
                <w:rFonts w:hint="default" w:ascii="Times New Roman" w:hAnsi="Times New Roman" w:eastAsia="宋体" w:cs="Times New Roman"/>
                <w:color w:val="000000" w:themeColor="text1"/>
                <w:sz w:val="21"/>
                <w:szCs w:val="21"/>
                <w:lang w:eastAsia="zh-CN"/>
                <w14:textFill>
                  <w14:solidFill>
                    <w14:schemeClr w14:val="tx1"/>
                  </w14:solidFill>
                </w14:textFill>
              </w:rPr>
              <w:t>如实记录工况</w:t>
            </w:r>
          </w:p>
        </w:tc>
        <w:tc>
          <w:tcPr>
            <w:tcW w:w="18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验收核查</w:t>
            </w:r>
          </w:p>
        </w:tc>
      </w:tr>
    </w:tbl>
    <w:p>
      <w:pPr>
        <w:snapToGrid w:val="0"/>
        <w:spacing w:line="240" w:lineRule="atLeast"/>
        <w:outlineLvl w:val="0"/>
        <w:rPr>
          <w:rFonts w:hint="default" w:ascii="Times New Roman" w:hAnsi="Times New Roman" w:eastAsia="宋体" w:cs="Times New Roman"/>
          <w:b/>
          <w:bCs/>
          <w:color w:val="000000" w:themeColor="text1"/>
          <w:sz w:val="21"/>
          <w:szCs w:val="21"/>
          <w:highlight w:val="none"/>
          <w14:textFill>
            <w14:solidFill>
              <w14:schemeClr w14:val="tx1"/>
            </w14:solidFill>
          </w14:textFill>
        </w:rPr>
        <w:sectPr>
          <w:pgSz w:w="16838" w:h="11906" w:orient="landscape"/>
          <w:pgMar w:top="1304" w:right="1304" w:bottom="1304" w:left="1304" w:header="851" w:footer="992" w:gutter="0"/>
          <w:pgBorders>
            <w:top w:val="none" w:sz="0" w:space="0"/>
            <w:left w:val="none" w:sz="0" w:space="0"/>
            <w:bottom w:val="none" w:sz="0" w:space="0"/>
            <w:right w:val="none" w:sz="0" w:space="0"/>
          </w:pgBorders>
          <w:cols w:space="0" w:num="1"/>
          <w:docGrid w:type="lines" w:linePitch="320" w:charSpace="0"/>
        </w:sectPr>
      </w:pP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30" w:name="_Toc15434"/>
      <w:bookmarkStart w:id="31" w:name="_Toc5200"/>
      <w:r>
        <w:rPr>
          <w:rFonts w:hint="default" w:ascii="Times New Roman" w:hAnsi="Times New Roman" w:eastAsia="宋体" w:cs="Times New Roman"/>
          <w:b/>
          <w:bCs/>
          <w:color w:val="000000" w:themeColor="text1"/>
          <w:sz w:val="32"/>
          <w:szCs w:val="32"/>
          <w:highlight w:val="none"/>
          <w14:textFill>
            <w14:solidFill>
              <w14:schemeClr w14:val="tx1"/>
            </w14:solidFill>
          </w14:textFill>
        </w:rPr>
        <w:t>1</w:t>
      </w:r>
      <w:r>
        <w:rPr>
          <w:rFonts w:hint="default" w:ascii="Times New Roman" w:hAnsi="Times New Roman" w:eastAsia="宋体" w:cs="Times New Roman"/>
          <w:b/>
          <w:bCs/>
          <w:color w:val="000000" w:themeColor="text1"/>
          <w:sz w:val="32"/>
          <w:szCs w:val="32"/>
          <w:highlight w:val="none"/>
          <w:lang w:val="en-US" w:eastAsia="zh-CN"/>
          <w14:textFill>
            <w14:solidFill>
              <w14:schemeClr w14:val="tx1"/>
            </w14:solidFill>
          </w14:textFill>
        </w:rPr>
        <w:t>0</w:t>
      </w:r>
      <w:r>
        <w:rPr>
          <w:rFonts w:hint="default" w:ascii="Times New Roman" w:hAnsi="Times New Roman" w:eastAsia="宋体" w:cs="Times New Roman"/>
          <w:b/>
          <w:bCs/>
          <w:color w:val="000000" w:themeColor="text1"/>
          <w:sz w:val="32"/>
          <w:szCs w:val="32"/>
          <w:highlight w:val="none"/>
          <w14:textFill>
            <w14:solidFill>
              <w14:schemeClr w14:val="tx1"/>
            </w14:solidFill>
          </w14:textFill>
        </w:rPr>
        <w:t>.建设项目环境可行性分析</w:t>
      </w:r>
      <w:bookmarkEnd w:id="30"/>
      <w:bookmarkEnd w:id="31"/>
    </w:p>
    <w:tbl>
      <w:tblPr>
        <w:tblStyle w:val="26"/>
        <w:tblW w:w="944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4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523" w:hRule="atLeast"/>
          <w:jc w:val="center"/>
        </w:trPr>
        <w:tc>
          <w:tcPr>
            <w:tcW w:w="9440" w:type="dxa"/>
          </w:tcPr>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0</w:t>
            </w:r>
            <w:r>
              <w:rPr>
                <w:rFonts w:hint="default" w:ascii="Times New Roman" w:hAnsi="Times New Roman" w:eastAsia="宋体" w:cs="Times New Roman"/>
                <w:b/>
                <w:color w:val="000000" w:themeColor="text1"/>
                <w:sz w:val="28"/>
                <w:szCs w:val="28"/>
                <w:highlight w:val="none"/>
                <w14:textFill>
                  <w14:solidFill>
                    <w14:schemeClr w14:val="tx1"/>
                  </w14:solidFill>
                </w14:textFill>
              </w:rPr>
              <w:t>.1环境准入相符性分析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1</w:t>
            </w:r>
            <w:r>
              <w:rPr>
                <w:rFonts w:hint="default"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w:t>
            </w:r>
            <w:r>
              <w:rPr>
                <w:rFonts w:hint="default"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.1</w:t>
            </w:r>
            <w:r>
              <w:rPr>
                <w:rFonts w:hint="default" w:ascii="Times New Roman" w:hAnsi="Times New Roman" w:eastAsia="宋体" w:cs="Times New Roman"/>
                <w:b/>
                <w:caps w:val="0"/>
                <w:color w:val="000000" w:themeColor="text1"/>
                <w:sz w:val="24"/>
                <w:szCs w:val="24"/>
                <w:highlight w:val="none"/>
                <w:lang w:eastAsia="zh-CN"/>
                <w14:textFill>
                  <w14:solidFill>
                    <w14:schemeClr w14:val="tx1"/>
                  </w14:solidFill>
                </w14:textFill>
              </w:rPr>
              <w:t>与《产业结构调整指导目录（2013年修订本）》相符性</w:t>
            </w:r>
            <w:r>
              <w:rPr>
                <w:rFonts w:hint="default" w:ascii="Times New Roman" w:hAnsi="Times New Roman" w:eastAsia="宋体" w:cs="Times New Roman"/>
                <w:b/>
                <w:caps w:val="0"/>
                <w:color w:val="000000" w:themeColor="text1"/>
                <w:sz w:val="24"/>
                <w:szCs w:val="24"/>
                <w:highlight w:val="none"/>
                <w14:textFill>
                  <w14:solidFill>
                    <w14:schemeClr w14:val="tx1"/>
                  </w14:solidFill>
                </w14:textFill>
              </w:rPr>
              <w:t>分析</w:t>
            </w:r>
          </w:p>
          <w:p>
            <w:pPr>
              <w:adjustRightInd w:val="0"/>
              <w:snapToGrid w:val="0"/>
              <w:spacing w:line="360" w:lineRule="auto"/>
              <w:ind w:firstLine="480" w:firstLineChars="200"/>
              <w:rPr>
                <w:rFonts w:hint="default" w:ascii="Times New Roman" w:hAnsi="Times New Roman" w:eastAsia="宋体" w:cs="Times New Roman"/>
                <w:b w:val="0"/>
                <w:bCs/>
                <w:caps w:val="0"/>
                <w:color w:val="000000" w:themeColor="text1"/>
                <w:sz w:val="24"/>
                <w:szCs w:val="24"/>
                <w:highlight w:val="none"/>
                <w14:textFill>
                  <w14:solidFill>
                    <w14:schemeClr w14:val="tx1"/>
                  </w14:solidFill>
                </w14:textFill>
              </w:rPr>
            </w:pPr>
            <w:bookmarkStart w:id="32" w:name="_Toc24032"/>
            <w:r>
              <w:rPr>
                <w:rFonts w:hint="default" w:ascii="Times New Roman" w:hAnsi="Times New Roman" w:eastAsia="宋体" w:cs="Times New Roman"/>
                <w:bCs/>
                <w:color w:val="000000" w:themeColor="text1"/>
                <w:kern w:val="24"/>
                <w:sz w:val="24"/>
                <w:szCs w:val="21"/>
                <w14:textFill>
                  <w14:solidFill>
                    <w14:schemeClr w14:val="tx1"/>
                  </w14:solidFill>
                </w14:textFill>
              </w:rPr>
              <w:t>本项目主要从事石英砂加工，项目属于《国民经济行业分类与代码（GB/T 4754-2017）》分类中的“</w:t>
            </w:r>
            <w:r>
              <w:rPr>
                <w:rFonts w:hint="default" w:ascii="Times New Roman" w:hAnsi="Times New Roman" w:eastAsia="宋体" w:cs="Times New Roman"/>
                <w:color w:val="000000" w:themeColor="text1"/>
                <w:sz w:val="24"/>
                <w:szCs w:val="24"/>
                <w14:textFill>
                  <w14:solidFill>
                    <w14:schemeClr w14:val="tx1"/>
                  </w14:solidFill>
                </w14:textFill>
              </w:rPr>
              <w:t>C3099其他非金属矿物制品制造</w:t>
            </w:r>
            <w:r>
              <w:rPr>
                <w:rFonts w:hint="default" w:ascii="Times New Roman" w:hAnsi="Times New Roman" w:eastAsia="宋体" w:cs="Times New Roman"/>
                <w:bCs/>
                <w:color w:val="000000" w:themeColor="text1"/>
                <w:kern w:val="24"/>
                <w:sz w:val="24"/>
                <w:szCs w:val="21"/>
                <w14:textFill>
                  <w14:solidFill>
                    <w14:schemeClr w14:val="tx1"/>
                  </w14:solidFill>
                </w14:textFill>
              </w:rPr>
              <w:t>”。根据《产业结构调整指导目录（2013年修订）》本项目不属于“鼓励类、限制类及淘汰类”。因此，本项目应属于“允许类”，故符合国家产业政策要求</w:t>
            </w:r>
            <w:r>
              <w:rPr>
                <w:rFonts w:hint="default" w:ascii="Times New Roman" w:hAnsi="Times New Roman" w:eastAsia="宋体" w:cs="Times New Roman"/>
                <w:b w:val="0"/>
                <w:bCs/>
                <w:caps w:val="0"/>
                <w:color w:val="000000" w:themeColor="text1"/>
                <w:sz w:val="24"/>
                <w:szCs w:val="24"/>
                <w:highlight w:val="none"/>
                <w14:textFill>
                  <w14:solidFill>
                    <w14:schemeClr w14:val="tx1"/>
                  </w14:solidFill>
                </w14:textFill>
              </w:rPr>
              <w:t>。</w:t>
            </w:r>
            <w:bookmarkEnd w:id="3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10.1.2</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与《清远市产业发展指导目录》(2013年本)》相符性分析</w:t>
            </w:r>
          </w:p>
          <w:p>
            <w:pPr>
              <w:pStyle w:val="4"/>
              <w:pageBreakBefore w:val="0"/>
              <w:widowControl w:val="0"/>
              <w:kinsoku/>
              <w:wordWrap/>
              <w:overflowPunct/>
              <w:topLinePunct w:val="0"/>
              <w:bidi w:val="0"/>
              <w:adjustRightInd/>
              <w:snapToGrid/>
              <w:spacing w:before="0" w:after="0" w:line="360" w:lineRule="auto"/>
              <w:ind w:firstLine="480" w:firstLineChars="200"/>
              <w:outlineLvl w:val="1"/>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bookmarkStart w:id="33" w:name="_Toc22314"/>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根据本项目有关情况</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对照《清远市产业发展指导目录》（清府办2013年）相关产业政策内容，本项目不属于鼓励类、限制类及淘汰类</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属于清远市产业政策允许类项目，符合清远市产业政策要求。</w:t>
            </w:r>
            <w:bookmarkEnd w:id="33"/>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10.1.3与</w:t>
            </w:r>
            <w:r>
              <w:rPr>
                <w:rFonts w:hint="default" w:ascii="Times New Roman" w:hAnsi="Times New Roman" w:eastAsia="宋体" w:cs="Times New Roman"/>
                <w:b/>
                <w:color w:val="000000" w:themeColor="text1"/>
                <w:sz w:val="24"/>
                <w:szCs w:val="24"/>
                <w:highlight w:val="none"/>
                <w14:textFill>
                  <w14:solidFill>
                    <w14:schemeClr w14:val="tx1"/>
                  </w14:solidFill>
                </w14:textFill>
              </w:rPr>
              <w:t>《清远市企业投资负面清单》相符性分析</w:t>
            </w:r>
          </w:p>
          <w:p>
            <w:pPr>
              <w:pStyle w:val="72"/>
              <w:keepNext w:val="0"/>
              <w:keepLines w:val="0"/>
              <w:pageBreakBefore w:val="0"/>
              <w:widowControl w:val="0"/>
              <w:kinsoku/>
              <w:wordWrap/>
              <w:overflowPunct/>
              <w:topLinePunct w:val="0"/>
              <w:autoSpaceDE/>
              <w:autoSpaceDN/>
              <w:bidi w:val="0"/>
              <w:adjustRightInd/>
              <w:snapToGrid/>
              <w:ind w:firstLine="480" w:firstLineChars="200"/>
              <w:textAlignment w:val="baseline"/>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Cs w:val="0"/>
                <w:color w:val="000000" w:themeColor="text1"/>
                <w:sz w:val="24"/>
                <w:szCs w:val="24"/>
                <w:highlight w:val="none"/>
                <w14:textFill>
                  <w14:solidFill>
                    <w14:schemeClr w14:val="tx1"/>
                  </w14:solidFill>
                </w14:textFill>
              </w:rPr>
              <w:t>对应《清远市企业投资负面清单》</w:t>
            </w:r>
            <w:r>
              <w:rPr>
                <w:rFonts w:hint="default" w:ascii="Times New Roman" w:hAnsi="Times New Roman" w:eastAsia="宋体" w:cs="Times New Roman"/>
                <w:color w:val="000000" w:themeColor="text1"/>
                <w:sz w:val="24"/>
                <w:szCs w:val="24"/>
                <w:highlight w:val="none"/>
                <w14:textFill>
                  <w14:solidFill>
                    <w14:schemeClr w14:val="tx1"/>
                  </w14:solidFill>
                </w14:textFill>
              </w:rPr>
              <w:t>（2014年09月01日实施），本项目不在该</w:t>
            </w:r>
            <w:r>
              <w:rPr>
                <w:rFonts w:hint="default" w:ascii="Times New Roman" w:hAnsi="Times New Roman" w:eastAsia="宋体" w:cs="Times New Roman"/>
                <w:bCs w:val="0"/>
                <w:color w:val="000000" w:themeColor="text1"/>
                <w:sz w:val="24"/>
                <w:szCs w:val="24"/>
                <w:highlight w:val="none"/>
                <w14:textFill>
                  <w14:solidFill>
                    <w14:schemeClr w14:val="tx1"/>
                  </w14:solidFill>
                </w14:textFill>
              </w:rPr>
              <w:t>负面清单之列。</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0</w:t>
            </w:r>
            <w:r>
              <w:rPr>
                <w:rFonts w:hint="default" w:ascii="Times New Roman" w:hAnsi="Times New Roman" w:eastAsia="宋体" w:cs="Times New Roman"/>
                <w:b/>
                <w:color w:val="000000" w:themeColor="text1"/>
                <w:sz w:val="28"/>
                <w:szCs w:val="28"/>
                <w:highlight w:val="none"/>
                <w14:textFill>
                  <w14:solidFill>
                    <w14:schemeClr w14:val="tx1"/>
                  </w14:solidFill>
                </w14:textFill>
              </w:rPr>
              <w:t>.</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z w:val="28"/>
                <w:szCs w:val="28"/>
                <w:highlight w:val="none"/>
                <w14:textFill>
                  <w14:solidFill>
                    <w14:schemeClr w14:val="tx1"/>
                  </w14:solidFill>
                </w14:textFill>
              </w:rPr>
              <w:t>建设项目环境可行性分析</w:t>
            </w:r>
          </w:p>
          <w:p>
            <w:pPr>
              <w:pStyle w:val="4"/>
              <w:pageBreakBefore w:val="0"/>
              <w:kinsoku/>
              <w:wordWrap/>
              <w:overflowPunct/>
              <w:topLinePunct w:val="0"/>
              <w:bidi w:val="0"/>
              <w:adjustRightInd/>
              <w:snapToGrid/>
              <w:spacing w:before="0" w:after="0" w:line="360" w:lineRule="auto"/>
              <w:rPr>
                <w:rFonts w:hint="default" w:ascii="Times New Roman" w:hAnsi="Times New Roman" w:eastAsia="宋体" w:cs="Times New Roman"/>
                <w:b/>
                <w:bCs/>
                <w:snapToGrid w:val="0"/>
                <w:color w:val="000000" w:themeColor="text1"/>
                <w:kern w:val="2"/>
                <w:sz w:val="24"/>
                <w:szCs w:val="22"/>
                <w:highlight w:val="none"/>
                <w:lang w:val="en-US" w:eastAsia="zh-CN" w:bidi="ar-SA"/>
                <w14:textFill>
                  <w14:solidFill>
                    <w14:schemeClr w14:val="tx1"/>
                  </w14:solidFill>
                </w14:textFill>
              </w:rPr>
            </w:pPr>
            <w:bookmarkStart w:id="34" w:name="_Toc4955"/>
            <w:r>
              <w:rPr>
                <w:rFonts w:hint="default" w:ascii="Times New Roman" w:hAnsi="Times New Roman" w:eastAsia="宋体" w:cs="Times New Roman"/>
                <w:b/>
                <w:bCs/>
                <w:snapToGrid w:val="0"/>
                <w:color w:val="000000" w:themeColor="text1"/>
                <w:kern w:val="2"/>
                <w:sz w:val="24"/>
                <w:szCs w:val="22"/>
                <w:highlight w:val="none"/>
                <w:lang w:val="en-US" w:eastAsia="zh-CN" w:bidi="ar-SA"/>
                <w14:textFill>
                  <w14:solidFill>
                    <w14:schemeClr w14:val="tx1"/>
                  </w14:solidFill>
                </w14:textFill>
              </w:rPr>
              <w:t>10.2.1与选址合理性分析</w:t>
            </w:r>
            <w:bookmarkEnd w:id="34"/>
          </w:p>
          <w:p>
            <w:pPr>
              <w:pStyle w:val="72"/>
              <w:keepNext w:val="0"/>
              <w:keepLines w:val="0"/>
              <w:pageBreakBefore w:val="0"/>
              <w:widowControl w:val="0"/>
              <w:kinsoku/>
              <w:wordWrap/>
              <w:overflowPunct/>
              <w:topLinePunct w:val="0"/>
              <w:autoSpaceDE/>
              <w:autoSpaceDN/>
              <w:bidi w:val="0"/>
              <w:adjustRightInd/>
              <w:snapToGrid/>
              <w:ind w:firstLine="480" w:firstLineChars="20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（1）</w:t>
            </w:r>
            <w:r>
              <w:rPr>
                <w:rFonts w:hint="default" w:ascii="Times New Roman" w:hAnsi="Times New Roman" w:eastAsia="宋体" w:cs="Times New Roman"/>
                <w:bCs/>
                <w:color w:val="000000" w:themeColor="text1"/>
                <w:sz w:val="24"/>
                <w:highlight w:val="none"/>
                <w14:textFill>
                  <w14:solidFill>
                    <w14:schemeClr w14:val="tx1"/>
                  </w14:solidFill>
                </w14:textFill>
              </w:rPr>
              <w:t>根据佛冈县</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汤塘镇国土所出具的资料，</w:t>
            </w:r>
            <w:r>
              <w:rPr>
                <w:rFonts w:hint="default" w:ascii="Times New Roman" w:hAnsi="Times New Roman" w:eastAsia="宋体" w:cs="Times New Roman"/>
                <w:bCs w:val="0"/>
                <w:color w:val="000000" w:themeColor="text1"/>
                <w:highlight w:val="none"/>
                <w14:textFill>
                  <w14:solidFill>
                    <w14:schemeClr w14:val="tx1"/>
                  </w14:solidFill>
                </w14:textFill>
              </w:rPr>
              <w:t>明确本项目选址用地为</w:t>
            </w:r>
            <w:r>
              <w:rPr>
                <w:rFonts w:hint="default" w:ascii="Times New Roman" w:hAnsi="Times New Roman" w:eastAsia="宋体" w:cs="Times New Roman"/>
                <w:bCs w:val="0"/>
                <w:color w:val="000000" w:themeColor="text1"/>
                <w:highlight w:val="none"/>
                <w:lang w:eastAsia="zh-CN"/>
                <w14:textFill>
                  <w14:solidFill>
                    <w14:schemeClr w14:val="tx1"/>
                  </w14:solidFill>
                </w14:textFill>
              </w:rPr>
              <w:t>“建设用地”，故</w:t>
            </w:r>
            <w:r>
              <w:rPr>
                <w:rFonts w:hint="default" w:ascii="Times New Roman" w:hAnsi="Times New Roman" w:eastAsia="宋体" w:cs="Times New Roman"/>
                <w:bCs w:val="0"/>
                <w:color w:val="000000" w:themeColor="text1"/>
                <w:highlight w:val="none"/>
                <w14:textFill>
                  <w14:solidFill>
                    <w14:schemeClr w14:val="tx1"/>
                  </w14:solidFill>
                </w14:textFill>
              </w:rPr>
              <w:t>本项目选址用地</w:t>
            </w:r>
            <w:r>
              <w:rPr>
                <w:rFonts w:hint="default" w:ascii="Times New Roman" w:hAnsi="Times New Roman" w:eastAsia="宋体" w:cs="Times New Roman"/>
                <w:bCs w:val="0"/>
                <w:color w:val="000000" w:themeColor="text1"/>
                <w:highlight w:val="none"/>
                <w:lang w:eastAsia="zh-CN"/>
                <w14:textFill>
                  <w14:solidFill>
                    <w14:schemeClr w14:val="tx1"/>
                  </w14:solidFill>
                </w14:textFill>
              </w:rPr>
              <w:t>符合</w:t>
            </w:r>
            <w:r>
              <w:rPr>
                <w:rFonts w:hint="default" w:ascii="Times New Roman" w:hAnsi="Times New Roman" w:eastAsia="宋体" w:cs="Times New Roman"/>
                <w:bCs/>
                <w:color w:val="000000" w:themeColor="text1"/>
                <w:sz w:val="24"/>
                <w:highlight w:val="none"/>
                <w14:textFill>
                  <w14:solidFill>
                    <w14:schemeClr w14:val="tx1"/>
                  </w14:solidFill>
                </w14:textFill>
              </w:rPr>
              <w:t>佛冈县</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汤塘镇</w:t>
            </w:r>
            <w:r>
              <w:rPr>
                <w:rFonts w:hint="default" w:ascii="Times New Roman" w:hAnsi="Times New Roman" w:eastAsia="宋体" w:cs="Times New Roman"/>
                <w:bCs w:val="0"/>
                <w:color w:val="000000" w:themeColor="text1"/>
                <w:highlight w:val="none"/>
                <w:lang w:eastAsia="zh-CN"/>
                <w14:textFill>
                  <w14:solidFill>
                    <w14:schemeClr w14:val="tx1"/>
                  </w14:solidFill>
                </w14:textFill>
              </w:rPr>
              <w:t>土地利用规划。</w:t>
            </w:r>
          </w:p>
          <w:p>
            <w:pPr>
              <w:pStyle w:val="72"/>
              <w:keepNext w:val="0"/>
              <w:keepLines w:val="0"/>
              <w:pageBreakBefore w:val="0"/>
              <w:widowControl w:val="0"/>
              <w:kinsoku/>
              <w:wordWrap/>
              <w:overflowPunct/>
              <w:topLinePunct w:val="0"/>
              <w:autoSpaceDE/>
              <w:autoSpaceDN/>
              <w:bidi w:val="0"/>
              <w:adjustRightInd/>
              <w:snapToGrid/>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24"/>
                <w:sz w:val="24"/>
                <w:szCs w:val="24"/>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highlight w:val="none"/>
                <w14:textFill>
                  <w14:solidFill>
                    <w14:schemeClr w14:val="tx1"/>
                  </w14:solidFill>
                </w14:textFill>
              </w:rPr>
              <w:t>根据调查</w:t>
            </w: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Cs w:val="0"/>
                <w:color w:val="000000" w:themeColor="text1"/>
                <w:highlight w:val="none"/>
                <w14:textFill>
                  <w14:solidFill>
                    <w14:schemeClr w14:val="tx1"/>
                  </w14:solidFill>
                </w14:textFill>
              </w:rPr>
              <w:t>本项目选址用地不</w:t>
            </w:r>
            <w:r>
              <w:rPr>
                <w:rFonts w:hint="default" w:ascii="Times New Roman" w:hAnsi="Times New Roman" w:eastAsia="宋体" w:cs="Times New Roman"/>
                <w:color w:val="000000" w:themeColor="text1"/>
                <w:highlight w:val="none"/>
                <w14:textFill>
                  <w14:solidFill>
                    <w14:schemeClr w14:val="tx1"/>
                  </w14:solidFill>
                </w14:textFill>
              </w:rPr>
              <w:t>涉及自然保护区、饮用水水源保护区、严格控制区、风景名胜区、森林公园及其他需要特别保护的环境敏感区域，</w:t>
            </w:r>
            <w:r>
              <w:rPr>
                <w:rFonts w:hint="default" w:ascii="Times New Roman" w:hAnsi="Times New Roman" w:eastAsia="宋体" w:cs="Times New Roman"/>
                <w:bCs w:val="0"/>
                <w:color w:val="000000" w:themeColor="text1"/>
                <w:highlight w:val="none"/>
                <w14:textFill>
                  <w14:solidFill>
                    <w14:schemeClr w14:val="tx1"/>
                  </w14:solidFill>
                </w14:textFill>
              </w:rPr>
              <w:t>无环境制约因素</w:t>
            </w:r>
            <w:r>
              <w:rPr>
                <w:rFonts w:hint="default" w:ascii="Times New Roman" w:hAnsi="Times New Roman" w:eastAsia="宋体" w:cs="Times New Roman"/>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24"/>
                <w:sz w:val="24"/>
                <w:szCs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highlight w:val="none"/>
                <w14:textFill>
                  <w14:solidFill>
                    <w14:schemeClr w14:val="tx1"/>
                  </w14:solidFill>
                </w14:textFill>
              </w:rPr>
              <w:t>根据国土资源部、国家发展和改革委员会2012年5月30日发布的</w:t>
            </w:r>
            <w:r>
              <w:rPr>
                <w:rFonts w:hint="default" w:ascii="Times New Roman" w:hAnsi="Times New Roman" w:eastAsia="宋体" w:cs="Times New Roman"/>
                <w:color w:val="000000" w:themeColor="text1"/>
                <w:sz w:val="24"/>
                <w:highlight w:val="none"/>
                <w14:textFill>
                  <w14:solidFill>
                    <w14:schemeClr w14:val="tx1"/>
                  </w14:solidFill>
                </w14:textFill>
              </w:rPr>
              <w:t xml:space="preserve"> “关于发布实施《限制用地项目目录（2012年本）》和《禁止用地项目目录（2012年本）》的通知”中规定，本项目用地不属于《禁止目录》和《限制目录中限批或禁批之列范围。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1"/>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 xml:space="preserve">  </w:t>
            </w:r>
            <w:bookmarkStart w:id="35" w:name="_Toc24585"/>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因此，本项目用地符合佛冈县土地利用规划，无环境制约因素，故选址合理。</w:t>
            </w:r>
            <w:bookmarkEnd w:id="35"/>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pPr>
            <w:bookmarkStart w:id="36" w:name="_Toc18924"/>
            <w:r>
              <w:rPr>
                <w:rFonts w:hint="default" w:ascii="Times New Roman" w:hAnsi="Times New Roman" w:eastAsia="宋体" w:cs="Times New Roman"/>
                <w:b/>
                <w:bCs/>
                <w:color w:val="000000" w:themeColor="text1"/>
                <w:sz w:val="24"/>
                <w:szCs w:val="22"/>
                <w:highlight w:val="none"/>
                <w14:textFill>
                  <w14:solidFill>
                    <w14:schemeClr w14:val="tx1"/>
                  </w14:solidFill>
                </w14:textFill>
              </w:rPr>
              <w:t>1</w:t>
            </w:r>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0</w:t>
            </w:r>
            <w:r>
              <w:rPr>
                <w:rFonts w:hint="default" w:ascii="Times New Roman" w:hAnsi="Times New Roman" w:eastAsia="宋体" w:cs="Times New Roman"/>
                <w:b/>
                <w:bCs/>
                <w:color w:val="000000" w:themeColor="text1"/>
                <w:sz w:val="24"/>
                <w:szCs w:val="22"/>
                <w:highlight w:val="none"/>
                <w14:textFill>
                  <w14:solidFill>
                    <w14:schemeClr w14:val="tx1"/>
                  </w14:solidFill>
                </w14:textFill>
              </w:rPr>
              <w:t>.</w:t>
            </w:r>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2"/>
                <w:highlight w:val="none"/>
                <w14:textFill>
                  <w14:solidFill>
                    <w14:schemeClr w14:val="tx1"/>
                  </w14:solidFill>
                </w14:textFill>
              </w:rPr>
              <w:t>.</w:t>
            </w:r>
            <w:r>
              <w:rPr>
                <w:rFonts w:hint="default" w:ascii="Times New Roman" w:hAnsi="Times New Roman" w:eastAsia="宋体" w:cs="Times New Roman"/>
                <w:b/>
                <w:bCs/>
                <w:color w:val="000000" w:themeColor="text1"/>
                <w:sz w:val="24"/>
                <w:szCs w:val="22"/>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2"/>
                <w:highlight w:val="none"/>
                <w14:textFill>
                  <w14:solidFill>
                    <w14:schemeClr w14:val="tx1"/>
                  </w14:solidFill>
                </w14:textFill>
              </w:rPr>
              <w:t>与</w:t>
            </w:r>
            <w:r>
              <w:rPr>
                <w:rFonts w:hint="default" w:ascii="Times New Roman" w:hAnsi="Times New Roman" w:eastAsia="宋体" w:cs="Times New Roman"/>
                <w:b/>
                <w:bCs/>
                <w:color w:val="000000" w:themeColor="text1"/>
                <w:sz w:val="24"/>
                <w:highlight w:val="none"/>
                <w14:textFill>
                  <w14:solidFill>
                    <w14:schemeClr w14:val="tx1"/>
                  </w14:solidFill>
                </w14:textFill>
              </w:rPr>
              <w:t>环境功能区划</w:t>
            </w:r>
            <w:r>
              <w:rPr>
                <w:rFonts w:hint="default" w:ascii="Times New Roman" w:hAnsi="Times New Roman" w:eastAsia="宋体" w:cs="Times New Roman"/>
                <w:b/>
                <w:color w:val="000000" w:themeColor="text1"/>
                <w:sz w:val="24"/>
                <w:highlight w:val="none"/>
                <w14:textFill>
                  <w14:solidFill>
                    <w14:schemeClr w14:val="tx1"/>
                  </w14:solidFill>
                </w14:textFill>
              </w:rPr>
              <w:t>相符性分析</w:t>
            </w:r>
            <w:bookmarkEnd w:id="36"/>
          </w:p>
          <w:p>
            <w:pPr>
              <w:keepNext w:val="0"/>
              <w:keepLines w:val="0"/>
              <w:pageBreakBefore w:val="0"/>
              <w:widowControl w:val="0"/>
              <w:tabs>
                <w:tab w:val="left" w:pos="177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pP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 xml:space="preserve">   （1）监测结果表明，</w:t>
            </w:r>
            <w:r>
              <w:rPr>
                <w:rFonts w:hint="default" w:ascii="Times New Roman" w:hAnsi="Times New Roman" w:eastAsia="宋体" w:cs="Times New Roman"/>
                <w:bCs/>
                <w:color w:val="000000" w:themeColor="text1"/>
                <w:kern w:val="24"/>
                <w:sz w:val="24"/>
                <w:szCs w:val="24"/>
                <w:highlight w:val="none"/>
                <w:lang w:eastAsia="zh-CN"/>
                <w14:textFill>
                  <w14:solidFill>
                    <w14:schemeClr w14:val="tx1"/>
                  </w14:solidFill>
                </w14:textFill>
              </w:rPr>
              <w:t>本项目附近</w:t>
            </w: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水体</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潖江（佛冈县城湖滨至北江与浰江交汇处河段）监测断面的各个监测项目的浓度值均符合《地表水环境质量标准》（GB3838-2002）Ⅲ类标准，无超标情况出现，表明项目附近的地表水水质现状较好，能满足相应水环境功能区划要求</w:t>
            </w: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w:t>
            </w:r>
          </w:p>
          <w:p>
            <w:pPr>
              <w:pStyle w:val="10"/>
              <w:pageBreakBefore w:val="0"/>
              <w:kinsoku/>
              <w:wordWrap/>
              <w:overflowPunct/>
              <w:topLinePunct w:val="0"/>
              <w:bidi w:val="0"/>
              <w:adjustRightInd/>
              <w:snapToGrid/>
              <w:spacing w:line="360" w:lineRule="auto"/>
              <w:rPr>
                <w:rFonts w:hint="default" w:ascii="Times New Roman" w:hAnsi="Times New Roman" w:eastAsia="宋体" w:cs="Times New Roman"/>
                <w:bCs/>
                <w:color w:val="000000" w:themeColor="text1"/>
                <w:kern w:val="24"/>
                <w:highlight w:val="none"/>
                <w14:textFill>
                  <w14:solidFill>
                    <w14:schemeClr w14:val="tx1"/>
                  </w14:solidFill>
                </w14:textFill>
              </w:rPr>
            </w:pPr>
            <w:r>
              <w:rPr>
                <w:rFonts w:hint="default" w:ascii="Times New Roman" w:hAnsi="Times New Roman" w:eastAsia="宋体" w:cs="Times New Roman"/>
                <w:bCs/>
                <w:color w:val="000000" w:themeColor="text1"/>
                <w:kern w:val="24"/>
                <w:highlight w:val="none"/>
                <w14:textFill>
                  <w14:solidFill>
                    <w14:schemeClr w14:val="tx1"/>
                  </w14:solidFill>
                </w14:textFill>
              </w:rPr>
              <w:t xml:space="preserve">   （2）佛冈县2018年环境空气质量状况表明，</w:t>
            </w:r>
            <w:r>
              <w:rPr>
                <w:rFonts w:hint="default" w:ascii="Times New Roman" w:hAnsi="Times New Roman" w:eastAsia="宋体" w:cs="Times New Roman"/>
                <w:bCs/>
                <w:color w:val="000000" w:themeColor="text1"/>
                <w:kern w:val="24"/>
                <w:highlight w:val="none"/>
                <w:lang w:eastAsia="zh-CN"/>
                <w14:textFill>
                  <w14:solidFill>
                    <w14:schemeClr w14:val="tx1"/>
                  </w14:solidFill>
                </w14:textFill>
              </w:rPr>
              <w:t>本</w:t>
            </w:r>
            <w:r>
              <w:rPr>
                <w:rFonts w:hint="default" w:ascii="Times New Roman" w:hAnsi="Times New Roman" w:eastAsia="宋体" w:cs="Times New Roman"/>
                <w:bCs/>
                <w:color w:val="000000" w:themeColor="text1"/>
                <w:kern w:val="24"/>
                <w:highlight w:val="none"/>
                <w14:textFill>
                  <w14:solidFill>
                    <w14:schemeClr w14:val="tx1"/>
                  </w14:solidFill>
                </w14:textFill>
              </w:rPr>
              <w:t>项目评价区域内空气质量较好，环境容量可满足本项目建设排放废气的需要。</w:t>
            </w:r>
          </w:p>
          <w:p>
            <w:pPr>
              <w:pStyle w:val="10"/>
              <w:pageBreakBefore w:val="0"/>
              <w:kinsoku/>
              <w:wordWrap/>
              <w:overflowPunct/>
              <w:topLinePunct w:val="0"/>
              <w:bidi w:val="0"/>
              <w:adjustRightInd/>
              <w:snapToGrid/>
              <w:spacing w:line="360" w:lineRule="auto"/>
              <w:rPr>
                <w:rFonts w:hint="default" w:ascii="Times New Roman" w:hAnsi="Times New Roman" w:eastAsia="宋体" w:cs="Times New Roman"/>
                <w:bCs/>
                <w:color w:val="000000" w:themeColor="text1"/>
                <w:kern w:val="24"/>
                <w:highlight w:val="none"/>
                <w14:textFill>
                  <w14:solidFill>
                    <w14:schemeClr w14:val="tx1"/>
                  </w14:solidFill>
                </w14:textFill>
              </w:rPr>
            </w:pPr>
            <w:r>
              <w:rPr>
                <w:rFonts w:hint="default" w:ascii="Times New Roman" w:hAnsi="Times New Roman" w:eastAsia="宋体" w:cs="Times New Roman"/>
                <w:bCs/>
                <w:color w:val="000000" w:themeColor="text1"/>
                <w:kern w:val="24"/>
                <w:highlight w:val="none"/>
                <w14:textFill>
                  <w14:solidFill>
                    <w14:schemeClr w14:val="tx1"/>
                  </w14:solidFill>
                </w14:textFill>
              </w:rPr>
              <w:t xml:space="preserve">   （3）根据环境噪声现状检测结果，该区域的声环境状况良好，可满足本项目建设需要。本项目在采取有效的隔音、减震措施后，不会对周围声环境带来不良的影响。</w:t>
            </w:r>
          </w:p>
          <w:p>
            <w:pPr>
              <w:pStyle w:val="10"/>
              <w:pageBreakBefore w:val="0"/>
              <w:kinsoku/>
              <w:wordWrap/>
              <w:overflowPunct/>
              <w:topLinePunct w:val="0"/>
              <w:bidi w:val="0"/>
              <w:adjustRightInd/>
              <w:snapToGrid/>
              <w:spacing w:line="360" w:lineRule="auto"/>
              <w:rPr>
                <w:rFonts w:hint="default" w:ascii="Times New Roman" w:hAnsi="Times New Roman" w:eastAsia="宋体" w:cs="Times New Roman"/>
                <w:bCs/>
                <w:color w:val="000000" w:themeColor="text1"/>
                <w:kern w:val="24"/>
                <w:highlight w:val="none"/>
                <w14:textFill>
                  <w14:solidFill>
                    <w14:schemeClr w14:val="tx1"/>
                  </w14:solidFill>
                </w14:textFill>
              </w:rPr>
            </w:pPr>
            <w:r>
              <w:rPr>
                <w:rFonts w:hint="default" w:ascii="Times New Roman" w:hAnsi="Times New Roman" w:eastAsia="宋体" w:cs="Times New Roman"/>
                <w:bCs/>
                <w:color w:val="000000" w:themeColor="text1"/>
                <w:kern w:val="24"/>
                <w:highlight w:val="none"/>
                <w14:textFill>
                  <w14:solidFill>
                    <w14:schemeClr w14:val="tx1"/>
                  </w14:solidFill>
                </w14:textFill>
              </w:rPr>
              <w:t xml:space="preserve">    故本项目符合环境功能区划的要求。</w:t>
            </w:r>
          </w:p>
          <w:p>
            <w:pPr>
              <w:pStyle w:val="72"/>
              <w:pageBreakBefore w:val="0"/>
              <w:kinsoku/>
              <w:wordWrap/>
              <w:overflowPunct/>
              <w:topLinePunct w:val="0"/>
              <w:bidi w:val="0"/>
              <w:adjustRightInd/>
              <w:snapToGrid/>
              <w:ind w:firstLine="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snapToGrid w:val="0"/>
                <w:color w:val="000000" w:themeColor="text1"/>
                <w:kern w:val="2"/>
                <w:sz w:val="24"/>
                <w:szCs w:val="24"/>
                <w:highlight w:val="none"/>
                <w:lang w:val="en-US" w:eastAsia="zh-CN" w:bidi="ar-SA"/>
                <w14:textFill>
                  <w14:solidFill>
                    <w14:schemeClr w14:val="tx1"/>
                  </w14:solidFill>
                </w14:textFill>
              </w:rPr>
              <w:t>10.2.3与</w:t>
            </w:r>
            <w:r>
              <w:rPr>
                <w:rFonts w:hint="default" w:ascii="Times New Roman" w:hAnsi="Times New Roman" w:eastAsia="宋体" w:cs="Times New Roman"/>
                <w:b/>
                <w:color w:val="000000" w:themeColor="text1"/>
                <w:highlight w:val="none"/>
                <w14:textFill>
                  <w14:solidFill>
                    <w14:schemeClr w14:val="tx1"/>
                  </w14:solidFill>
                </w14:textFill>
              </w:rPr>
              <w:t>“三线一单”相符性分析</w:t>
            </w:r>
          </w:p>
          <w:p>
            <w:pPr>
              <w:pStyle w:val="137"/>
              <w:keepNext w:val="0"/>
              <w:keepLines w:val="0"/>
              <w:pageBreakBefore w:val="0"/>
              <w:widowControl w:val="0"/>
              <w:kinsoku/>
              <w:wordWrap/>
              <w:overflowPunct/>
              <w:topLinePunct w:val="0"/>
              <w:autoSpaceDE/>
              <w:autoSpaceDN/>
              <w:bidi w:val="0"/>
              <w:adjustRightInd/>
              <w:snapToGrid/>
              <w:spacing w:before="161" w:beforeLines="50" w:line="240" w:lineRule="auto"/>
              <w:ind w:firstLine="0" w:firstLineChars="0"/>
              <w:jc w:val="center"/>
              <w:textAlignment w:val="auto"/>
              <w:outlineLvl w:val="9"/>
              <w:rPr>
                <w:rFonts w:hint="default" w:ascii="Times New Roman" w:hAnsi="Times New Roman" w:eastAsia="宋体" w:cs="Times New Roman"/>
                <w:b/>
                <w:bCs/>
                <w:snapToGrid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4"/>
                <w:szCs w:val="24"/>
                <w:highlight w:val="none"/>
                <w:lang w:val="en-US" w:eastAsia="zh-CN" w:bidi="ar-SA"/>
                <w14:textFill>
                  <w14:solidFill>
                    <w14:schemeClr w14:val="tx1"/>
                  </w14:solidFill>
                </w14:textFill>
              </w:rPr>
              <w:t xml:space="preserve"> 表10.2-1本项目与“三线一单”相符性分析</w:t>
            </w:r>
          </w:p>
          <w:tbl>
            <w:tblPr>
              <w:tblStyle w:val="26"/>
              <w:tblW w:w="9222" w:type="dxa"/>
              <w:jc w:val="center"/>
              <w:tblInd w:w="2" w:type="dxa"/>
              <w:tblLayout w:type="fixed"/>
              <w:tblCellMar>
                <w:top w:w="0" w:type="dxa"/>
                <w:left w:w="0" w:type="dxa"/>
                <w:bottom w:w="0" w:type="dxa"/>
                <w:right w:w="0" w:type="dxa"/>
              </w:tblCellMar>
            </w:tblPr>
            <w:tblGrid>
              <w:gridCol w:w="2060"/>
              <w:gridCol w:w="5922"/>
              <w:gridCol w:w="1240"/>
            </w:tblGrid>
            <w:tr>
              <w:tblPrEx>
                <w:tblLayout w:type="fixed"/>
                <w:tblCellMar>
                  <w:top w:w="0" w:type="dxa"/>
                  <w:left w:w="0" w:type="dxa"/>
                  <w:bottom w:w="0" w:type="dxa"/>
                  <w:right w:w="0" w:type="dxa"/>
                </w:tblCellMar>
              </w:tblPrEx>
              <w:trPr>
                <w:trHeight w:val="340" w:hRule="atLeast"/>
                <w:jc w:val="center"/>
              </w:trPr>
              <w:tc>
                <w:tcPr>
                  <w:tcW w:w="2060" w:type="dxa"/>
                  <w:tcBorders>
                    <w:top w:val="single" w:color="auto" w:sz="12"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105" w:rightChars="50"/>
                    <w:jc w:val="center"/>
                    <w:textAlignment w:val="auto"/>
                    <w:outlineLvl w:val="9"/>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三线一单</w:t>
                  </w:r>
                </w:p>
              </w:tc>
              <w:tc>
                <w:tcPr>
                  <w:tcW w:w="5922"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bCs/>
                      <w:i w:val="0"/>
                      <w:snapToGrid/>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w:t>
                  </w:r>
                  <w:r>
                    <w:rPr>
                      <w:rFonts w:hint="default" w:ascii="Times New Roman" w:hAnsi="Times New Roman" w:eastAsia="宋体" w:cs="Times New Roman"/>
                      <w:b/>
                      <w:bCs/>
                      <w:i w:val="0"/>
                      <w:snapToGrid/>
                      <w:color w:val="000000" w:themeColor="text1"/>
                      <w:kern w:val="0"/>
                      <w:sz w:val="21"/>
                      <w:szCs w:val="21"/>
                      <w:highlight w:val="none"/>
                      <w:u w:val="none"/>
                      <w:lang w:val="en-US" w:eastAsia="zh-CN" w:bidi="ar"/>
                      <w14:textFill>
                        <w14:solidFill>
                          <w14:schemeClr w14:val="tx1"/>
                        </w14:solidFill>
                      </w14:textFill>
                    </w:rPr>
                    <w:t>项目对应</w:t>
                  </w: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分析</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情况</w:t>
                  </w:r>
                </w:p>
              </w:tc>
              <w:tc>
                <w:tcPr>
                  <w:tcW w:w="1240" w:type="dxa"/>
                  <w:tcBorders>
                    <w:top w:val="single" w:color="auto" w:sz="12"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符合性</w:t>
                  </w:r>
                </w:p>
              </w:tc>
            </w:tr>
            <w:tr>
              <w:tblPrEx>
                <w:tblLayout w:type="fixed"/>
                <w:tblCellMar>
                  <w:top w:w="0" w:type="dxa"/>
                  <w:left w:w="0" w:type="dxa"/>
                  <w:bottom w:w="0" w:type="dxa"/>
                  <w:right w:w="0" w:type="dxa"/>
                </w:tblCellMar>
              </w:tblPrEx>
              <w:trPr>
                <w:trHeight w:val="340" w:hRule="atLeast"/>
                <w:jc w:val="center"/>
              </w:trPr>
              <w:tc>
                <w:tcPr>
                  <w:tcW w:w="20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right="105" w:rightChars="50"/>
                    <w:jc w:val="center"/>
                    <w:textAlignment w:val="auto"/>
                    <w:outlineLvl w:val="9"/>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生态保护红线</w:t>
                  </w:r>
                </w:p>
              </w:tc>
              <w:tc>
                <w:tcPr>
                  <w:tcW w:w="5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t>本项目不涉及生态保护红线范围内。</w:t>
                  </w:r>
                </w:p>
              </w:tc>
              <w:tc>
                <w:tcPr>
                  <w:tcW w:w="1240"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w:t>
                  </w:r>
                </w:p>
              </w:tc>
            </w:tr>
            <w:tr>
              <w:tblPrEx>
                <w:tblLayout w:type="fixed"/>
                <w:tblCellMar>
                  <w:top w:w="0" w:type="dxa"/>
                  <w:left w:w="0" w:type="dxa"/>
                  <w:bottom w:w="0" w:type="dxa"/>
                  <w:right w:w="0" w:type="dxa"/>
                </w:tblCellMar>
              </w:tblPrEx>
              <w:trPr>
                <w:trHeight w:val="340" w:hRule="atLeast"/>
                <w:jc w:val="center"/>
              </w:trPr>
              <w:tc>
                <w:tcPr>
                  <w:tcW w:w="2060"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right="105" w:rightChars="50"/>
                    <w:jc w:val="center"/>
                    <w:textAlignment w:val="auto"/>
                    <w:outlineLvl w:val="9"/>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环境质量底线</w:t>
                  </w:r>
                </w:p>
              </w:tc>
              <w:tc>
                <w:tcPr>
                  <w:tcW w:w="5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auto"/>
                    <w:outlineLvl w:val="9"/>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t>本项目已对照区域环境质量目标，深入分析预测项目建设对环境质量的影响，强化污染防治措施和污染物排放控制要求。</w:t>
                  </w:r>
                </w:p>
              </w:tc>
              <w:tc>
                <w:tcPr>
                  <w:tcW w:w="1240"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w:t>
                  </w:r>
                </w:p>
              </w:tc>
            </w:tr>
            <w:tr>
              <w:tblPrEx>
                <w:tblLayout w:type="fixed"/>
                <w:tblCellMar>
                  <w:top w:w="0" w:type="dxa"/>
                  <w:left w:w="0" w:type="dxa"/>
                  <w:bottom w:w="0" w:type="dxa"/>
                  <w:right w:w="0" w:type="dxa"/>
                </w:tblCellMar>
              </w:tblPrEx>
              <w:trPr>
                <w:trHeight w:val="340" w:hRule="atLeast"/>
                <w:jc w:val="center"/>
              </w:trPr>
              <w:tc>
                <w:tcPr>
                  <w:tcW w:w="2060" w:type="dxa"/>
                  <w:tcBorders>
                    <w:top w:val="single" w:color="auto" w:sz="4" w:space="0"/>
                    <w:left w:val="nil"/>
                    <w:bottom w:val="single" w:color="auto" w:sz="4" w:space="0"/>
                    <w:right w:val="single" w:color="auto" w:sz="4" w:space="0"/>
                  </w:tcBorders>
                  <w:noWrap w:val="0"/>
                  <w:vAlign w:val="center"/>
                </w:tcPr>
                <w:p>
                  <w:pPr>
                    <w:pStyle w:val="12"/>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资源利用上线</w:t>
                  </w:r>
                </w:p>
              </w:tc>
              <w:tc>
                <w:tcPr>
                  <w:tcW w:w="59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t>本项目使用的能源、水、土地等资源消耗在合理范围，</w:t>
                  </w:r>
                </w:p>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t>不涉及突破所在地资源的问题。</w:t>
                  </w:r>
                </w:p>
              </w:tc>
              <w:tc>
                <w:tcPr>
                  <w:tcW w:w="1240"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w:t>
                  </w:r>
                </w:p>
              </w:tc>
            </w:tr>
            <w:tr>
              <w:tblPrEx>
                <w:tblLayout w:type="fixed"/>
                <w:tblCellMar>
                  <w:top w:w="0" w:type="dxa"/>
                  <w:left w:w="0" w:type="dxa"/>
                  <w:bottom w:w="0" w:type="dxa"/>
                  <w:right w:w="0" w:type="dxa"/>
                </w:tblCellMar>
              </w:tblPrEx>
              <w:trPr>
                <w:trHeight w:val="340" w:hRule="atLeast"/>
                <w:jc w:val="center"/>
              </w:trPr>
              <w:tc>
                <w:tcPr>
                  <w:tcW w:w="2060" w:type="dxa"/>
                  <w:tcBorders>
                    <w:top w:val="single" w:color="auto" w:sz="4" w:space="0"/>
                    <w:left w:val="nil"/>
                    <w:bottom w:val="single" w:color="auto" w:sz="12" w:space="0"/>
                    <w:right w:val="single" w:color="auto" w:sz="4" w:space="0"/>
                  </w:tcBorders>
                  <w:noWrap w:val="0"/>
                  <w:vAlign w:val="center"/>
                </w:tcPr>
                <w:p>
                  <w:pPr>
                    <w:pStyle w:val="12"/>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环境准入负面清单</w:t>
                  </w:r>
                </w:p>
              </w:tc>
              <w:tc>
                <w:tcPr>
                  <w:tcW w:w="5922" w:type="dxa"/>
                  <w:tcBorders>
                    <w:top w:val="single" w:color="auto" w:sz="4" w:space="0"/>
                    <w:left w:val="single" w:color="auto" w:sz="4" w:space="0"/>
                    <w:bottom w:val="single" w:color="auto" w:sz="12"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t>本项目</w:t>
                  </w:r>
                  <w:r>
                    <w:rPr>
                      <w:rFonts w:hint="default" w:ascii="Times New Roman" w:hAnsi="Times New Roman" w:eastAsia="宋体" w:cs="Times New Roman"/>
                      <w:b w:val="0"/>
                      <w:bCs w:val="0"/>
                      <w:i w:val="0"/>
                      <w:snapToGrid/>
                      <w:color w:val="000000" w:themeColor="text1"/>
                      <w:kern w:val="0"/>
                      <w:sz w:val="21"/>
                      <w:szCs w:val="21"/>
                      <w:highlight w:val="none"/>
                      <w:u w:val="none"/>
                      <w:lang w:val="en-US" w:eastAsia="zh-CN" w:bidi="ar"/>
                      <w14:textFill>
                        <w14:solidFill>
                          <w14:schemeClr w14:val="tx1"/>
                        </w14:solidFill>
                      </w14:textFill>
                    </w:rPr>
                    <w:t>不涉及</w:t>
                  </w:r>
                  <w:r>
                    <w:rPr>
                      <w:rFonts w:hint="default"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t>《清远市企业投资负面清单》</w:t>
                  </w:r>
                  <w:r>
                    <w:rPr>
                      <w:rFonts w:hint="default" w:ascii="Times New Roman" w:hAnsi="Times New Roman" w:eastAsia="宋体" w:cs="Times New Roman"/>
                      <w:color w:val="000000" w:themeColor="text1"/>
                      <w:sz w:val="24"/>
                      <w:szCs w:val="24"/>
                      <w:highlight w:val="none"/>
                      <w14:textFill>
                        <w14:solidFill>
                          <w14:schemeClr w14:val="tx1"/>
                        </w14:solidFill>
                      </w14:textFill>
                    </w:rPr>
                    <w:t>（2014年09月01日实施）</w:t>
                  </w:r>
                </w:p>
              </w:tc>
              <w:tc>
                <w:tcPr>
                  <w:tcW w:w="1240" w:type="dxa"/>
                  <w:tcBorders>
                    <w:top w:val="single" w:color="auto" w:sz="4" w:space="0"/>
                    <w:left w:val="single" w:color="auto" w:sz="4" w:space="0"/>
                    <w:bottom w:val="single" w:color="auto" w:sz="12" w:space="0"/>
                    <w:right w:val="nil"/>
                  </w:tcBorders>
                  <w:noWrap w:val="0"/>
                  <w:vAlign w:val="center"/>
                </w:tcPr>
                <w:p>
                  <w:pPr>
                    <w:keepNext w:val="0"/>
                    <w:keepLines w:val="0"/>
                    <w:pageBreakBefore w:val="0"/>
                    <w:kinsoku/>
                    <w:wordWrap/>
                    <w:overflowPunct/>
                    <w:topLinePunct w:val="0"/>
                    <w:autoSpaceDE/>
                    <w:autoSpaceDN/>
                    <w:bidi w:val="0"/>
                    <w:adjustRightInd/>
                    <w:snapToGrid/>
                    <w:jc w:val="center"/>
                    <w:textAlignment w:val="auto"/>
                    <w:outlineLvl w:val="9"/>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符合</w:t>
                  </w:r>
                </w:p>
              </w:tc>
            </w:tr>
          </w:tbl>
          <w:p>
            <w:pPr>
              <w:pageBreakBefore w:val="0"/>
              <w:kinsoku/>
              <w:wordWrap/>
              <w:overflowPunct/>
              <w:topLinePunct w:val="0"/>
              <w:bidi w:val="0"/>
              <w:adjustRightInd/>
              <w:snapToGrid/>
              <w:spacing w:line="360" w:lineRule="auto"/>
              <w:ind w:firstLine="482"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综上所述，</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本项目具有环境可行性</w:t>
            </w:r>
            <w:r>
              <w:rPr>
                <w:rFonts w:hint="default" w:ascii="Times New Roman" w:hAnsi="Times New Roman" w:eastAsia="宋体" w:cs="Times New Roman"/>
                <w:bCs/>
                <w:color w:val="000000" w:themeColor="text1"/>
                <w:sz w:val="24"/>
                <w:szCs w:val="24"/>
                <w:highlight w:val="none"/>
                <w14:textFill>
                  <w14:solidFill>
                    <w14:schemeClr w14:val="tx1"/>
                  </w14:solidFill>
                </w14:textFill>
              </w:rPr>
              <w:t>。</w:t>
            </w:r>
          </w:p>
          <w:p>
            <w:pPr>
              <w:pageBreakBefore w:val="0"/>
              <w:kinsoku/>
              <w:wordWrap/>
              <w:overflowPunct/>
              <w:topLinePunct w:val="0"/>
              <w:bidi w:val="0"/>
              <w:adjustRightInd/>
              <w:snapToGrid/>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p>
          <w:p>
            <w:pPr>
              <w:pageBreakBefore w:val="0"/>
              <w:kinsoku/>
              <w:wordWrap/>
              <w:overflowPunct/>
              <w:topLinePunct w:val="0"/>
              <w:bidi w:val="0"/>
              <w:adjustRightInd/>
              <w:snapToGrid/>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p>
        </w:tc>
      </w:tr>
    </w:tbl>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r>
        <w:rPr>
          <w:rFonts w:hint="default" w:ascii="Times New Roman" w:hAnsi="Times New Roman" w:eastAsia="宋体" w:cs="Times New Roman"/>
          <w:b/>
          <w:bCs/>
          <w:color w:val="000000" w:themeColor="text1"/>
          <w:sz w:val="32"/>
          <w:szCs w:val="32"/>
          <w:highlight w:val="none"/>
          <w14:textFill>
            <w14:solidFill>
              <w14:schemeClr w14:val="tx1"/>
            </w14:solidFill>
          </w14:textFill>
        </w:rPr>
        <w:br w:type="page"/>
      </w:r>
    </w:p>
    <w:p>
      <w:pPr>
        <w:snapToGrid w:val="0"/>
        <w:spacing w:line="240" w:lineRule="atLeast"/>
        <w:outlineLvl w:val="0"/>
        <w:rPr>
          <w:rFonts w:hint="default" w:ascii="Times New Roman" w:hAnsi="Times New Roman" w:eastAsia="宋体" w:cs="Times New Roman"/>
          <w:b/>
          <w:bCs/>
          <w:color w:val="000000" w:themeColor="text1"/>
          <w:sz w:val="32"/>
          <w:szCs w:val="32"/>
          <w:highlight w:val="none"/>
          <w14:textFill>
            <w14:solidFill>
              <w14:schemeClr w14:val="tx1"/>
            </w14:solidFill>
          </w14:textFill>
        </w:rPr>
      </w:pPr>
      <w:bookmarkStart w:id="37" w:name="_Toc24941"/>
      <w:bookmarkStart w:id="38" w:name="_Toc14794"/>
      <w:r>
        <w:rPr>
          <w:rFonts w:hint="default" w:ascii="Times New Roman" w:hAnsi="Times New Roman" w:eastAsia="宋体" w:cs="Times New Roman"/>
          <w:b/>
          <w:bCs/>
          <w:color w:val="000000" w:themeColor="text1"/>
          <w:sz w:val="32"/>
          <w:szCs w:val="32"/>
          <w:highlight w:val="none"/>
          <w14:textFill>
            <w14:solidFill>
              <w14:schemeClr w14:val="tx1"/>
            </w14:solidFill>
          </w14:textFill>
        </w:rPr>
        <w:t>1</w:t>
      </w:r>
      <w:r>
        <w:rPr>
          <w:rFonts w:hint="default" w:ascii="Times New Roman" w:hAnsi="Times New Roman" w:eastAsia="宋体" w:cs="Times New Roman"/>
          <w:b/>
          <w:bCs/>
          <w:color w:val="000000" w:themeColor="text1"/>
          <w:sz w:val="32"/>
          <w:szCs w:val="32"/>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32"/>
          <w:szCs w:val="32"/>
          <w:highlight w:val="none"/>
          <w14:textFill>
            <w14:solidFill>
              <w14:schemeClr w14:val="tx1"/>
            </w14:solidFill>
          </w14:textFill>
        </w:rPr>
        <w:t>.结论与建议</w:t>
      </w:r>
      <w:bookmarkEnd w:id="37"/>
      <w:bookmarkEnd w:id="38"/>
    </w:p>
    <w:tbl>
      <w:tblPr>
        <w:tblStyle w:val="26"/>
        <w:tblW w:w="940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40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jc w:val="center"/>
        </w:trPr>
        <w:tc>
          <w:tcPr>
            <w:tcW w:w="9400" w:type="dxa"/>
          </w:tcPr>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8"/>
                <w:highlight w:val="none"/>
                <w14:textFill>
                  <w14:solidFill>
                    <w14:schemeClr w14:val="tx1"/>
                  </w14:solidFill>
                </w14:textFill>
              </w:rPr>
              <w:t>.1项目概况</w:t>
            </w:r>
          </w:p>
          <w:p>
            <w:pPr>
              <w:pStyle w:val="7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outlineLvl w:val="9"/>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本项目将外购已经精选过的</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25~50mm左右粒径的石英岩矿，先在湿砂车间通过一次破碎筛分、洗矿、二次破碎筛分、球磨、筛分、磁选、过滤（固液分离）等工序生产石英湿砂（半成品），然后湿砂车间生产的石英湿砂（半成品）进入酸洗烘干及筛分车间工序，再经过</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草酸酸洗、</w:t>
            </w:r>
            <w:r>
              <w:rPr>
                <w:rFonts w:hint="default" w:ascii="Times New Roman" w:hAnsi="Times New Roman" w:eastAsia="宋体" w:cs="Times New Roman"/>
                <w:bCs/>
                <w:color w:val="000000" w:themeColor="text1"/>
                <w:kern w:val="0"/>
                <w:sz w:val="24"/>
                <w:szCs w:val="24"/>
                <w14:textFill>
                  <w14:solidFill>
                    <w14:schemeClr w14:val="tx1"/>
                  </w14:solidFill>
                </w14:textFill>
              </w:rPr>
              <w:t>脱酸</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、水洗、</w:t>
            </w:r>
            <w:r>
              <w:rPr>
                <w:rFonts w:hint="default" w:ascii="Times New Roman" w:hAnsi="Times New Roman" w:eastAsia="宋体" w:cs="Times New Roman"/>
                <w:bCs/>
                <w:color w:val="000000" w:themeColor="text1"/>
                <w:kern w:val="0"/>
                <w:sz w:val="24"/>
                <w:szCs w:val="24"/>
                <w14:textFill>
                  <w14:solidFill>
                    <w14:schemeClr w14:val="tx1"/>
                  </w14:solidFill>
                </w14:textFill>
              </w:rPr>
              <w:t>烘干</w:t>
            </w:r>
            <w:r>
              <w:rPr>
                <w:rFonts w:hint="default" w:ascii="Times New Roman" w:hAnsi="Times New Roman" w:eastAsia="宋体" w:cs="Times New Roman"/>
                <w:bCs/>
                <w:color w:val="000000" w:themeColor="text1"/>
                <w:kern w:val="0"/>
                <w:sz w:val="24"/>
                <w:szCs w:val="24"/>
                <w:lang w:eastAsia="zh-CN"/>
                <w14:textFill>
                  <w14:solidFill>
                    <w14:schemeClr w14:val="tx1"/>
                  </w14:solidFill>
                </w14:textFill>
              </w:rPr>
              <w:t>、除铁、色选、筛分、包装等生产工序</w:t>
            </w:r>
            <w:r>
              <w:rPr>
                <w:rFonts w:hint="default" w:ascii="Times New Roman" w:hAnsi="Times New Roman" w:eastAsia="宋体" w:cs="Times New Roman"/>
                <w:bCs/>
                <w:color w:val="000000" w:themeColor="text1"/>
                <w:kern w:val="0"/>
                <w:sz w:val="24"/>
                <w:szCs w:val="24"/>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年产</w:t>
            </w:r>
            <w:r>
              <w:rPr>
                <w:rFonts w:hint="default" w:ascii="Times New Roman" w:hAnsi="Times New Roman" w:eastAsia="宋体" w:cs="Times New Roman"/>
                <w:bCs/>
                <w:color w:val="000000" w:themeColor="text1"/>
                <w:sz w:val="24"/>
                <w:szCs w:val="24"/>
                <w14:textFill>
                  <w14:solidFill>
                    <w14:schemeClr w14:val="tx1"/>
                  </w14:solidFill>
                </w14:textFill>
              </w:rPr>
              <w:t>60000万吨</w:t>
            </w:r>
            <w:r>
              <w:rPr>
                <w:rFonts w:hint="default" w:ascii="Times New Roman" w:hAnsi="Times New Roman" w:eastAsia="宋体" w:cs="Times New Roman"/>
                <w:bCs/>
                <w:color w:val="000000" w:themeColor="text1"/>
                <w:sz w:val="24"/>
                <w:szCs w:val="24"/>
                <w:lang w:eastAsia="zh-CN"/>
                <w14:textFill>
                  <w14:solidFill>
                    <w14:schemeClr w14:val="tx1"/>
                  </w14:solidFill>
                </w14:textFill>
              </w:rPr>
              <w:t>目数为</w:t>
            </w:r>
            <w:r>
              <w:rPr>
                <w:rFonts w:hint="default" w:ascii="Times New Roman" w:hAnsi="Times New Roman" w:eastAsia="宋体" w:cs="Times New Roman"/>
                <w:bCs/>
                <w:color w:val="000000" w:themeColor="text1"/>
                <w:sz w:val="24"/>
                <w:szCs w:val="24"/>
                <w14:textFill>
                  <w14:solidFill>
                    <w14:schemeClr w14:val="tx1"/>
                  </w14:solidFill>
                </w14:textFill>
              </w:rPr>
              <w:t>2</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Cs/>
                <w:color w:val="000000" w:themeColor="text1"/>
                <w:sz w:val="24"/>
                <w:szCs w:val="24"/>
                <w14:textFill>
                  <w14:solidFill>
                    <w14:schemeClr w14:val="tx1"/>
                  </w14:solidFill>
                </w14:textFill>
              </w:rPr>
              <w:t>-1</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w:t>
            </w:r>
            <w:r>
              <w:rPr>
                <w:rFonts w:hint="default" w:ascii="Times New Roman" w:hAnsi="Times New Roman" w:eastAsia="宋体" w:cs="Times New Roman"/>
                <w:bCs/>
                <w:color w:val="000000" w:themeColor="text1"/>
                <w:sz w:val="24"/>
                <w:szCs w:val="24"/>
                <w14:textFill>
                  <w14:solidFill>
                    <w14:schemeClr w14:val="tx1"/>
                  </w14:solidFill>
                </w14:textFill>
              </w:rPr>
              <w:t>0目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0.15~0.71mm</w:t>
            </w:r>
            <w:r>
              <w:rPr>
                <w:rFonts w:hint="default" w:ascii="Times New Roman" w:hAnsi="Times New Roman" w:eastAsia="宋体" w:cs="Times New Roman"/>
                <w:bCs/>
                <w:color w:val="000000" w:themeColor="text1"/>
                <w:sz w:val="24"/>
                <w:szCs w:val="24"/>
                <w:lang w:eastAsia="zh-CN"/>
                <w14:textFill>
                  <w14:solidFill>
                    <w14:schemeClr w14:val="tx1"/>
                  </w14:solidFill>
                </w14:textFill>
              </w:rPr>
              <w:t>）的</w:t>
            </w:r>
            <w:r>
              <w:rPr>
                <w:rFonts w:hint="default" w:ascii="Times New Roman" w:hAnsi="Times New Roman" w:eastAsia="宋体" w:cs="Times New Roman"/>
                <w:bCs/>
                <w:color w:val="000000" w:themeColor="text1"/>
                <w:sz w:val="24"/>
                <w:szCs w:val="24"/>
                <w14:textFill>
                  <w14:solidFill>
                    <w14:schemeClr w14:val="tx1"/>
                  </w14:solidFill>
                </w14:textFill>
              </w:rPr>
              <w:t>石英</w:t>
            </w:r>
            <w:r>
              <w:rPr>
                <w:rFonts w:hint="default" w:ascii="Times New Roman" w:hAnsi="Times New Roman" w:eastAsia="宋体" w:cs="Times New Roman"/>
                <w:bCs/>
                <w:color w:val="000000" w:themeColor="text1"/>
                <w:sz w:val="24"/>
                <w:szCs w:val="24"/>
                <w:lang w:eastAsia="zh-CN"/>
                <w14:textFill>
                  <w14:solidFill>
                    <w14:schemeClr w14:val="tx1"/>
                  </w14:solidFill>
                </w14:textFill>
              </w:rPr>
              <w:t>精</w:t>
            </w:r>
            <w:r>
              <w:rPr>
                <w:rFonts w:hint="default" w:ascii="Times New Roman" w:hAnsi="Times New Roman" w:eastAsia="宋体" w:cs="Times New Roman"/>
                <w:bCs/>
                <w:color w:val="000000" w:themeColor="text1"/>
                <w:sz w:val="24"/>
                <w:szCs w:val="24"/>
                <w14:textFill>
                  <w14:solidFill>
                    <w14:schemeClr w14:val="tx1"/>
                  </w14:solidFill>
                </w14:textFill>
              </w:rPr>
              <w:t>砂</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。本项目</w:t>
            </w:r>
            <w:r>
              <w:rPr>
                <w:rFonts w:hint="default" w:ascii="Times New Roman" w:hAnsi="Times New Roman" w:eastAsia="宋体" w:cs="Times New Roman"/>
                <w:bCs/>
                <w:color w:val="000000" w:themeColor="text1"/>
                <w:sz w:val="24"/>
                <w:szCs w:val="24"/>
                <w14:textFill>
                  <w14:solidFill>
                    <w14:schemeClr w14:val="tx1"/>
                  </w14:solidFill>
                </w14:textFill>
              </w:rPr>
              <w:t>投资</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szCs w:val="24"/>
                <w14:textFill>
                  <w14:solidFill>
                    <w14:schemeClr w14:val="tx1"/>
                  </w14:solidFill>
                </w14:textFill>
              </w:rPr>
              <w:t>00万</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aps w:val="0"/>
                <w:smallCaps w:val="0"/>
                <w:color w:val="000000" w:themeColor="text1"/>
                <w:sz w:val="24"/>
                <w:szCs w:val="24"/>
                <w:u w:val="none"/>
                <w:lang w:val="en-US" w:eastAsia="zh-CN"/>
                <w14:textFill>
                  <w14:solidFill>
                    <w14:schemeClr w14:val="tx1"/>
                  </w14:solidFill>
                </w14:textFill>
              </w:rPr>
              <w:t>劳动定员20人，</w:t>
            </w:r>
            <w:r>
              <w:rPr>
                <w:rFonts w:hint="default" w:ascii="Times New Roman" w:hAnsi="Times New Roman" w:eastAsia="宋体" w:cs="Times New Roman"/>
                <w:color w:val="000000" w:themeColor="text1"/>
                <w:sz w:val="24"/>
                <w14:textFill>
                  <w14:solidFill>
                    <w14:schemeClr w14:val="tx1"/>
                  </w14:solidFill>
                </w14:textFill>
              </w:rPr>
              <w:t>占地面积</w:t>
            </w:r>
            <w:r>
              <w:rPr>
                <w:rFonts w:hint="eastAsia" w:ascii="Times New Roman" w:hAnsi="Times New Roman" w:eastAsia="宋体"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lang w:val="en-US" w:eastAsia="zh-CN"/>
                <w14:textFill>
                  <w14:solidFill>
                    <w14:schemeClr w14:val="tx1"/>
                  </w14:solidFill>
                </w14:textFill>
              </w:rPr>
              <w:t>000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，建筑面积</w:t>
            </w:r>
            <w:r>
              <w:rPr>
                <w:rFonts w:hint="eastAsia" w:ascii="Times New Roman" w:hAnsi="Times New Roman" w:eastAsia="宋体"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lang w:val="en-US" w:eastAsia="zh-CN"/>
                <w14:textFill>
                  <w14:solidFill>
                    <w14:schemeClr w14:val="tx1"/>
                  </w14:solidFill>
                </w14:textFill>
              </w:rPr>
              <w:t>55</w:t>
            </w:r>
            <w:r>
              <w:rPr>
                <w:rFonts w:hint="default" w:ascii="Times New Roman" w:hAnsi="Times New Roman" w:eastAsia="宋体" w:cs="Times New Roman"/>
                <w:color w:val="000000" w:themeColor="text1"/>
                <w:sz w:val="24"/>
                <w14:textFill>
                  <w14:solidFill>
                    <w14:schemeClr w14:val="tx1"/>
                  </w14:solidFill>
                </w14:textFill>
              </w:rPr>
              <w:t>0m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pacing w:val="0"/>
                <w:position w:val="0"/>
                <w:sz w:val="24"/>
                <w:szCs w:val="24"/>
                <w:highlight w:val="none"/>
                <w:lang w:eastAsia="zh-CN"/>
                <w14:textFill>
                  <w14:solidFill>
                    <w14:schemeClr w14:val="tx1"/>
                  </w14:solidFill>
                </w14:textFill>
              </w:rPr>
              <w:t>。</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8"/>
                <w:highlight w:val="none"/>
                <w14:textFill>
                  <w14:solidFill>
                    <w14:schemeClr w14:val="tx1"/>
                  </w14:solidFill>
                </w14:textFill>
              </w:rPr>
              <w:t>.2环境质量现状分析结论</w:t>
            </w:r>
          </w:p>
          <w:p>
            <w:pPr>
              <w:spacing w:line="360" w:lineRule="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1</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highlight w:val="none"/>
                <w14:textFill>
                  <w14:solidFill>
                    <w14:schemeClr w14:val="tx1"/>
                  </w14:solidFill>
                </w14:textFill>
              </w:rPr>
              <w:t>.2.1环境空气质量现状结论</w:t>
            </w:r>
          </w:p>
          <w:p>
            <w:pPr>
              <w:spacing w:line="360" w:lineRule="auto"/>
              <w:ind w:firstLine="480" w:firstLineChars="200"/>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引用的</w:t>
            </w:r>
            <w:r>
              <w:rPr>
                <w:rFonts w:hint="default" w:ascii="Times New Roman" w:hAnsi="Times New Roman" w:eastAsia="宋体" w:cs="Times New Roman"/>
                <w:color w:val="000000" w:themeColor="text1"/>
                <w:sz w:val="24"/>
                <w:highlight w:val="none"/>
                <w14:textFill>
                  <w14:solidFill>
                    <w14:schemeClr w14:val="tx1"/>
                  </w14:solidFill>
                </w14:textFill>
              </w:rPr>
              <w:t>检测结果表明，项目评价区域</w:t>
            </w:r>
            <w:r>
              <w:rPr>
                <w:rFonts w:hint="default" w:ascii="Times New Roman" w:hAnsi="Times New Roman" w:eastAsia="宋体" w:cs="Times New Roman"/>
                <w:color w:val="000000" w:themeColor="text1"/>
                <w:kern w:val="0"/>
                <w:sz w:val="24"/>
                <w:highlight w:val="none"/>
                <w14:textFill>
                  <w14:solidFill>
                    <w14:schemeClr w14:val="tx1"/>
                  </w14:solidFill>
                </w14:textFill>
              </w:rPr>
              <w:t>内的空气环境</w:t>
            </w:r>
            <w:r>
              <w:rPr>
                <w:rFonts w:hint="default" w:ascii="Times New Roman" w:hAnsi="Times New Roman" w:eastAsia="宋体" w:cs="Times New Roman"/>
                <w:color w:val="000000" w:themeColor="text1"/>
                <w:sz w:val="24"/>
                <w:highlight w:val="none"/>
                <w14:textFill>
                  <w14:solidFill>
                    <w14:schemeClr w14:val="tx1"/>
                  </w14:solidFill>
                </w14:textFill>
              </w:rPr>
              <w:t>污染物</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SO</w:t>
            </w:r>
            <w:r>
              <w:rPr>
                <w:rFonts w:hint="default" w:ascii="Times New Roman" w:hAnsi="Times New Roman" w:eastAsia="宋体" w:cs="Times New Roman"/>
                <w:bCs/>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、NO</w:t>
            </w:r>
            <w:r>
              <w:rPr>
                <w:rFonts w:hint="default" w:ascii="Times New Roman" w:hAnsi="Times New Roman" w:eastAsia="宋体" w:cs="Times New Roman"/>
                <w:bCs/>
                <w:color w:val="000000" w:themeColor="text1"/>
                <w:kern w:val="0"/>
                <w:sz w:val="24"/>
                <w:szCs w:val="24"/>
                <w:highlight w:val="none"/>
                <w:vertAlign w:val="subscript"/>
                <w14:textFill>
                  <w14:solidFill>
                    <w14:schemeClr w14:val="tx1"/>
                  </w14:solidFill>
                </w14:textFill>
              </w:rPr>
              <w:t>2</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Cs/>
                <w:color w:val="000000" w:themeColor="text1"/>
                <w:kern w:val="0"/>
                <w:sz w:val="24"/>
                <w:szCs w:val="24"/>
                <w:highlight w:val="none"/>
                <w:vertAlign w:val="subscript"/>
                <w14:textFill>
                  <w14:solidFill>
                    <w14:schemeClr w14:val="tx1"/>
                  </w14:solidFill>
                </w14:textFill>
              </w:rPr>
              <w:t>10</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、PM</w:t>
            </w:r>
            <w:r>
              <w:rPr>
                <w:rFonts w:hint="default" w:ascii="Times New Roman" w:hAnsi="Times New Roman" w:eastAsia="宋体" w:cs="Times New Roman"/>
                <w:bCs/>
                <w:color w:val="000000" w:themeColor="text1"/>
                <w:kern w:val="0"/>
                <w:sz w:val="24"/>
                <w:szCs w:val="24"/>
                <w:highlight w:val="none"/>
                <w:vertAlign w:val="subscript"/>
                <w:lang w:val="en-US" w:eastAsia="zh-CN"/>
                <w14:textFill>
                  <w14:solidFill>
                    <w14:schemeClr w14:val="tx1"/>
                  </w14:solidFill>
                </w14:textFill>
              </w:rPr>
              <w:t>2.5</w:t>
            </w:r>
            <w:r>
              <w:rPr>
                <w:rFonts w:hint="default" w:ascii="Times New Roman" w:hAnsi="Times New Roman" w:eastAsia="宋体" w:cs="Times New Roman"/>
                <w:bCs/>
                <w:color w:val="000000" w:themeColor="text1"/>
                <w:kern w:val="0"/>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kern w:val="0"/>
                <w:sz w:val="24"/>
                <w:szCs w:val="24"/>
                <w:highlight w:val="none"/>
                <w:lang w:val="en-US" w:eastAsia="zh-CN"/>
                <w14:textFill>
                  <w14:solidFill>
                    <w14:schemeClr w14:val="tx1"/>
                  </w14:solidFill>
                </w14:textFill>
              </w:rPr>
              <w:t>CO、O</w:t>
            </w:r>
            <w:r>
              <w:rPr>
                <w:rFonts w:hint="default" w:ascii="Times New Roman" w:hAnsi="Times New Roman" w:eastAsia="宋体" w:cs="Times New Roman"/>
                <w:bCs/>
                <w:color w:val="000000" w:themeColor="text1"/>
                <w:kern w:val="0"/>
                <w:sz w:val="24"/>
                <w:szCs w:val="24"/>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14:textFill>
                  <w14:solidFill>
                    <w14:schemeClr w14:val="tx1"/>
                  </w14:solidFill>
                </w14:textFill>
              </w:rPr>
              <w:t>均符合《环境空</w:t>
            </w:r>
            <w:r>
              <w:rPr>
                <w:rFonts w:hint="default" w:ascii="Times New Roman" w:hAnsi="Times New Roman" w:eastAsia="宋体" w:cs="Times New Roman"/>
                <w:color w:val="000000" w:themeColor="text1"/>
                <w:sz w:val="24"/>
                <w:highlight w:val="none"/>
                <w14:textFill>
                  <w14:solidFill>
                    <w14:schemeClr w14:val="tx1"/>
                  </w14:solidFill>
                </w14:textFill>
              </w:rPr>
              <w:t>气质量标准》（GB3095-2012）二级标准的要求，说明建设项目评价区域内的空气环境质量良好。</w:t>
            </w:r>
          </w:p>
          <w:p>
            <w:pPr>
              <w:spacing w:line="360" w:lineRule="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1</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highlight w:val="none"/>
                <w14:textFill>
                  <w14:solidFill>
                    <w14:schemeClr w14:val="tx1"/>
                  </w14:solidFill>
                </w14:textFill>
              </w:rPr>
              <w:t>.2.2水环境质量现状结论</w:t>
            </w:r>
          </w:p>
          <w:p>
            <w:pPr>
              <w:tabs>
                <w:tab w:val="left" w:pos="1770"/>
              </w:tabs>
              <w:spacing w:line="360" w:lineRule="auto"/>
              <w:ind w:firstLine="480" w:firstLineChars="200"/>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lang w:eastAsia="zh-CN"/>
                <w14:textFill>
                  <w14:solidFill>
                    <w14:schemeClr w14:val="tx1"/>
                  </w14:solidFill>
                </w14:textFill>
              </w:rPr>
              <w:t>引用的检测</w:t>
            </w:r>
            <w:r>
              <w:rPr>
                <w:rFonts w:hint="default" w:ascii="Times New Roman" w:hAnsi="Times New Roman" w:eastAsia="宋体" w:cs="Times New Roman"/>
                <w:bCs/>
                <w:color w:val="000000" w:themeColor="text1"/>
                <w:sz w:val="24"/>
                <w:highlight w:val="none"/>
                <w14:textFill>
                  <w14:solidFill>
                    <w14:schemeClr w14:val="tx1"/>
                  </w14:solidFill>
                </w14:textFill>
              </w:rPr>
              <w:t>结果表明，</w:t>
            </w:r>
            <w:r>
              <w:rPr>
                <w:rFonts w:hint="default" w:ascii="Times New Roman" w:hAnsi="Times New Roman" w:eastAsia="宋体" w:cs="Times New Roman"/>
                <w:snapToGrid w:val="0"/>
                <w:color w:val="000000" w:themeColor="text1"/>
                <w:kern w:val="0"/>
                <w:sz w:val="24"/>
                <w:szCs w:val="20"/>
                <w14:textFill>
                  <w14:solidFill>
                    <w14:schemeClr w14:val="tx1"/>
                  </w14:solidFill>
                </w14:textFill>
              </w:rPr>
              <w:t>潖江（佛冈县城湖滨至北江与浰江交汇处河段）监测断面的各个监测项目的浓度值均符合《地表水环境质量标准》（GB3838-2002）Ⅲ类标准，无超标情况出现，表明项目附近的地表水水质现状较好，能满足相应水环境功能区划要求</w:t>
            </w:r>
            <w:r>
              <w:rPr>
                <w:rFonts w:hint="default" w:ascii="Times New Roman" w:hAnsi="Times New Roman" w:eastAsia="宋体" w:cs="Times New Roman"/>
                <w:bCs/>
                <w:color w:val="000000" w:themeColor="text1"/>
                <w:kern w:val="24"/>
                <w:sz w:val="24"/>
                <w:szCs w:val="24"/>
                <w:highlight w:val="none"/>
                <w14:textFill>
                  <w14:solidFill>
                    <w14:schemeClr w14:val="tx1"/>
                  </w14:solidFill>
                </w14:textFill>
              </w:rPr>
              <w:t>。</w:t>
            </w:r>
          </w:p>
          <w:p>
            <w:pPr>
              <w:spacing w:line="360" w:lineRule="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1</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highlight w:val="none"/>
                <w14:textFill>
                  <w14:solidFill>
                    <w14:schemeClr w14:val="tx1"/>
                  </w14:solidFill>
                </w14:textFill>
              </w:rPr>
              <w:t>.2.3声环境质量现状结论</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本项目现状</w:t>
            </w:r>
            <w:r>
              <w:rPr>
                <w:rFonts w:hint="default" w:ascii="Times New Roman" w:hAnsi="Times New Roman" w:eastAsia="宋体" w:cs="Times New Roman"/>
                <w:color w:val="000000" w:themeColor="text1"/>
                <w:sz w:val="24"/>
                <w:highlight w:val="none"/>
                <w14:textFill>
                  <w14:solidFill>
                    <w14:schemeClr w14:val="tx1"/>
                  </w14:solidFill>
                </w14:textFill>
              </w:rPr>
              <w:t>检测结果表明，厂界检测点噪声值均达到《声环境质量标准》（GB3096-2008）</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类标准（昼间≤6</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dB(A)，夜间≤5</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dB(A)）的要求，</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说</w:t>
            </w:r>
            <w:r>
              <w:rPr>
                <w:rFonts w:hint="default" w:ascii="Times New Roman" w:hAnsi="Times New Roman" w:eastAsia="宋体" w:cs="Times New Roman"/>
                <w:color w:val="000000" w:themeColor="text1"/>
                <w:sz w:val="24"/>
                <w:highlight w:val="none"/>
                <w14:textFill>
                  <w14:solidFill>
                    <w14:schemeClr w14:val="tx1"/>
                  </w14:solidFill>
                </w14:textFill>
              </w:rPr>
              <w:t>明项目所在地声环境质量良好。</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8"/>
                <w:highlight w:val="none"/>
                <w14:textFill>
                  <w14:solidFill>
                    <w14:schemeClr w14:val="tx1"/>
                  </w14:solidFill>
                </w14:textFill>
              </w:rPr>
              <w:t>.3施工期环境影响评价结论</w:t>
            </w:r>
          </w:p>
          <w:p>
            <w:pPr>
              <w:pStyle w:val="79"/>
              <w:snapToGrid/>
              <w:spacing w:before="0" w:beforeAutospacing="0"/>
              <w:ind w:firstLine="480" w:firstLineChars="200"/>
              <w:rPr>
                <w:rFonts w:hint="default" w:ascii="Times New Roman" w:hAnsi="Times New Roman" w:eastAsia="宋体" w:cs="Times New Roman"/>
                <w:b w:val="0"/>
                <w:bCs w:val="0"/>
                <w:color w:val="000000" w:themeColor="text1"/>
                <w:szCs w:val="20"/>
                <w:highlight w:val="none"/>
                <w14:textFill>
                  <w14:solidFill>
                    <w14:schemeClr w14:val="tx1"/>
                  </w14:solidFill>
                </w14:textFill>
              </w:rPr>
            </w:pPr>
            <w:r>
              <w:rPr>
                <w:rFonts w:hint="default" w:ascii="Times New Roman" w:hAnsi="Times New Roman" w:eastAsia="宋体" w:cs="Times New Roman"/>
                <w:b w:val="0"/>
                <w:bCs w:val="0"/>
                <w:color w:val="000000" w:themeColor="text1"/>
                <w:szCs w:val="20"/>
                <w:highlight w:val="none"/>
                <w14:textFill>
                  <w14:solidFill>
                    <w14:schemeClr w14:val="tx1"/>
                  </w14:solidFill>
                </w14:textFill>
              </w:rPr>
              <w:t>本项目</w:t>
            </w:r>
            <w:r>
              <w:rPr>
                <w:rFonts w:hint="default" w:ascii="Times New Roman" w:hAnsi="Times New Roman" w:eastAsia="宋体" w:cs="Times New Roman"/>
                <w:b w:val="0"/>
                <w:bCs w:val="0"/>
                <w:color w:val="000000" w:themeColor="text1"/>
                <w:szCs w:val="20"/>
                <w:highlight w:val="none"/>
                <w:lang w:eastAsia="zh-CN"/>
                <w14:textFill>
                  <w14:solidFill>
                    <w14:schemeClr w14:val="tx1"/>
                  </w14:solidFill>
                </w14:textFill>
              </w:rPr>
              <w:t>直接在佛冈县汤塘镇三门管理区下围队原三门再生纸厂</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现状厂房进行变动</w:t>
            </w:r>
            <w:r>
              <w:rPr>
                <w:rFonts w:hint="default" w:ascii="Times New Roman" w:hAnsi="Times New Roman" w:eastAsia="宋体" w:cs="Times New Roman"/>
                <w:b w:val="0"/>
                <w:bCs w:val="0"/>
                <w:color w:val="000000" w:themeColor="text1"/>
                <w:szCs w:val="20"/>
                <w:highlight w:val="none"/>
                <w14:textFill>
                  <w14:solidFill>
                    <w14:schemeClr w14:val="tx1"/>
                  </w14:solidFill>
                </w14:textFill>
              </w:rPr>
              <w:t>，</w:t>
            </w:r>
            <w:r>
              <w:rPr>
                <w:rFonts w:hint="default" w:ascii="Times New Roman" w:hAnsi="Times New Roman" w:eastAsia="宋体" w:cs="Times New Roman"/>
                <w:b w:val="0"/>
                <w:bCs/>
                <w:color w:val="000000" w:themeColor="text1"/>
                <w:spacing w:val="6"/>
                <w:highlight w:val="none"/>
                <w:lang w:val="en-US" w:eastAsia="zh-CN"/>
                <w14:textFill>
                  <w14:solidFill>
                    <w14:schemeClr w14:val="tx1"/>
                  </w14:solidFill>
                </w14:textFill>
              </w:rPr>
              <w:t>本次变动不新增永久性钢筋混凝土建筑物，</w:t>
            </w:r>
            <w:r>
              <w:rPr>
                <w:rFonts w:hint="default" w:ascii="Times New Roman" w:hAnsi="Times New Roman" w:eastAsia="宋体" w:cs="Times New Roman"/>
                <w:b w:val="0"/>
                <w:bCs w:val="0"/>
                <w:color w:val="000000" w:themeColor="text1"/>
                <w:szCs w:val="20"/>
                <w:highlight w:val="none"/>
                <w14:textFill>
                  <w14:solidFill>
                    <w14:schemeClr w14:val="tx1"/>
                  </w14:solidFill>
                </w14:textFill>
              </w:rPr>
              <w:t>无基建施工活动，</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施工期</w:t>
            </w:r>
            <w:r>
              <w:rPr>
                <w:rFonts w:hint="default" w:ascii="Times New Roman" w:hAnsi="Times New Roman" w:eastAsia="宋体" w:cs="Times New Roman"/>
                <w:b w:val="0"/>
                <w:bCs w:val="0"/>
                <w:color w:val="000000" w:themeColor="text1"/>
                <w:highlight w:val="none"/>
                <w14:textFill>
                  <w14:solidFill>
                    <w14:schemeClr w14:val="tx1"/>
                  </w14:solidFill>
                </w14:textFill>
              </w:rPr>
              <w:t>进行</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装修、</w:t>
            </w:r>
            <w:r>
              <w:rPr>
                <w:rFonts w:hint="default" w:ascii="Times New Roman" w:hAnsi="Times New Roman" w:eastAsia="宋体" w:cs="Times New Roman"/>
                <w:b w:val="0"/>
                <w:bCs w:val="0"/>
                <w:color w:val="000000" w:themeColor="text1"/>
                <w:highlight w:val="none"/>
                <w14:textFill>
                  <w14:solidFill>
                    <w14:schemeClr w14:val="tx1"/>
                  </w14:solidFill>
                </w14:textFill>
              </w:rPr>
              <w:t>设备的安装</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即可</w:t>
            </w:r>
            <w:r>
              <w:rPr>
                <w:rFonts w:hint="default" w:ascii="Times New Roman" w:hAnsi="Times New Roman" w:eastAsia="宋体" w:cs="Times New Roman"/>
                <w:b w:val="0"/>
                <w:bCs w:val="0"/>
                <w:color w:val="000000" w:themeColor="text1"/>
                <w:highlight w:val="none"/>
                <w14:textFill>
                  <w14:solidFill>
                    <w14:schemeClr w14:val="tx1"/>
                  </w14:solidFill>
                </w14:textFill>
              </w:rPr>
              <w:t>，其环境影响（如噪声）很小，</w:t>
            </w:r>
            <w:r>
              <w:rPr>
                <w:rFonts w:hint="default" w:ascii="Times New Roman" w:hAnsi="Times New Roman" w:eastAsia="宋体" w:cs="Times New Roman"/>
                <w:b w:val="0"/>
                <w:bCs w:val="0"/>
                <w:color w:val="000000" w:themeColor="text1"/>
                <w:szCs w:val="20"/>
                <w:highlight w:val="none"/>
                <w14:textFill>
                  <w14:solidFill>
                    <w14:schemeClr w14:val="tx1"/>
                  </w14:solidFill>
                </w14:textFill>
              </w:rPr>
              <w:t>因此施工期对周围环境的影响</w:t>
            </w:r>
            <w:r>
              <w:rPr>
                <w:rFonts w:hint="default" w:ascii="Times New Roman" w:hAnsi="Times New Roman" w:eastAsia="宋体" w:cs="Times New Roman"/>
                <w:b w:val="0"/>
                <w:bCs w:val="0"/>
                <w:color w:val="000000" w:themeColor="text1"/>
                <w:szCs w:val="20"/>
                <w:highlight w:val="none"/>
                <w:lang w:eastAsia="zh-CN"/>
                <w14:textFill>
                  <w14:solidFill>
                    <w14:schemeClr w14:val="tx1"/>
                  </w14:solidFill>
                </w14:textFill>
              </w:rPr>
              <w:t>很小</w:t>
            </w:r>
            <w:r>
              <w:rPr>
                <w:rFonts w:hint="default" w:ascii="Times New Roman" w:hAnsi="Times New Roman" w:eastAsia="宋体" w:cs="Times New Roman"/>
                <w:b w:val="0"/>
                <w:bCs w:val="0"/>
                <w:color w:val="000000" w:themeColor="text1"/>
                <w:szCs w:val="20"/>
                <w:highlight w:val="none"/>
                <w14:textFill>
                  <w14:solidFill>
                    <w14:schemeClr w14:val="tx1"/>
                  </w14:solidFill>
                </w14:textFill>
              </w:rPr>
              <w:t>。</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8"/>
                <w:highlight w:val="none"/>
                <w14:textFill>
                  <w14:solidFill>
                    <w14:schemeClr w14:val="tx1"/>
                  </w14:solidFill>
                </w14:textFill>
              </w:rPr>
              <w:t>.4环境影响评价结论</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1</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highlight w:val="none"/>
                <w14:textFill>
                  <w14:solidFill>
                    <w14:schemeClr w14:val="tx1"/>
                  </w14:solidFill>
                </w14:textFill>
              </w:rPr>
              <w:t>.4.1 大气环境影响分析结论</w:t>
            </w:r>
          </w:p>
          <w:p>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运营期，本项目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烘干筛分粉尘、热水炉燃烧废气、烘干炉燃烧废气收集经过“旋风除尘+麻石水膜除尘”处理后通过1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根15m</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高排气筒（</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1#排气筒</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）高空排放，符合《</w:t>
            </w:r>
            <w:r>
              <w:rPr>
                <w:rFonts w:hint="default" w:ascii="Times New Roman" w:hAnsi="Times New Roman" w:eastAsia="宋体" w:cs="Times New Roman"/>
                <w:color w:val="000000" w:themeColor="text1"/>
                <w:sz w:val="24"/>
                <w:lang w:val="en-US" w:eastAsia="zh-CN"/>
                <w14:textFill>
                  <w14:solidFill>
                    <w14:schemeClr w14:val="tx1"/>
                  </w14:solidFill>
                </w14:textFill>
              </w:rPr>
              <w:t>项目天然气热水炉执行广东省地方环境标准《锅炉大气污染物排放标准》（DB 44/765-2019）中表2 新建锅炉大气污染物排放浓度限值燃气锅炉标准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要求；项目无组织</w:t>
            </w:r>
            <w:r>
              <w:rPr>
                <w:rFonts w:hint="default" w:ascii="Times New Roman" w:hAnsi="Times New Roman" w:eastAsia="宋体" w:cs="Times New Roman"/>
                <w:color w:val="000000" w:themeColor="text1"/>
                <w:sz w:val="24"/>
                <w:lang w:val="en-US" w:eastAsia="zh-CN"/>
                <w14:textFill>
                  <w14:solidFill>
                    <w14:schemeClr w14:val="tx1"/>
                  </w14:solidFill>
                </w14:textFill>
              </w:rPr>
              <w:t>粉尘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产生的颗粒物极少，</w:t>
            </w:r>
            <w:r>
              <w:rPr>
                <w:rFonts w:hint="default" w:ascii="Times New Roman" w:hAnsi="Times New Roman" w:eastAsia="宋体" w:cs="Times New Roman"/>
                <w:color w:val="000000" w:themeColor="text1"/>
                <w:sz w:val="24"/>
                <w:lang w:val="en-US" w:eastAsia="zh-CN"/>
                <w14:textFill>
                  <w14:solidFill>
                    <w14:schemeClr w14:val="tx1"/>
                  </w14:solidFill>
                </w14:textFill>
              </w:rPr>
              <w:t>满足广东省《大气污染物排放标准》（DB44/27-2001）第二时段二级标准无组织排放监控浓度限值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，经预测分析，本项目排放的大气污染物对周围环境空气质量影响很小，本项目</w:t>
            </w:r>
            <w:r>
              <w:rPr>
                <w:rFonts w:hint="default" w:ascii="Times New Roman" w:hAnsi="Times New Roman" w:eastAsia="宋体" w:cs="Times New Roman"/>
                <w:color w:val="000000" w:themeColor="text1"/>
                <w:sz w:val="24"/>
                <w:szCs w:val="24"/>
                <w:highlight w:val="none"/>
                <w14:textFill>
                  <w14:solidFill>
                    <w14:schemeClr w14:val="tx1"/>
                  </w14:solidFill>
                </w14:textFill>
              </w:rPr>
              <w:t>无需要设置大气防护距离。</w:t>
            </w:r>
          </w:p>
          <w:p>
            <w:pPr>
              <w:spacing w:line="360" w:lineRule="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1</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highlight w:val="none"/>
                <w14:textFill>
                  <w14:solidFill>
                    <w14:schemeClr w14:val="tx1"/>
                  </w14:solidFill>
                </w14:textFill>
              </w:rPr>
              <w:t>.4.2水环境影响分析结论</w:t>
            </w:r>
          </w:p>
          <w:p>
            <w:pPr>
              <w:spacing w:line="360" w:lineRule="auto"/>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本项目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生活污水通过厂区污水管网进入</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一体化生活污水处理设施</w:t>
            </w:r>
            <w:r>
              <w:rPr>
                <w:rFonts w:hint="default" w:ascii="Times New Roman" w:hAnsi="Times New Roman" w:eastAsia="宋体" w:cs="Times New Roman"/>
                <w:color w:val="000000" w:themeColor="text1"/>
                <w:sz w:val="24"/>
                <w:szCs w:val="24"/>
                <w:highlight w:val="none"/>
                <w14:textFill>
                  <w14:solidFill>
                    <w14:schemeClr w14:val="tx1"/>
                  </w14:solidFill>
                </w14:textFill>
              </w:rPr>
              <w:t>处理达到广东省《水污染物排放限值》(DB44/26-2001)第二时段一级标准后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排入潖江（III类水），项目生产废水经过</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生产废水处理设施</w:t>
            </w:r>
            <w:r>
              <w:rPr>
                <w:rFonts w:hint="default" w:ascii="Times New Roman" w:hAnsi="Times New Roman" w:eastAsia="宋体" w:cs="Times New Roman"/>
                <w:color w:val="000000" w:themeColor="text1"/>
                <w:sz w:val="24"/>
                <w:szCs w:val="24"/>
                <w:highlight w:val="none"/>
                <w14:textFill>
                  <w14:solidFill>
                    <w14:schemeClr w14:val="tx1"/>
                  </w14:solidFill>
                </w14:textFill>
              </w:rPr>
              <w:t>处理达到广东省《水污染物排放限值》(DB44/26-2001)第二时段一级标准后</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排入潖江（III类水）。经预测分析，本项目外排废水的排放</w:t>
            </w:r>
            <w:r>
              <w:rPr>
                <w:rFonts w:hint="default" w:ascii="Times New Roman" w:hAnsi="Times New Roman" w:eastAsia="宋体" w:cs="Times New Roman"/>
                <w:color w:val="000000" w:themeColor="text1"/>
                <w:sz w:val="24"/>
                <w:szCs w:val="24"/>
                <w:highlight w:val="none"/>
                <w14:textFill>
                  <w14:solidFill>
                    <w14:schemeClr w14:val="tx1"/>
                  </w14:solidFill>
                </w14:textFill>
              </w:rPr>
              <w:t>不会对周围水环境产生不良影响</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故</w:t>
            </w:r>
            <w:r>
              <w:rPr>
                <w:rFonts w:hint="default" w:ascii="Times New Roman" w:hAnsi="Times New Roman" w:eastAsia="宋体" w:cs="Times New Roman"/>
                <w:snapToGrid w:val="0"/>
                <w:color w:val="000000" w:themeColor="text1"/>
                <w:kern w:val="0"/>
                <w:sz w:val="24"/>
                <w:highlight w:val="none"/>
                <w:lang w:eastAsia="zh-CN"/>
                <w14:textFill>
                  <w14:solidFill>
                    <w14:schemeClr w14:val="tx1"/>
                  </w14:solidFill>
                </w14:textFill>
              </w:rPr>
              <w:t>本</w:t>
            </w: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项目污</w:t>
            </w:r>
            <w:r>
              <w:rPr>
                <w:rFonts w:hint="default" w:ascii="Times New Roman" w:hAnsi="Times New Roman" w:eastAsia="宋体" w:cs="Times New Roman"/>
                <w:snapToGrid w:val="0"/>
                <w:color w:val="000000" w:themeColor="text1"/>
                <w:kern w:val="0"/>
                <w:sz w:val="24"/>
                <w:highlight w:val="none"/>
                <w:lang w:eastAsia="zh-CN"/>
                <w14:textFill>
                  <w14:solidFill>
                    <w14:schemeClr w14:val="tx1"/>
                  </w14:solidFill>
                </w14:textFill>
              </w:rPr>
              <w:t>（废）</w:t>
            </w: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水不会对周边水环境产生</w:t>
            </w:r>
            <w:r>
              <w:rPr>
                <w:rFonts w:hint="default" w:ascii="Times New Roman" w:hAnsi="Times New Roman" w:eastAsia="宋体" w:cs="Times New Roman"/>
                <w:snapToGrid w:val="0"/>
                <w:color w:val="000000" w:themeColor="text1"/>
                <w:kern w:val="0"/>
                <w:sz w:val="24"/>
                <w:highlight w:val="none"/>
                <w:lang w:eastAsia="zh-CN"/>
                <w14:textFill>
                  <w14:solidFill>
                    <w14:schemeClr w14:val="tx1"/>
                  </w14:solidFill>
                </w14:textFill>
              </w:rPr>
              <w:t>不良</w:t>
            </w: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影响</w:t>
            </w:r>
            <w:r>
              <w:rPr>
                <w:rFonts w:hint="default" w:ascii="Times New Roman" w:hAnsi="Times New Roman" w:eastAsia="宋体" w:cs="Times New Roman"/>
                <w:bCs/>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1</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highlight w:val="none"/>
                <w14:textFill>
                  <w14:solidFill>
                    <w14:schemeClr w14:val="tx1"/>
                  </w14:solidFill>
                </w14:textFill>
              </w:rPr>
              <w:t>.4.3声环境影响分析结论</w:t>
            </w:r>
          </w:p>
          <w:p>
            <w:pPr>
              <w:spacing w:line="360" w:lineRule="auto"/>
              <w:ind w:firstLine="480" w:firstLineChars="200"/>
              <w:rPr>
                <w:rFonts w:hint="default" w:ascii="Times New Roman" w:hAnsi="Times New Roman" w:eastAsia="宋体" w:cs="Times New Roman"/>
                <w:color w:val="000000" w:themeColor="text1"/>
                <w:sz w:val="24"/>
                <w:szCs w:val="28"/>
                <w:highlight w:val="none"/>
                <w14:textFill>
                  <w14:solidFill>
                    <w14:schemeClr w14:val="tx1"/>
                  </w14:solidFill>
                </w14:textFill>
              </w:rPr>
            </w:pPr>
            <w:r>
              <w:rPr>
                <w:rFonts w:hint="default" w:ascii="Times New Roman" w:hAnsi="Times New Roman" w:eastAsia="宋体" w:cs="Times New Roman"/>
                <w:bCs/>
                <w:color w:val="000000" w:themeColor="text1"/>
                <w:sz w:val="24"/>
                <w:szCs w:val="28"/>
                <w:highlight w:val="none"/>
                <w14:textFill>
                  <w14:solidFill>
                    <w14:schemeClr w14:val="tx1"/>
                  </w14:solidFill>
                </w14:textFill>
              </w:rPr>
              <w:t>项目建成后</w:t>
            </w:r>
            <w:r>
              <w:rPr>
                <w:rFonts w:hint="default" w:ascii="Times New Roman" w:hAnsi="Times New Roman" w:eastAsia="宋体" w:cs="Times New Roman"/>
                <w:color w:val="000000" w:themeColor="text1"/>
                <w:sz w:val="24"/>
                <w:highlight w:val="none"/>
                <w14:textFill>
                  <w14:solidFill>
                    <w14:schemeClr w14:val="tx1"/>
                  </w14:solidFill>
                </w14:textFill>
              </w:rPr>
              <w:t>运行时产生的噪声强度</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5</w:t>
            </w:r>
            <w:r>
              <w:rPr>
                <w:rFonts w:hint="default" w:ascii="Times New Roman" w:hAnsi="Times New Roman" w:eastAsia="宋体" w:cs="Times New Roman"/>
                <w:bCs/>
                <w:color w:val="000000" w:themeColor="text1"/>
                <w:sz w:val="24"/>
                <w:szCs w:val="28"/>
                <w:highlight w:val="none"/>
                <w14:textFill>
                  <w14:solidFill>
                    <w14:schemeClr w14:val="tx1"/>
                  </w14:solidFill>
                </w14:textFill>
              </w:rPr>
              <w:t>~</w:t>
            </w:r>
            <w:r>
              <w:rPr>
                <w:rFonts w:hint="default" w:ascii="Times New Roman" w:hAnsi="Times New Roman" w:eastAsia="宋体" w:cs="Times New Roman"/>
                <w:bCs/>
                <w:color w:val="000000" w:themeColor="text1"/>
                <w:sz w:val="24"/>
                <w:szCs w:val="28"/>
                <w:highlight w:val="none"/>
                <w:lang w:val="en-US" w:eastAsia="zh-CN"/>
                <w14:textFill>
                  <w14:solidFill>
                    <w14:schemeClr w14:val="tx1"/>
                  </w14:solidFill>
                </w14:textFill>
              </w:rPr>
              <w:t>9</w:t>
            </w:r>
            <w:r>
              <w:rPr>
                <w:rFonts w:hint="default" w:ascii="Times New Roman" w:hAnsi="Times New Roman" w:eastAsia="宋体" w:cs="Times New Roman"/>
                <w:bCs/>
                <w:color w:val="000000" w:themeColor="text1"/>
                <w:sz w:val="24"/>
                <w:szCs w:val="28"/>
                <w:highlight w:val="none"/>
                <w14:textFill>
                  <w14:solidFill>
                    <w14:schemeClr w14:val="tx1"/>
                  </w14:solidFill>
                </w14:textFill>
              </w:rPr>
              <w:t>0dB</w:t>
            </w:r>
            <w:r>
              <w:rPr>
                <w:rFonts w:hint="default" w:ascii="Times New Roman" w:hAnsi="Times New Roman" w:eastAsia="宋体" w:cs="Times New Roman"/>
                <w:bCs/>
                <w:color w:val="000000" w:themeColor="text1"/>
                <w:sz w:val="24"/>
                <w:szCs w:val="28"/>
                <w:highlight w:val="none"/>
                <w:lang w:val="en-US" w:eastAsia="zh-CN"/>
                <w14:textFill>
                  <w14:solidFill>
                    <w14:schemeClr w14:val="tx1"/>
                  </w14:solidFill>
                </w14:textFill>
              </w:rPr>
              <w:t>(A)</w:t>
            </w:r>
            <w:r>
              <w:rPr>
                <w:rFonts w:hint="default" w:ascii="Times New Roman" w:hAnsi="Times New Roman" w:eastAsia="宋体" w:cs="Times New Roman"/>
                <w:bCs/>
                <w:color w:val="000000" w:themeColor="text1"/>
                <w:sz w:val="24"/>
                <w:szCs w:val="28"/>
                <w:highlight w:val="none"/>
                <w14:textFill>
                  <w14:solidFill>
                    <w14:schemeClr w14:val="tx1"/>
                  </w14:solidFill>
                </w14:textFill>
              </w:rPr>
              <w:t>，</w:t>
            </w:r>
            <w:r>
              <w:rPr>
                <w:rFonts w:hint="default" w:ascii="Times New Roman" w:hAnsi="Times New Roman" w:eastAsia="宋体" w:cs="Times New Roman"/>
                <w:snapToGrid w:val="0"/>
                <w:color w:val="000000" w:themeColor="text1"/>
                <w:kern w:val="0"/>
                <w:sz w:val="24"/>
                <w:highlight w:val="none"/>
                <w14:textFill>
                  <w14:solidFill>
                    <w14:schemeClr w14:val="tx1"/>
                  </w14:solidFill>
                </w14:textFill>
              </w:rPr>
              <w:t>在采取减振、隔声等有效措施进行处理</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pacing w:val="10"/>
                <w:sz w:val="24"/>
                <w:highlight w:val="none"/>
                <w14:textFill>
                  <w14:solidFill>
                    <w14:schemeClr w14:val="tx1"/>
                  </w14:solidFill>
                </w14:textFill>
              </w:rPr>
              <w:t>再经墙体隔声、距离衰减，</w:t>
            </w:r>
            <w:r>
              <w:rPr>
                <w:rFonts w:hint="default" w:ascii="Times New Roman" w:hAnsi="Times New Roman" w:eastAsia="宋体" w:cs="Times New Roman"/>
                <w:color w:val="000000" w:themeColor="text1"/>
                <w:sz w:val="24"/>
                <w:szCs w:val="24"/>
                <w:highlight w:val="none"/>
                <w14:textFill>
                  <w14:solidFill>
                    <w14:schemeClr w14:val="tx1"/>
                  </w14:solidFill>
                </w14:textFill>
              </w:rPr>
              <w:t>合理安排作业时间相结合后，项目厂界噪声值</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可</w:t>
            </w:r>
            <w:r>
              <w:rPr>
                <w:rFonts w:hint="default" w:ascii="Times New Roman" w:hAnsi="Times New Roman" w:eastAsia="宋体" w:cs="Times New Roman"/>
                <w:color w:val="000000" w:themeColor="text1"/>
                <w:sz w:val="24"/>
                <w:szCs w:val="24"/>
                <w:highlight w:val="none"/>
                <w14:textFill>
                  <w14:solidFill>
                    <w14:schemeClr w14:val="tx1"/>
                  </w14:solidFill>
                </w14:textFill>
              </w:rPr>
              <w:t>达到《工业企业厂界环境噪声排放噪声标准》（GB12348-2008）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类标准（昼间≤6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dB(A)，夜间≤5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eastAsia="宋体" w:cs="Times New Roman"/>
                <w:color w:val="000000" w:themeColor="text1"/>
                <w:sz w:val="24"/>
                <w:szCs w:val="24"/>
                <w:highlight w:val="none"/>
                <w14:textFill>
                  <w14:solidFill>
                    <w14:schemeClr w14:val="tx1"/>
                  </w14:solidFill>
                </w14:textFill>
              </w:rPr>
              <w:t>dB(A)）的要求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highlight w:val="none"/>
                <w14:textFill>
                  <w14:solidFill>
                    <w14:schemeClr w14:val="tx1"/>
                  </w14:solidFill>
                </w14:textFill>
              </w:rPr>
              <w:t>不会对周围声环境造成明显影响。</w:t>
            </w:r>
          </w:p>
          <w:p>
            <w:pPr>
              <w:spacing w:line="360" w:lineRule="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1</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highlight w:val="none"/>
                <w14:textFill>
                  <w14:solidFill>
                    <w14:schemeClr w14:val="tx1"/>
                  </w14:solidFill>
                </w14:textFill>
              </w:rPr>
              <w:t>.4.4固体废物环境影响分析结论</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bCs/>
                <w:color w:val="000000" w:themeColor="text1"/>
                <w:sz w:val="24"/>
                <w:highlight w:val="none"/>
                <w14:textFill>
                  <w14:solidFill>
                    <w14:schemeClr w14:val="tx1"/>
                  </w14:solidFill>
                </w14:textFill>
              </w:rPr>
              <w:t>本项目</w:t>
            </w:r>
            <w:r>
              <w:rPr>
                <w:rFonts w:hint="default" w:ascii="Times New Roman" w:hAnsi="Times New Roman" w:eastAsia="宋体" w:cs="Times New Roman"/>
                <w:color w:val="000000" w:themeColor="text1"/>
                <w:sz w:val="24"/>
                <w:highlight w:val="none"/>
                <w14:textFill>
                  <w14:solidFill>
                    <w14:schemeClr w14:val="tx1"/>
                  </w14:solidFill>
                </w14:textFill>
              </w:rPr>
              <w:t>运营期产生的生产固废及生活垃圾均</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得到有效的处理处置</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处理措施合理可行，</w:t>
            </w:r>
            <w:r>
              <w:rPr>
                <w:rFonts w:hint="default" w:ascii="Times New Roman" w:hAnsi="Times New Roman" w:eastAsia="宋体" w:cs="Times New Roman"/>
                <w:color w:val="000000" w:themeColor="text1"/>
                <w:sz w:val="24"/>
                <w:highlight w:val="none"/>
                <w14:textFill>
                  <w14:solidFill>
                    <w14:schemeClr w14:val="tx1"/>
                  </w14:solidFill>
                </w14:textFill>
              </w:rPr>
              <w:t>不会对周围环境造成明显的影响。</w:t>
            </w:r>
          </w:p>
          <w:p>
            <w:pPr>
              <w:spacing w:line="360" w:lineRule="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1</w:t>
            </w:r>
            <w:r>
              <w:rPr>
                <w:rFonts w:hint="default" w:ascii="Times New Roman" w:hAnsi="Times New Roman" w:eastAsia="宋体" w:cs="Times New Roman"/>
                <w:b/>
                <w:color w:val="000000" w:themeColor="text1"/>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highlight w:val="none"/>
                <w14:textFill>
                  <w14:solidFill>
                    <w14:schemeClr w14:val="tx1"/>
                  </w14:solidFill>
                </w14:textFill>
              </w:rPr>
              <w:t>.4.5</w:t>
            </w:r>
            <w:r>
              <w:rPr>
                <w:rFonts w:hint="default" w:ascii="Times New Roman" w:hAnsi="Times New Roman" w:eastAsia="宋体" w:cs="Times New Roman"/>
                <w:b/>
                <w:color w:val="000000" w:themeColor="text1"/>
                <w:sz w:val="24"/>
                <w:szCs w:val="24"/>
                <w:highlight w:val="none"/>
                <w14:textFill>
                  <w14:solidFill>
                    <w14:schemeClr w14:val="tx1"/>
                  </w14:solidFill>
                </w14:textFill>
              </w:rPr>
              <w:t>生态环境影响</w:t>
            </w:r>
            <w:r>
              <w:rPr>
                <w:rFonts w:hint="default" w:ascii="Times New Roman" w:hAnsi="Times New Roman" w:eastAsia="宋体" w:cs="Times New Roman"/>
                <w:b/>
                <w:color w:val="000000" w:themeColor="text1"/>
                <w:sz w:val="24"/>
                <w:highlight w:val="none"/>
                <w14:textFill>
                  <w14:solidFill>
                    <w14:schemeClr w14:val="tx1"/>
                  </w14:solidFill>
                </w14:textFill>
              </w:rPr>
              <w:t>分析结论</w:t>
            </w:r>
          </w:p>
          <w:p>
            <w:pPr>
              <w:spacing w:line="360" w:lineRule="auto"/>
              <w:ind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在现状</w:t>
            </w:r>
            <w:r>
              <w:rPr>
                <w:rFonts w:hint="default" w:ascii="Times New Roman" w:hAnsi="Times New Roman" w:eastAsia="宋体" w:cs="Times New Roman"/>
                <w:color w:val="000000" w:themeColor="text1"/>
                <w:sz w:val="24"/>
                <w:szCs w:val="24"/>
                <w:highlight w:val="none"/>
                <w14:textFill>
                  <w14:solidFill>
                    <w14:schemeClr w14:val="tx1"/>
                  </w14:solidFill>
                </w14:textFill>
              </w:rPr>
              <w:t>厂房</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直接进行变动，</w:t>
            </w:r>
            <w:r>
              <w:rPr>
                <w:rFonts w:hint="default" w:ascii="Times New Roman" w:hAnsi="Times New Roman" w:eastAsia="宋体" w:cs="Times New Roman"/>
                <w:color w:val="000000" w:themeColor="text1"/>
                <w:sz w:val="24"/>
                <w:highlight w:val="none"/>
                <w14:textFill>
                  <w14:solidFill>
                    <w14:schemeClr w14:val="tx1"/>
                  </w14:solidFill>
                </w14:textFill>
              </w:rPr>
              <w:t>无土建施工活动，</w:t>
            </w:r>
            <w:r>
              <w:rPr>
                <w:rFonts w:hint="default" w:ascii="Times New Roman" w:hAnsi="Times New Roman" w:eastAsia="宋体" w:cs="Times New Roman"/>
                <w:color w:val="000000" w:themeColor="text1"/>
                <w:sz w:val="24"/>
                <w:szCs w:val="24"/>
                <w:highlight w:val="none"/>
                <w14:textFill>
                  <w14:solidFill>
                    <w14:schemeClr w14:val="tx1"/>
                  </w14:solidFill>
                </w14:textFill>
              </w:rPr>
              <w:t>故不涉汲生态破坏等影响；</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本项目污水、</w:t>
            </w:r>
            <w:r>
              <w:rPr>
                <w:rFonts w:hint="default" w:ascii="Times New Roman" w:hAnsi="Times New Roman" w:eastAsia="宋体" w:cs="Times New Roman"/>
                <w:color w:val="000000" w:themeColor="text1"/>
                <w:sz w:val="24"/>
                <w:szCs w:val="24"/>
                <w:highlight w:val="none"/>
                <w14:textFill>
                  <w14:solidFill>
                    <w14:schemeClr w14:val="tx1"/>
                  </w14:solidFill>
                </w14:textFill>
              </w:rPr>
              <w:t>废气</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噪声</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和固废</w:t>
            </w:r>
            <w:r>
              <w:rPr>
                <w:rFonts w:hint="default" w:ascii="Times New Roman" w:hAnsi="Times New Roman" w:eastAsia="宋体" w:cs="Times New Roman"/>
                <w:color w:val="000000" w:themeColor="text1"/>
                <w:sz w:val="24"/>
                <w:szCs w:val="24"/>
                <w:highlight w:val="none"/>
                <w14:textFill>
                  <w14:solidFill>
                    <w14:schemeClr w14:val="tx1"/>
                  </w14:solidFill>
                </w14:textFill>
              </w:rPr>
              <w:t>经有效处理，均符合相关环保要求。</w:t>
            </w:r>
            <w:r>
              <w:rPr>
                <w:rFonts w:hint="default" w:ascii="Times New Roman" w:hAnsi="Times New Roman" w:eastAsia="宋体" w:cs="Times New Roman"/>
                <w:bCs/>
                <w:color w:val="000000" w:themeColor="text1"/>
                <w:sz w:val="24"/>
                <w:szCs w:val="24"/>
                <w:highlight w:val="none"/>
                <w14:textFill>
                  <w14:solidFill>
                    <w14:schemeClr w14:val="tx1"/>
                  </w14:solidFill>
                </w14:textFill>
              </w:rPr>
              <w:t>因此，本项目对周边生态环境不会产生明显的影响。</w:t>
            </w:r>
          </w:p>
          <w:p>
            <w:pPr>
              <w:spacing w:line="360" w:lineRule="auto"/>
              <w:rPr>
                <w:rFonts w:hint="default" w:ascii="Times New Roman" w:hAnsi="Times New Roman" w:eastAsia="宋体" w:cs="Times New Roman"/>
                <w:b/>
                <w:bCs/>
                <w:cap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caps w:val="0"/>
                <w:color w:val="000000" w:themeColor="text1"/>
                <w:sz w:val="24"/>
                <w:szCs w:val="24"/>
                <w:highlight w:val="none"/>
                <w14:textFill>
                  <w14:solidFill>
                    <w14:schemeClr w14:val="tx1"/>
                  </w14:solidFill>
                </w14:textFill>
              </w:rPr>
              <w:t>1</w:t>
            </w: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aps w:val="0"/>
                <w:color w:val="000000" w:themeColor="text1"/>
                <w:sz w:val="24"/>
                <w:szCs w:val="24"/>
                <w:highlight w:val="none"/>
                <w14:textFill>
                  <w14:solidFill>
                    <w14:schemeClr w14:val="tx1"/>
                  </w14:solidFill>
                </w14:textFill>
              </w:rPr>
              <w:t>.</w:t>
            </w:r>
            <w:r>
              <w:rPr>
                <w:rFonts w:hint="default" w:ascii="Times New Roman" w:hAnsi="Times New Roman" w:eastAsia="宋体" w:cs="Times New Roman"/>
                <w:b/>
                <w:caps w:val="0"/>
                <w:color w:val="000000" w:themeColor="text1"/>
                <w:sz w:val="24"/>
                <w:szCs w:val="24"/>
                <w:highlight w:val="none"/>
                <w:lang w:val="en-US" w:eastAsia="zh-CN"/>
                <w14:textFill>
                  <w14:solidFill>
                    <w14:schemeClr w14:val="tx1"/>
                  </w14:solidFill>
                </w14:textFill>
              </w:rPr>
              <w:t>4.6</w:t>
            </w:r>
            <w:r>
              <w:rPr>
                <w:rFonts w:hint="default" w:ascii="Times New Roman" w:hAnsi="Times New Roman" w:eastAsia="宋体" w:cs="Times New Roman"/>
                <w:b/>
                <w:bCs/>
                <w:caps w:val="0"/>
                <w:color w:val="000000" w:themeColor="text1"/>
                <w:sz w:val="24"/>
                <w:szCs w:val="24"/>
                <w:highlight w:val="none"/>
                <w14:textFill>
                  <w14:solidFill>
                    <w14:schemeClr w14:val="tx1"/>
                  </w14:solidFill>
                </w14:textFill>
              </w:rPr>
              <w:t>环境风险分析</w:t>
            </w:r>
            <w:r>
              <w:rPr>
                <w:rFonts w:hint="default" w:ascii="Times New Roman" w:hAnsi="Times New Roman" w:eastAsia="宋体" w:cs="Times New Roman"/>
                <w:b/>
                <w:caps w:val="0"/>
                <w:color w:val="000000" w:themeColor="text1"/>
                <w:sz w:val="24"/>
                <w:szCs w:val="24"/>
                <w:highlight w:val="none"/>
                <w14:textFill>
                  <w14:solidFill>
                    <w14:schemeClr w14:val="tx1"/>
                  </w14:solidFill>
                </w14:textFill>
              </w:rPr>
              <w:t>结论</w:t>
            </w:r>
            <w:r>
              <w:rPr>
                <w:rFonts w:hint="default" w:ascii="Times New Roman" w:hAnsi="Times New Roman" w:eastAsia="宋体" w:cs="Times New Roman"/>
                <w:b/>
                <w:bCs/>
                <w:caps w:val="0"/>
                <w:color w:val="000000" w:themeColor="text1"/>
                <w:sz w:val="24"/>
                <w:szCs w:val="24"/>
                <w:highlight w:val="none"/>
                <w14:textFill>
                  <w14:solidFill>
                    <w14:schemeClr w14:val="tx1"/>
                  </w14:solidFill>
                </w14:textFill>
              </w:rPr>
              <w:t xml:space="preserve"> </w:t>
            </w:r>
          </w:p>
          <w:p>
            <w:pPr>
              <w:pStyle w:val="7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baseline"/>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存在发生风险事故的可能，但概率很低，且发生环境风险事故的后果较小，在可以接受的范围内。通过加强防范措施及配备相应的突发环境事件应急预案，可以最大程度的减少风险事故的发生，意外风险事故发生时造成的对环境和人身安全的伤害。综上所述，在认真落实工程拟采取的措施及评价所提出的设施和对策后，本项目环境风险是可以接受的。</w:t>
            </w:r>
          </w:p>
          <w:p>
            <w:pPr>
              <w:pStyle w:val="7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baseline"/>
              <w:outlineLvl w:val="9"/>
              <w:rPr>
                <w:rFonts w:hint="default" w:ascii="Times New Roman" w:hAnsi="Times New Roman" w:eastAsia="宋体" w:cs="Times New Roman"/>
                <w:b/>
                <w:caps w:val="0"/>
                <w:color w:val="000000" w:themeColor="text1"/>
                <w:sz w:val="28"/>
                <w:szCs w:val="28"/>
                <w:highlight w:val="none"/>
                <w14:textFill>
                  <w14:solidFill>
                    <w14:schemeClr w14:val="tx1"/>
                  </w14:solidFill>
                </w14:textFill>
              </w:rPr>
            </w:pPr>
            <w:r>
              <w:rPr>
                <w:rFonts w:hint="default" w:ascii="Times New Roman" w:hAnsi="Times New Roman" w:eastAsia="宋体" w:cs="Times New Roman"/>
                <w:b/>
                <w:caps w:val="0"/>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aps w:val="0"/>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aps w:val="0"/>
                <w:color w:val="000000" w:themeColor="text1"/>
                <w:sz w:val="28"/>
                <w:szCs w:val="28"/>
                <w:highlight w:val="none"/>
                <w14:textFill>
                  <w14:solidFill>
                    <w14:schemeClr w14:val="tx1"/>
                  </w14:solidFill>
                </w14:textFill>
              </w:rPr>
              <w:t>.</w:t>
            </w:r>
            <w:r>
              <w:rPr>
                <w:rFonts w:hint="default" w:ascii="Times New Roman" w:hAnsi="Times New Roman" w:eastAsia="宋体" w:cs="Times New Roman"/>
                <w:b/>
                <w:caps w:val="0"/>
                <w:color w:val="000000" w:themeColor="text1"/>
                <w:sz w:val="28"/>
                <w:szCs w:val="28"/>
                <w:highlight w:val="none"/>
                <w:lang w:val="en-US" w:eastAsia="zh-CN"/>
                <w14:textFill>
                  <w14:solidFill>
                    <w14:schemeClr w14:val="tx1"/>
                  </w14:solidFill>
                </w14:textFill>
              </w:rPr>
              <w:t>5</w:t>
            </w:r>
            <w:r>
              <w:rPr>
                <w:rFonts w:hint="default" w:ascii="Times New Roman" w:hAnsi="Times New Roman" w:eastAsia="宋体" w:cs="Times New Roman"/>
                <w:b/>
                <w:caps w:val="0"/>
                <w:color w:val="000000" w:themeColor="text1"/>
                <w:sz w:val="28"/>
                <w:szCs w:val="28"/>
                <w:highlight w:val="none"/>
                <w14:textFill>
                  <w14:solidFill>
                    <w14:schemeClr w14:val="tx1"/>
                  </w14:solidFill>
                </w14:textFill>
              </w:rPr>
              <w:t>总量控制指标分析结论</w:t>
            </w:r>
          </w:p>
          <w:p>
            <w:pPr>
              <w:pStyle w:val="36"/>
              <w:keepNext w:val="0"/>
              <w:keepLines w:val="0"/>
              <w:pageBreakBefore w:val="0"/>
              <w:widowControl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aps w:val="0"/>
                <w:color w:val="000000" w:themeColor="text1"/>
                <w:sz w:val="24"/>
                <w14:textFill>
                  <w14:solidFill>
                    <w14:schemeClr w14:val="tx1"/>
                  </w14:solidFill>
                </w14:textFill>
              </w:rPr>
              <w:t>根据《“十三五”节能减排综合工作方案》，“十三五”期间国家对化学需氧量、氨氮、二氧化硫、氮氧化物、挥发性有机物5种主要污染物实行节能减排总量控制计划。</w:t>
            </w:r>
          </w:p>
          <w:p>
            <w:pPr>
              <w:pStyle w:val="36"/>
              <w:keepNext w:val="0"/>
              <w:keepLines w:val="0"/>
              <w:pageBreakBefore w:val="0"/>
              <w:widowControl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本项目运营期，生活污水及部分生产废水经处理达标后安排潖江河；本</w:t>
            </w:r>
            <w:r>
              <w:rPr>
                <w:rFonts w:hint="default" w:ascii="Times New Roman" w:hAnsi="Times New Roman" w:eastAsia="宋体" w:cs="Times New Roman"/>
                <w:color w:val="000000" w:themeColor="text1"/>
                <w:highlight w:val="none"/>
                <w14:textFill>
                  <w14:solidFill>
                    <w14:schemeClr w14:val="tx1"/>
                  </w14:solidFill>
                </w14:textFill>
              </w:rPr>
              <w:t>项目</w:t>
            </w:r>
            <w:r>
              <w:rPr>
                <w:rFonts w:hint="default" w:ascii="Times New Roman" w:hAnsi="Times New Roman" w:eastAsia="宋体" w:cs="Times New Roman"/>
                <w:color w:val="000000" w:themeColor="text1"/>
                <w:highlight w:val="none"/>
                <w:lang w:eastAsia="zh-CN"/>
                <w14:textFill>
                  <w14:solidFill>
                    <w14:schemeClr w14:val="tx1"/>
                  </w14:solidFill>
                </w14:textFill>
              </w:rPr>
              <w:t>水污染物</w:t>
            </w:r>
            <w:r>
              <w:rPr>
                <w:rFonts w:hint="default" w:ascii="Times New Roman" w:hAnsi="Times New Roman" w:eastAsia="宋体" w:cs="Times New Roman"/>
                <w:color w:val="000000" w:themeColor="text1"/>
                <w:highlight w:val="none"/>
                <w14:textFill>
                  <w14:solidFill>
                    <w14:schemeClr w14:val="tx1"/>
                  </w14:solidFill>
                </w14:textFill>
              </w:rPr>
              <w:t>总量控制指标</w:t>
            </w:r>
            <w:r>
              <w:rPr>
                <w:rFonts w:hint="default" w:ascii="Times New Roman" w:hAnsi="Times New Roman" w:eastAsia="宋体" w:cs="Times New Roman"/>
                <w:color w:val="000000" w:themeColor="text1"/>
                <w:highlight w:val="none"/>
                <w:lang w:eastAsia="zh-CN"/>
                <w14:textFill>
                  <w14:solidFill>
                    <w14:schemeClr w14:val="tx1"/>
                  </w14:solidFill>
                </w14:textFill>
              </w:rPr>
              <w:t>建议值为</w:t>
            </w:r>
            <w:r>
              <w:rPr>
                <w:rFonts w:hint="default" w:ascii="Times New Roman" w:hAnsi="Times New Roman" w:eastAsia="宋体" w:cs="Times New Roman"/>
                <w:color w:val="000000" w:themeColor="text1"/>
                <w:highlight w:val="none"/>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COD</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cr</w:t>
            </w:r>
            <w:r>
              <w:rPr>
                <w:rFonts w:hint="default" w:ascii="Times New Roman" w:hAnsi="Times New Roman" w:eastAsia="宋体" w:cs="Times New Roman"/>
                <w:color w:val="000000" w:themeColor="text1"/>
                <w:highlight w:val="none"/>
                <w:lang w:val="en-US" w:eastAsia="zh-CN"/>
                <w14:textFill>
                  <w14:solidFill>
                    <w14:schemeClr w14:val="tx1"/>
                  </w14:solidFill>
                </w14:textFill>
              </w:rPr>
              <w:t>：0.29t/a、NH</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-N</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：0.004t/a</w:t>
            </w: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w:t>
            </w:r>
          </w:p>
          <w:p>
            <w:pPr>
              <w:pStyle w:val="36"/>
              <w:keepNext w:val="0"/>
              <w:keepLines w:val="0"/>
              <w:pageBreakBefore w:val="0"/>
              <w:widowControl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本项目天然气燃烧废气会产生一定量的</w:t>
            </w:r>
            <w:r>
              <w:rPr>
                <w:rFonts w:hint="default" w:ascii="Times New Roman" w:hAnsi="Times New Roman" w:eastAsia="宋体" w:cs="Times New Roman"/>
                <w:caps w:val="0"/>
                <w:color w:val="000000" w:themeColor="text1"/>
                <w:sz w:val="24"/>
                <w14:textFill>
                  <w14:solidFill>
                    <w14:schemeClr w14:val="tx1"/>
                  </w14:solidFill>
                </w14:textFill>
              </w:rPr>
              <w:t>二氧化硫、氮氧化物</w:t>
            </w: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，本</w:t>
            </w:r>
            <w:r>
              <w:rPr>
                <w:rFonts w:hint="default" w:ascii="Times New Roman" w:hAnsi="Times New Roman" w:eastAsia="宋体" w:cs="Times New Roman"/>
                <w:color w:val="000000" w:themeColor="text1"/>
                <w:highlight w:val="none"/>
                <w14:textFill>
                  <w14:solidFill>
                    <w14:schemeClr w14:val="tx1"/>
                  </w14:solidFill>
                </w14:textFill>
              </w:rPr>
              <w:t>项目</w:t>
            </w:r>
            <w:r>
              <w:rPr>
                <w:rFonts w:hint="default" w:ascii="Times New Roman" w:hAnsi="Times New Roman" w:eastAsia="宋体" w:cs="Times New Roman"/>
                <w:color w:val="000000" w:themeColor="text1"/>
                <w:highlight w:val="none"/>
                <w:lang w:eastAsia="zh-CN"/>
                <w14:textFill>
                  <w14:solidFill>
                    <w14:schemeClr w14:val="tx1"/>
                  </w14:solidFill>
                </w14:textFill>
              </w:rPr>
              <w:t>排放量为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二氧化硫：0.157t/a、氮氧化物</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：0.734t/a</w:t>
            </w:r>
            <w:r>
              <w:rPr>
                <w:rFonts w:hint="default" w:ascii="Times New Roman" w:hAnsi="Times New Roman" w:eastAsia="宋体" w:cs="Times New Roman"/>
                <w:color w:val="000000" w:themeColor="text1"/>
                <w:kern w:val="2"/>
                <w:sz w:val="24"/>
                <w:szCs w:val="24"/>
                <w:highlight w:val="none"/>
                <w:shd w:val="clear" w:color="auto" w:fill="auto"/>
                <w:lang w:val="en-US" w:eastAsia="zh-CN" w:bidi="ar-SA"/>
                <w14:textFill>
                  <w14:solidFill>
                    <w14:schemeClr w14:val="tx1"/>
                  </w14:solidFill>
                </w14:textFill>
              </w:rPr>
              <w:t>。</w:t>
            </w:r>
          </w:p>
          <w:p>
            <w:pPr>
              <w:pStyle w:val="36"/>
              <w:keepNext w:val="0"/>
              <w:keepLines w:val="0"/>
              <w:pageBreakBefore w:val="0"/>
              <w:widowControl w:val="0"/>
              <w:kinsoku/>
              <w:wordWrap/>
              <w:overflowPunct/>
              <w:topLinePunct w:val="0"/>
              <w:bidi w:val="0"/>
              <w:adjustRightInd/>
              <w:snapToGrid/>
              <w:spacing w:line="360" w:lineRule="auto"/>
              <w:ind w:firstLine="480" w:firstLineChars="200"/>
              <w:rPr>
                <w:rFonts w:hint="default" w:ascii="Times New Roman" w:hAnsi="Times New Roman" w:eastAsia="宋体" w:cs="Times New Roman"/>
                <w:color w:val="000000" w:themeColor="text1"/>
                <w:kern w:val="2"/>
                <w:szCs w:val="22"/>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本</w:t>
            </w:r>
            <w:r>
              <w:rPr>
                <w:rFonts w:hint="default" w:ascii="Times New Roman" w:hAnsi="Times New Roman" w:eastAsia="宋体" w:cs="Times New Roman"/>
                <w:color w:val="000000" w:themeColor="text1"/>
                <w:highlight w:val="none"/>
                <w:lang w:eastAsia="zh-CN"/>
                <w14:textFill>
                  <w14:solidFill>
                    <w14:schemeClr w14:val="tx1"/>
                  </w14:solidFill>
                </w14:textFill>
              </w:rPr>
              <w:t>次环评</w:t>
            </w:r>
            <w:r>
              <w:rPr>
                <w:rFonts w:hint="default" w:ascii="Times New Roman" w:hAnsi="Times New Roman" w:eastAsia="宋体" w:cs="Times New Roman"/>
                <w:color w:val="000000" w:themeColor="text1"/>
                <w:highlight w:val="none"/>
                <w14:textFill>
                  <w14:solidFill>
                    <w14:schemeClr w14:val="tx1"/>
                  </w14:solidFill>
                </w14:textFill>
              </w:rPr>
              <w:t>总量控制指标</w:t>
            </w:r>
            <w:r>
              <w:rPr>
                <w:rFonts w:hint="default" w:ascii="Times New Roman" w:hAnsi="Times New Roman" w:eastAsia="宋体" w:cs="Times New Roman"/>
                <w:color w:val="000000" w:themeColor="text1"/>
                <w:highlight w:val="none"/>
                <w:lang w:eastAsia="zh-CN"/>
                <w14:textFill>
                  <w14:solidFill>
                    <w14:schemeClr w14:val="tx1"/>
                  </w14:solidFill>
                </w14:textFill>
              </w:rPr>
              <w:t>申请建议值为</w:t>
            </w:r>
            <w:r>
              <w:rPr>
                <w:rFonts w:hint="default" w:ascii="Times New Roman" w:hAnsi="Times New Roman" w:eastAsia="宋体" w:cs="Times New Roman"/>
                <w:color w:val="000000" w:themeColor="text1"/>
                <w:highlight w:val="none"/>
                <w:lang w:val="en-US" w:eastAsia="zh-CN"/>
                <w14:textFill>
                  <w14:solidFill>
                    <w14:schemeClr w14:val="tx1"/>
                  </w14:solidFill>
                </w14:textFill>
              </w:rPr>
              <w:t>CODcr：0.29t/a、NH</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-N：0.004t/a</w:t>
            </w:r>
            <w:r>
              <w:rPr>
                <w:rFonts w:hint="default" w:ascii="Times New Roman" w:hAnsi="Times New Roman" w:eastAsia="宋体" w:cs="Times New Roman"/>
                <w:color w:val="000000" w:themeColor="text1"/>
                <w:highlight w:val="none"/>
                <w:vertAlign w:val="baseline"/>
                <w:lang w:val="en-US" w:eastAsia="zh-CN"/>
                <w14:textFill>
                  <w14:solidFill>
                    <w14:schemeClr w14:val="tx1"/>
                  </w14:solidFill>
                </w14:textFill>
              </w:rPr>
              <w:t>；二氧化硫：0.157t/a、氮氧化物：0.734t/a</w:t>
            </w:r>
            <w:r>
              <w:rPr>
                <w:rFonts w:hint="default" w:ascii="Times New Roman" w:hAnsi="Times New Roman" w:eastAsia="宋体" w:cs="Times New Roman"/>
                <w:color w:val="000000" w:themeColor="text1"/>
                <w:kern w:val="2"/>
                <w:szCs w:val="22"/>
                <w:highlight w:val="none"/>
                <w14:textFill>
                  <w14:solidFill>
                    <w14:schemeClr w14:val="tx1"/>
                  </w14:solidFill>
                </w14:textFill>
              </w:rPr>
              <w:t>。</w:t>
            </w:r>
          </w:p>
          <w:p>
            <w:pPr>
              <w:pStyle w:val="7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baseline"/>
              <w:outlineLvl w:val="9"/>
              <w:rPr>
                <w:rFonts w:hint="default" w:ascii="Times New Roman" w:hAnsi="Times New Roman" w:eastAsia="宋体" w:cs="Times New Roman"/>
                <w:b/>
                <w:caps w:val="0"/>
                <w:color w:val="000000" w:themeColor="text1"/>
                <w:sz w:val="28"/>
                <w:szCs w:val="28"/>
                <w:highlight w:val="none"/>
                <w14:textFill>
                  <w14:solidFill>
                    <w14:schemeClr w14:val="tx1"/>
                  </w14:solidFill>
                </w14:textFill>
              </w:rPr>
            </w:pPr>
            <w:r>
              <w:rPr>
                <w:rFonts w:hint="default" w:ascii="Times New Roman" w:hAnsi="Times New Roman" w:eastAsia="宋体" w:cs="Times New Roman"/>
                <w:b/>
                <w:caps w:val="0"/>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aps w:val="0"/>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aps w:val="0"/>
                <w:color w:val="000000" w:themeColor="text1"/>
                <w:sz w:val="28"/>
                <w:szCs w:val="28"/>
                <w:highlight w:val="none"/>
                <w14:textFill>
                  <w14:solidFill>
                    <w14:schemeClr w14:val="tx1"/>
                  </w14:solidFill>
                </w14:textFill>
              </w:rPr>
              <w:t>.</w:t>
            </w:r>
            <w:r>
              <w:rPr>
                <w:rFonts w:hint="default" w:ascii="Times New Roman" w:hAnsi="Times New Roman" w:eastAsia="宋体" w:cs="Times New Roman"/>
                <w:b/>
                <w:caps w:val="0"/>
                <w:color w:val="000000" w:themeColor="text1"/>
                <w:sz w:val="28"/>
                <w:szCs w:val="28"/>
                <w:highlight w:val="none"/>
                <w:lang w:val="en-US" w:eastAsia="zh-CN"/>
                <w14:textFill>
                  <w14:solidFill>
                    <w14:schemeClr w14:val="tx1"/>
                  </w14:solidFill>
                </w14:textFill>
              </w:rPr>
              <w:t>6</w:t>
            </w:r>
            <w:r>
              <w:rPr>
                <w:rFonts w:hint="default" w:ascii="Times New Roman" w:hAnsi="Times New Roman" w:eastAsia="宋体" w:cs="Times New Roman"/>
                <w:b/>
                <w:caps w:val="0"/>
                <w:color w:val="000000" w:themeColor="text1"/>
                <w:sz w:val="28"/>
                <w:szCs w:val="28"/>
                <w:highlight w:val="none"/>
                <w14:textFill>
                  <w14:solidFill>
                    <w14:schemeClr w14:val="tx1"/>
                  </w14:solidFill>
                </w14:textFill>
              </w:rPr>
              <w:t>产业政策符合性分析结论</w:t>
            </w:r>
          </w:p>
          <w:p>
            <w:pPr>
              <w:pStyle w:val="72"/>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baseline"/>
              <w:outlineLvl w:val="9"/>
              <w:rPr>
                <w:rFonts w:hint="default" w:ascii="Times New Roman" w:hAnsi="Times New Roman" w:eastAsia="宋体" w:cs="Times New Roman"/>
                <w:b/>
                <w:caps w:val="0"/>
                <w:color w:val="000000" w:themeColor="text1"/>
                <w:highlight w:val="none"/>
                <w14:textFill>
                  <w14:solidFill>
                    <w14:schemeClr w14:val="tx1"/>
                  </w14:solidFill>
                </w14:textFill>
              </w:rPr>
            </w:pPr>
            <w:r>
              <w:rPr>
                <w:rFonts w:hint="default" w:ascii="Times New Roman" w:hAnsi="Times New Roman" w:eastAsia="宋体" w:cs="Times New Roman"/>
                <w:bCs w:val="0"/>
                <w:caps w:val="0"/>
                <w:color w:val="000000" w:themeColor="text1"/>
                <w:highlight w:val="none"/>
                <w:lang w:eastAsia="zh-CN"/>
                <w14:textFill>
                  <w14:solidFill>
                    <w14:schemeClr w14:val="tx1"/>
                  </w14:solidFill>
                </w14:textFill>
              </w:rPr>
              <w:t>本项目不属于</w:t>
            </w:r>
            <w:r>
              <w:rPr>
                <w:rFonts w:hint="default" w:ascii="Times New Roman" w:hAnsi="Times New Roman" w:eastAsia="宋体" w:cs="Times New Roman"/>
                <w:bCs w:val="0"/>
                <w:caps w:val="0"/>
                <w:color w:val="000000" w:themeColor="text1"/>
                <w:highlight w:val="none"/>
                <w14:textFill>
                  <w14:solidFill>
                    <w14:schemeClr w14:val="tx1"/>
                  </w14:solidFill>
                </w14:textFill>
              </w:rPr>
              <w:t>《产业结构调整指导目录（2013年修订）》</w:t>
            </w:r>
            <w:r>
              <w:rPr>
                <w:rFonts w:hint="default" w:ascii="Times New Roman" w:hAnsi="Times New Roman" w:eastAsia="宋体" w:cs="Times New Roman"/>
                <w:bCs w:val="0"/>
                <w:caps w:val="0"/>
                <w:color w:val="000000" w:themeColor="text1"/>
                <w:highlight w:val="none"/>
                <w:lang w:eastAsia="zh-CN"/>
                <w14:textFill>
                  <w14:solidFill>
                    <w14:schemeClr w14:val="tx1"/>
                  </w14:solidFill>
                </w14:textFill>
              </w:rPr>
              <w:t>和《清远市产业发展指导目录》(2013年本)》中的</w:t>
            </w:r>
            <w:r>
              <w:rPr>
                <w:rFonts w:hint="default" w:ascii="Times New Roman" w:hAnsi="Times New Roman" w:eastAsia="宋体" w:cs="Times New Roman"/>
                <w:bCs w:val="0"/>
                <w:caps w:val="0"/>
                <w:color w:val="000000" w:themeColor="text1"/>
                <w:highlight w:val="none"/>
                <w14:textFill>
                  <w14:solidFill>
                    <w14:schemeClr w14:val="tx1"/>
                  </w14:solidFill>
                </w14:textFill>
              </w:rPr>
              <w:t>鼓励类、限制类及淘汰类，为允许类</w:t>
            </w:r>
            <w:r>
              <w:rPr>
                <w:rFonts w:hint="default" w:ascii="Times New Roman" w:hAnsi="Times New Roman" w:eastAsia="宋体" w:cs="Times New Roman"/>
                <w:b w:val="0"/>
                <w:bCs/>
                <w:cap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val="0"/>
                <w:caps w:val="0"/>
                <w:color w:val="000000" w:themeColor="text1"/>
                <w:highlight w:val="none"/>
                <w14:textFill>
                  <w14:solidFill>
                    <w14:schemeClr w14:val="tx1"/>
                  </w14:solidFill>
                </w14:textFill>
              </w:rPr>
              <w:t>符合国家</w:t>
            </w:r>
            <w:r>
              <w:rPr>
                <w:rFonts w:hint="default" w:ascii="Times New Roman" w:hAnsi="Times New Roman" w:eastAsia="宋体" w:cs="Times New Roman"/>
                <w:bCs w:val="0"/>
                <w:caps w:val="0"/>
                <w:color w:val="000000" w:themeColor="text1"/>
                <w:highlight w:val="none"/>
                <w:lang w:eastAsia="zh-CN"/>
                <w14:textFill>
                  <w14:solidFill>
                    <w14:schemeClr w14:val="tx1"/>
                  </w14:solidFill>
                </w14:textFill>
              </w:rPr>
              <w:t>及清远市</w:t>
            </w:r>
            <w:r>
              <w:rPr>
                <w:rFonts w:hint="default" w:ascii="Times New Roman" w:hAnsi="Times New Roman" w:eastAsia="宋体" w:cs="Times New Roman"/>
                <w:bCs w:val="0"/>
                <w:caps w:val="0"/>
                <w:color w:val="000000" w:themeColor="text1"/>
                <w:highlight w:val="none"/>
                <w14:textFill>
                  <w14:solidFill>
                    <w14:schemeClr w14:val="tx1"/>
                  </w14:solidFill>
                </w14:textFill>
              </w:rPr>
              <w:t>产业政策要求。</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8"/>
                <w:highlight w:val="none"/>
                <w14:textFill>
                  <w14:solidFill>
                    <w14:schemeClr w14:val="tx1"/>
                  </w14:solidFill>
                </w14:textFill>
              </w:rPr>
              <w:t>.</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7</w:t>
            </w:r>
            <w:r>
              <w:rPr>
                <w:rFonts w:hint="default" w:ascii="Times New Roman" w:hAnsi="Times New Roman" w:eastAsia="宋体" w:cs="Times New Roman"/>
                <w:b/>
                <w:color w:val="000000" w:themeColor="text1"/>
                <w:sz w:val="28"/>
                <w:szCs w:val="28"/>
                <w:highlight w:val="none"/>
                <w14:textFill>
                  <w14:solidFill>
                    <w14:schemeClr w14:val="tx1"/>
                  </w14:solidFill>
                </w14:textFill>
              </w:rPr>
              <w:t>项目环境可行性分析结论</w:t>
            </w:r>
          </w:p>
          <w:p>
            <w:pPr>
              <w:spacing w:line="360" w:lineRule="auto"/>
              <w:ind w:firstLine="480" w:firstLineChars="20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本项目符合佛冈县土地利用规划和</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汤塘</w:t>
            </w:r>
            <w:r>
              <w:rPr>
                <w:rFonts w:hint="default" w:ascii="Times New Roman" w:hAnsi="Times New Roman" w:eastAsia="宋体" w:cs="Times New Roman"/>
                <w:bCs/>
                <w:color w:val="000000" w:themeColor="text1"/>
                <w:sz w:val="24"/>
                <w:szCs w:val="24"/>
                <w:highlight w:val="none"/>
                <w14:textFill>
                  <w14:solidFill>
                    <w14:schemeClr w14:val="tx1"/>
                  </w14:solidFill>
                </w14:textFill>
              </w:rPr>
              <w:t>镇总体规划要求</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符合佛冈县环境保护规划及环境功能区划中的要求</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符合</w:t>
            </w:r>
            <w:r>
              <w:rPr>
                <w:rFonts w:hint="default" w:ascii="Times New Roman" w:hAnsi="Times New Roman" w:eastAsia="宋体" w:cs="Times New Roman"/>
                <w:color w:val="000000" w:themeColor="text1"/>
                <w:sz w:val="24"/>
                <w:szCs w:val="24"/>
                <w:highlight w:val="none"/>
                <w14:textFill>
                  <w14:solidFill>
                    <w14:schemeClr w14:val="tx1"/>
                  </w14:solidFill>
                </w14:textFill>
              </w:rPr>
              <w:t>该区域内建设项目环境管理的有关规定</w:t>
            </w:r>
            <w:r>
              <w:rPr>
                <w:rFonts w:hint="default" w:ascii="Times New Roman" w:hAnsi="Times New Roman" w:eastAsia="宋体" w:cs="Times New Roman"/>
                <w:bCs/>
                <w:color w:val="000000" w:themeColor="text1"/>
                <w:sz w:val="24"/>
                <w:szCs w:val="24"/>
                <w:highlight w:val="none"/>
                <w14:textFill>
                  <w14:solidFill>
                    <w14:schemeClr w14:val="tx1"/>
                  </w14:solidFill>
                </w14:textFill>
              </w:rPr>
              <w:t>；因此，</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default" w:ascii="Times New Roman" w:hAnsi="Times New Roman" w:eastAsia="宋体" w:cs="Times New Roman"/>
                <w:bCs/>
                <w:color w:val="000000" w:themeColor="text1"/>
                <w:sz w:val="24"/>
                <w:szCs w:val="24"/>
                <w:highlight w:val="none"/>
                <w14:textFill>
                  <w14:solidFill>
                    <w14:schemeClr w14:val="tx1"/>
                  </w14:solidFill>
                </w14:textFill>
              </w:rPr>
              <w:t>具有环境可行性。</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8"/>
                <w:highlight w:val="none"/>
                <w14:textFill>
                  <w14:solidFill>
                    <w14:schemeClr w14:val="tx1"/>
                  </w14:solidFill>
                </w14:textFill>
              </w:rPr>
              <w:t>.</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sz w:val="28"/>
                <w:szCs w:val="28"/>
                <w:highlight w:val="none"/>
                <w14:textFill>
                  <w14:solidFill>
                    <w14:schemeClr w14:val="tx1"/>
                  </w14:solidFill>
                </w14:textFill>
              </w:rPr>
              <w:t>评价要求与建议</w:t>
            </w:r>
          </w:p>
          <w:p>
            <w:pPr>
              <w:pStyle w:val="72"/>
              <w:keepNext w:val="0"/>
              <w:keepLines w:val="0"/>
              <w:pageBreakBefore w:val="0"/>
              <w:widowControl w:val="0"/>
              <w:kinsoku/>
              <w:wordWrap/>
              <w:overflowPunct/>
              <w:topLinePunct w:val="0"/>
              <w:autoSpaceDE/>
              <w:autoSpaceDN/>
              <w:bidi w:val="0"/>
              <w:adjustRightInd/>
              <w:snapToGrid/>
              <w:ind w:firstLine="0"/>
              <w:textAlignment w:val="baseline"/>
              <w:rPr>
                <w:rFonts w:hint="default" w:ascii="Times New Roman" w:hAnsi="Times New Roman" w:eastAsia="宋体" w:cs="Times New Roman"/>
                <w:b/>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1</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highlight w:val="none"/>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highlight w:val="none"/>
                <w14:textFill>
                  <w14:solidFill>
                    <w14:schemeClr w14:val="tx1"/>
                  </w14:solidFill>
                </w14:textFill>
              </w:rPr>
              <w:t>.1评价要求</w:t>
            </w:r>
          </w:p>
          <w:p>
            <w:pPr>
              <w:spacing w:line="360" w:lineRule="auto"/>
              <w:ind w:firstLine="488"/>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（1）依据环保法规，建设单位应认真审阅本项目环评报告中的全部内容，因漏报、虚报建设项目基础资料，导致“评建不符”的后果</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由建设单位承担主体责任。</w:t>
            </w:r>
          </w:p>
          <w:p>
            <w:pPr>
              <w:spacing w:line="360" w:lineRule="auto"/>
              <w:ind w:firstLine="488"/>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建设单位应严格按照环评报告中的内容、生态环境主管部门的批复意见及相关法规要求进行项目的建设，必须落实足够的环保资金，执行环保“三同时”制度，履行项目竣工环保验收；因违反有关环保法规引起的后果</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由建设单位承担主体责任。</w:t>
            </w:r>
          </w:p>
          <w:p>
            <w:pPr>
              <w:tabs>
                <w:tab w:val="left" w:pos="0"/>
              </w:tabs>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w:t>
            </w:r>
            <w:r>
              <w:rPr>
                <w:rFonts w:hint="default" w:ascii="Times New Roman" w:hAnsi="Times New Roman" w:eastAsia="宋体" w:cs="Times New Roman"/>
                <w:color w:val="000000" w:themeColor="text1"/>
                <w:sz w:val="24"/>
                <w:highlight w:val="none"/>
                <w14:textFill>
                  <w14:solidFill>
                    <w14:schemeClr w14:val="tx1"/>
                  </w14:solidFill>
                </w14:textFill>
              </w:rPr>
              <w:t>依据（环境保护部文件--环发[2015]4号）《企业事业单位突发环境事件应急预案备案管理办法（试行）》的规定，</w:t>
            </w:r>
            <w:r>
              <w:rPr>
                <w:rFonts w:hint="default" w:ascii="Times New Roman" w:hAnsi="Times New Roman" w:eastAsia="宋体" w:cs="Times New Roman"/>
                <w:color w:val="000000" w:themeColor="text1"/>
                <w:sz w:val="24"/>
                <w:szCs w:val="24"/>
                <w:highlight w:val="none"/>
                <w14:textFill>
                  <w14:solidFill>
                    <w14:schemeClr w14:val="tx1"/>
                  </w14:solidFill>
                </w14:textFill>
              </w:rPr>
              <w:t>建设单位</w:t>
            </w:r>
            <w:r>
              <w:rPr>
                <w:rFonts w:hint="default" w:ascii="Times New Roman" w:hAnsi="Times New Roman" w:eastAsia="宋体" w:cs="Times New Roman"/>
                <w:color w:val="000000" w:themeColor="text1"/>
                <w:sz w:val="24"/>
                <w:highlight w:val="none"/>
                <w14:textFill>
                  <w14:solidFill>
                    <w14:schemeClr w14:val="tx1"/>
                  </w14:solidFill>
                </w14:textFill>
              </w:rPr>
              <w:t>应编制《突发环境事件应急预案》并报环保部门审查备案。</w:t>
            </w:r>
          </w:p>
          <w:p>
            <w:pPr>
              <w:spacing w:line="360" w:lineRule="auto"/>
              <w:ind w:firstLine="488"/>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若建设项目的生产工艺发生重大变更</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或生产规模扩大、生产技术更新改造，都必须依法重新进行环境影响评价，并征得生态环境主管部门审批同意后方可实施。</w:t>
            </w:r>
          </w:p>
          <w:p>
            <w:pPr>
              <w:pStyle w:val="72"/>
              <w:adjustRightInd/>
              <w:ind w:firstLine="0"/>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highlight w:val="none"/>
                <w14:textFill>
                  <w14:solidFill>
                    <w14:schemeClr w14:val="tx1"/>
                  </w14:solidFill>
                </w14:textFill>
              </w:rPr>
              <w:t>1</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highlight w:val="none"/>
                <w14:textFill>
                  <w14:solidFill>
                    <w14:schemeClr w14:val="tx1"/>
                  </w14:solidFill>
                </w14:textFill>
              </w:rPr>
              <w:t>.</w:t>
            </w:r>
            <w:r>
              <w:rPr>
                <w:rFonts w:hint="default" w:ascii="Times New Roman" w:hAnsi="Times New Roman" w:eastAsia="宋体" w:cs="Times New Roman"/>
                <w:b/>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b/>
                <w:color w:val="000000" w:themeColor="text1"/>
                <w:highlight w:val="none"/>
                <w14:textFill>
                  <w14:solidFill>
                    <w14:schemeClr w14:val="tx1"/>
                  </w14:solidFill>
                </w14:textFill>
              </w:rPr>
              <w:t>.2评价</w:t>
            </w:r>
            <w:r>
              <w:rPr>
                <w:rFonts w:hint="default" w:ascii="Times New Roman" w:hAnsi="Times New Roman" w:eastAsia="宋体" w:cs="Times New Roman"/>
                <w:b/>
                <w:bCs w:val="0"/>
                <w:color w:val="000000" w:themeColor="text1"/>
                <w:highlight w:val="none"/>
                <w14:textFill>
                  <w14:solidFill>
                    <w14:schemeClr w14:val="tx1"/>
                  </w14:solidFill>
                </w14:textFill>
              </w:rPr>
              <w:t>建议</w:t>
            </w:r>
          </w:p>
          <w:p>
            <w:pPr>
              <w:keepNext w:val="0"/>
              <w:keepLines w:val="0"/>
              <w:pageBreakBefore w:val="0"/>
              <w:widowControl w:val="0"/>
              <w:kinsoku/>
              <w:wordWrap/>
              <w:overflowPunct/>
              <w:topLinePunct w:val="0"/>
              <w:autoSpaceDE/>
              <w:autoSpaceDN/>
              <w:bidi w:val="0"/>
              <w:adjustRightInd/>
              <w:snapToGrid/>
              <w:spacing w:line="360" w:lineRule="auto"/>
              <w:ind w:firstLine="488"/>
              <w:textAlignment w:val="auto"/>
              <w:outlineLvl w:val="9"/>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（1）建议委托专业的环保技术机构编制本项目的</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环保治理措施设计方案</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并委托行业专家进行论证，以确保本项目环保治理措施的合理性、可行性。</w:t>
            </w:r>
          </w:p>
          <w:p>
            <w:pPr>
              <w:keepNext w:val="0"/>
              <w:keepLines w:val="0"/>
              <w:pageBreakBefore w:val="0"/>
              <w:widowControl w:val="0"/>
              <w:kinsoku/>
              <w:wordWrap/>
              <w:overflowPunct/>
              <w:topLinePunct w:val="0"/>
              <w:autoSpaceDE/>
              <w:autoSpaceDN/>
              <w:bidi w:val="0"/>
              <w:adjustRightInd/>
              <w:snapToGrid/>
              <w:spacing w:line="360" w:lineRule="auto"/>
              <w:ind w:firstLine="488"/>
              <w:textAlignment w:val="auto"/>
              <w:outlineLvl w:val="9"/>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（2）建议项目运行期定期委托环境监测机构对废气、厂界噪声进行监测。</w:t>
            </w:r>
          </w:p>
          <w:p>
            <w:pPr>
              <w:keepNext w:val="0"/>
              <w:keepLines w:val="0"/>
              <w:pageBreakBefore w:val="0"/>
              <w:widowControl w:val="0"/>
              <w:kinsoku/>
              <w:wordWrap/>
              <w:overflowPunct/>
              <w:topLinePunct w:val="0"/>
              <w:autoSpaceDE/>
              <w:autoSpaceDN/>
              <w:bidi w:val="0"/>
              <w:adjustRightInd/>
              <w:snapToGrid/>
              <w:spacing w:line="360" w:lineRule="auto"/>
              <w:ind w:firstLine="488"/>
              <w:textAlignment w:val="auto"/>
              <w:outlineLvl w:val="9"/>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（3）建立健全环境保护岗位责任制和环保工作台帐制度，设立环保专职人员负责经常性的环保管理工作。</w:t>
            </w:r>
          </w:p>
          <w:p>
            <w:pPr>
              <w:spacing w:line="480" w:lineRule="exact"/>
              <w:ind w:firstLine="480" w:firstLineChars="200"/>
              <w:jc w:val="left"/>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建立</w:t>
            </w:r>
            <w:r>
              <w:rPr>
                <w:rFonts w:hint="default" w:ascii="Times New Roman" w:hAnsi="Times New Roman" w:eastAsia="宋体" w:cs="Times New Roman"/>
                <w:color w:val="000000" w:themeColor="text1"/>
                <w:sz w:val="24"/>
                <w:szCs w:val="24"/>
                <w:highlight w:val="none"/>
                <w14:textFill>
                  <w14:solidFill>
                    <w14:schemeClr w14:val="tx1"/>
                  </w14:solidFill>
                </w14:textFill>
              </w:rPr>
              <w:t>企业需成立清洁生产领导小组，持续开展清洁生产，以进一步实现“节能、降耗、减污、增效”的目标。</w:t>
            </w:r>
          </w:p>
          <w:p>
            <w:pPr>
              <w:pStyle w:val="72"/>
              <w:keepNext w:val="0"/>
              <w:keepLines w:val="0"/>
              <w:pageBreakBefore w:val="0"/>
              <w:widowControl w:val="0"/>
              <w:kinsoku/>
              <w:wordWrap/>
              <w:overflowPunct/>
              <w:topLinePunct w:val="0"/>
              <w:autoSpaceDE/>
              <w:autoSpaceDN/>
              <w:bidi w:val="0"/>
              <w:adjustRightInd/>
              <w:snapToGrid/>
              <w:ind w:firstLine="0"/>
              <w:textAlignment w:val="baseline"/>
              <w:outlineLvl w:val="9"/>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1</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8"/>
                <w:szCs w:val="28"/>
                <w:highlight w:val="none"/>
                <w14:textFill>
                  <w14:solidFill>
                    <w14:schemeClr w14:val="tx1"/>
                  </w14:solidFill>
                </w14:textFill>
              </w:rPr>
              <w:t>.</w:t>
            </w:r>
            <w:r>
              <w:rPr>
                <w:rFonts w:hint="default" w:ascii="Times New Roman" w:hAnsi="Times New Roman" w:eastAsia="宋体" w:cs="Times New Roman"/>
                <w:b/>
                <w:color w:val="000000" w:themeColor="text1"/>
                <w:sz w:val="28"/>
                <w:szCs w:val="28"/>
                <w:highlight w:val="none"/>
                <w:lang w:val="en-US" w:eastAsia="zh-CN"/>
                <w14:textFill>
                  <w14:solidFill>
                    <w14:schemeClr w14:val="tx1"/>
                  </w14:solidFill>
                </w14:textFill>
              </w:rPr>
              <w:t>9</w:t>
            </w:r>
            <w:r>
              <w:rPr>
                <w:rFonts w:hint="default" w:ascii="Times New Roman" w:hAnsi="Times New Roman" w:eastAsia="宋体" w:cs="Times New Roman"/>
                <w:b/>
                <w:color w:val="000000" w:themeColor="text1"/>
                <w:sz w:val="28"/>
                <w:szCs w:val="28"/>
                <w:highlight w:val="none"/>
                <w14:textFill>
                  <w14:solidFill>
                    <w14:schemeClr w14:val="tx1"/>
                  </w14:solidFill>
                </w14:textFill>
              </w:rPr>
              <w:t>评价总结论</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评价报告认为，建设单位按现有报建规模，在确保严格执行建设项目环境保护“三同时制度”，对本报告表所提出的各项污染防治措施和建议逐项予以落实，加强生产和污染治理设施的运行管理，完善环境应急措施及规范，逐步实施“清洁生产、总量减排”，在确保各污染物达标排放的前提下，本项目在总体上对周围环境的影响可以控制在允许的范围以内，不会改变所在地区的环境功能属性。</w:t>
            </w:r>
          </w:p>
          <w:p>
            <w:pPr>
              <w:spacing w:line="360" w:lineRule="auto"/>
              <w:ind w:firstLine="482" w:firstLineChars="200"/>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综上所述，本项目从环境保护管理角度分析是可行的。</w:t>
            </w:r>
            <w:r>
              <w:rPr>
                <w:rFonts w:hint="default" w:ascii="Times New Roman" w:hAnsi="Times New Roman" w:eastAsia="宋体" w:cs="Times New Roman"/>
                <w:b/>
                <w:bCs/>
                <w:color w:val="000000" w:themeColor="text1"/>
                <w:highlight w:val="none"/>
                <w14:textFill>
                  <w14:solidFill>
                    <w14:schemeClr w14:val="tx1"/>
                  </w14:solidFill>
                </w14:textFill>
              </w:rPr>
              <w:t xml:space="preserve"> </w:t>
            </w:r>
          </w:p>
          <w:p>
            <w:pPr>
              <w:spacing w:line="360" w:lineRule="auto"/>
              <w:ind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pPr>
              <w:spacing w:line="360" w:lineRule="auto"/>
              <w:ind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pPr>
              <w:spacing w:line="360" w:lineRule="auto"/>
              <w:ind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pPr>
              <w:spacing w:line="360" w:lineRule="auto"/>
              <w:ind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pPr>
              <w:spacing w:line="360" w:lineRule="auto"/>
              <w:ind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pPr>
              <w:spacing w:line="360" w:lineRule="auto"/>
              <w:ind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pPr>
              <w:spacing w:line="360" w:lineRule="auto"/>
              <w:ind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pPr>
              <w:pStyle w:val="2"/>
              <w:rPr>
                <w:rFonts w:hint="default" w:ascii="Times New Roman" w:hAnsi="Times New Roman" w:eastAsia="宋体" w:cs="Times New Roman"/>
                <w:color w:val="000000" w:themeColor="text1"/>
                <w:highlight w:val="none"/>
                <w14:textFill>
                  <w14:solidFill>
                    <w14:schemeClr w14:val="tx1"/>
                  </w14:solidFill>
                </w14:textFill>
              </w:rPr>
            </w:pPr>
          </w:p>
          <w:p>
            <w:pPr>
              <w:spacing w:line="360" w:lineRule="auto"/>
              <w:ind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pPr>
              <w:pStyle w:val="2"/>
              <w:rPr>
                <w:rFonts w:hint="default" w:ascii="Times New Roman" w:hAnsi="Times New Roman" w:eastAsia="宋体" w:cs="Times New Roman"/>
                <w:color w:val="000000" w:themeColor="text1"/>
                <w14:textFill>
                  <w14:solidFill>
                    <w14:schemeClr w14:val="tx1"/>
                  </w14:solidFill>
                </w14:textFill>
              </w:rPr>
            </w:pPr>
          </w:p>
          <w:p>
            <w:pPr>
              <w:spacing w:line="360" w:lineRule="auto"/>
              <w:ind w:firstLine="420" w:firstLineChars="200"/>
              <w:rPr>
                <w:rFonts w:hint="default" w:ascii="Times New Roman" w:hAnsi="Times New Roman" w:eastAsia="宋体" w:cs="Times New Roman"/>
                <w:color w:val="000000" w:themeColor="text1"/>
                <w:highlight w:val="none"/>
                <w14:textFill>
                  <w14:solidFill>
                    <w14:schemeClr w14:val="tx1"/>
                  </w14:solidFill>
                </w14:textFill>
              </w:rPr>
            </w:pPr>
          </w:p>
          <w:p>
            <w:pPr>
              <w:spacing w:line="360" w:lineRule="auto"/>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预审意见：</w:t>
            </w: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 xml:space="preserve">      </w:t>
            </w:r>
          </w:p>
          <w:p>
            <w:pPr>
              <w:ind w:firstLine="6580" w:firstLineChars="235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公   章</w:t>
            </w:r>
          </w:p>
          <w:p>
            <w:pPr>
              <w:tabs>
                <w:tab w:val="left" w:pos="0"/>
              </w:tabs>
              <w:spacing w:line="360" w:lineRule="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经办人：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5423" w:hRule="atLeast"/>
          <w:jc w:val="center"/>
        </w:trPr>
        <w:tc>
          <w:tcPr>
            <w:tcW w:w="9400" w:type="dxa"/>
          </w:tcPr>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下一级环境保护行政主管部门审查意见：</w:t>
            </w: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 xml:space="preserve">      </w:t>
            </w: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 xml:space="preserve">                                            </w:t>
            </w: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 xml:space="preserve">                                             </w:t>
            </w: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 xml:space="preserve">                                                公   章</w:t>
            </w: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经办人：                                   年     月     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trHeight w:val="13659" w:hRule="atLeast"/>
          <w:jc w:val="center"/>
        </w:trPr>
        <w:tc>
          <w:tcPr>
            <w:tcW w:w="9400" w:type="dxa"/>
          </w:tcPr>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审批意见：</w:t>
            </w:r>
          </w:p>
          <w:p>
            <w:pPr>
              <w:spacing w:line="312" w:lineRule="auto"/>
              <w:rPr>
                <w:rFonts w:hint="default" w:ascii="Times New Roman" w:hAnsi="Times New Roman" w:eastAsia="宋体" w:cs="Times New Roman"/>
                <w:b/>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 xml:space="preserve">     </w:t>
            </w: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b/>
                <w:color w:val="000000" w:themeColor="text1"/>
                <w:sz w:val="28"/>
                <w:szCs w:val="28"/>
                <w:highlight w:val="none"/>
                <w14:textFill>
                  <w14:solidFill>
                    <w14:schemeClr w14:val="tx1"/>
                  </w14:solidFill>
                </w14:textFill>
              </w:rPr>
              <w:t xml:space="preserve">         </w:t>
            </w:r>
            <w:r>
              <w:rPr>
                <w:rFonts w:hint="default" w:ascii="Times New Roman" w:hAnsi="Times New Roman" w:eastAsia="宋体" w:cs="Times New Roman"/>
                <w:color w:val="000000" w:themeColor="text1"/>
                <w:sz w:val="28"/>
                <w:szCs w:val="28"/>
                <w:highlight w:val="none"/>
                <w14:textFill>
                  <w14:solidFill>
                    <w14:schemeClr w14:val="tx1"/>
                  </w14:solidFill>
                </w14:textFill>
              </w:rPr>
              <w:t xml:space="preserve">                                      </w:t>
            </w:r>
          </w:p>
          <w:p>
            <w:pPr>
              <w:ind w:firstLine="6300" w:firstLineChars="225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ind w:firstLine="6300" w:firstLineChars="2250"/>
              <w:rPr>
                <w:rFonts w:hint="default" w:ascii="Times New Roman" w:hAnsi="Times New Roman" w:eastAsia="宋体" w:cs="Times New Roman"/>
                <w:color w:val="000000" w:themeColor="text1"/>
                <w:sz w:val="28"/>
                <w:szCs w:val="28"/>
                <w:highlight w:val="none"/>
                <w14:textFill>
                  <w14:solidFill>
                    <w14:schemeClr w14:val="tx1"/>
                  </w14:solidFill>
                </w14:textFill>
              </w:rPr>
            </w:pPr>
          </w:p>
          <w:p>
            <w:pPr>
              <w:ind w:firstLine="6300" w:firstLineChars="2250"/>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公   章</w:t>
            </w:r>
          </w:p>
          <w:p>
            <w:pPr>
              <w:rPr>
                <w:rFonts w:hint="default" w:ascii="Times New Roman" w:hAnsi="Times New Roman" w:eastAsia="宋体" w:cs="Times New Roman"/>
                <w:color w:val="000000" w:themeColor="text1"/>
                <w:sz w:val="28"/>
                <w:szCs w:val="28"/>
                <w:highlight w:val="none"/>
                <w14:textFill>
                  <w14:solidFill>
                    <w14:schemeClr w14:val="tx1"/>
                  </w14:solidFill>
                </w14:textFill>
              </w:rPr>
            </w:pPr>
            <w:r>
              <w:rPr>
                <w:rFonts w:hint="default" w:ascii="Times New Roman" w:hAnsi="Times New Roman" w:eastAsia="宋体" w:cs="Times New Roman"/>
                <w:color w:val="000000" w:themeColor="text1"/>
                <w:sz w:val="28"/>
                <w:szCs w:val="28"/>
                <w:highlight w:val="none"/>
                <w14:textFill>
                  <w14:solidFill>
                    <w14:schemeClr w14:val="tx1"/>
                  </w14:solidFill>
                </w14:textFill>
              </w:rPr>
              <w:t>经办人：                                 年     月      日</w:t>
            </w:r>
          </w:p>
          <w:p>
            <w:pPr>
              <w:rPr>
                <w:rFonts w:hint="default" w:ascii="Times New Roman" w:hAnsi="Times New Roman" w:eastAsia="宋体" w:cs="Times New Roman"/>
                <w:b/>
                <w:color w:val="000000" w:themeColor="text1"/>
                <w:sz w:val="28"/>
                <w:szCs w:val="28"/>
                <w:highlight w:val="none"/>
                <w14:textFill>
                  <w14:solidFill>
                    <w14:schemeClr w14:val="tx1"/>
                  </w14:solidFill>
                </w14:textFill>
              </w:rPr>
            </w:pPr>
          </w:p>
          <w:p>
            <w:pPr>
              <w:spacing w:line="480" w:lineRule="auto"/>
              <w:jc w:val="center"/>
              <w:rPr>
                <w:rFonts w:hint="default" w:ascii="Times New Roman" w:hAnsi="Times New Roman" w:eastAsia="宋体" w:cs="Times New Roman"/>
                <w:b/>
                <w:color w:val="000000" w:themeColor="text1"/>
                <w:sz w:val="30"/>
                <w:highlight w:val="none"/>
                <w14:textFill>
                  <w14:solidFill>
                    <w14:schemeClr w14:val="tx1"/>
                  </w14:solidFill>
                </w14:textFill>
              </w:rPr>
            </w:pPr>
            <w:r>
              <w:rPr>
                <w:rFonts w:hint="default" w:ascii="Times New Roman" w:hAnsi="Times New Roman" w:eastAsia="宋体" w:cs="Times New Roman"/>
                <w:b/>
                <w:color w:val="000000" w:themeColor="text1"/>
                <w:sz w:val="30"/>
                <w:highlight w:val="none"/>
                <w14:textFill>
                  <w14:solidFill>
                    <w14:schemeClr w14:val="tx1"/>
                  </w14:solidFill>
                </w14:textFill>
              </w:rPr>
              <w:t>注 释</w:t>
            </w:r>
          </w:p>
          <w:p>
            <w:pPr>
              <w:spacing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一、本报告表应附以下附件、附图：</w:t>
            </w:r>
          </w:p>
          <w:p>
            <w:pPr>
              <w:jc w:val="left"/>
              <w:rPr>
                <w:rFonts w:hint="default" w:ascii="Times New Roman" w:hAnsi="Times New Roman" w:eastAsia="宋体" w:cs="Times New Roman"/>
                <w:bCs/>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附图：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附图1 项目地理位置图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附图2 项目四至位置</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和</w:t>
            </w:r>
            <w:r>
              <w:rPr>
                <w:rFonts w:hint="default" w:ascii="Times New Roman" w:hAnsi="Times New Roman" w:eastAsia="宋体" w:cs="Times New Roman"/>
                <w:color w:val="000000" w:themeColor="text1"/>
                <w:sz w:val="24"/>
                <w:highlight w:val="none"/>
                <w14:textFill>
                  <w14:solidFill>
                    <w14:schemeClr w14:val="tx1"/>
                  </w14:solidFill>
                </w14:textFill>
              </w:rPr>
              <w:t>噪声监测布点图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eastAsia="zh-CN"/>
                <w14:textFill>
                  <w14:solidFill>
                    <w14:schemeClr w14:val="tx1"/>
                  </w14:solidFill>
                </w14:textFill>
              </w:rPr>
              <w:t>附图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 项目总平面布置图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附图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 xml:space="preserve"> 项目敏感点分布图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附图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 xml:space="preserve"> 项目与引用的</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地表水</w:t>
            </w:r>
            <w:r>
              <w:rPr>
                <w:rFonts w:hint="default" w:ascii="Times New Roman" w:hAnsi="Times New Roman" w:eastAsia="宋体" w:cs="Times New Roman"/>
                <w:color w:val="000000" w:themeColor="text1"/>
                <w:sz w:val="24"/>
                <w:highlight w:val="none"/>
                <w14:textFill>
                  <w14:solidFill>
                    <w14:schemeClr w14:val="tx1"/>
                  </w14:solidFill>
                </w14:textFill>
              </w:rPr>
              <w:t>监测布点关系图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附图</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14:textFill>
                  <w14:solidFill>
                    <w14:schemeClr w14:val="tx1"/>
                  </w14:solidFill>
                </w14:textFill>
              </w:rPr>
              <w:t xml:space="preserve"> 项目周边环境现状</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附</w:t>
            </w:r>
            <w:r>
              <w:rPr>
                <w:rFonts w:hint="default" w:ascii="Times New Roman" w:hAnsi="Times New Roman" w:eastAsia="宋体" w:cs="Times New Roman"/>
                <w:b/>
                <w:color w:val="000000" w:themeColor="text1"/>
                <w:sz w:val="24"/>
                <w:highlight w:val="none"/>
                <w:lang w:eastAsia="zh-CN"/>
                <w14:textFill>
                  <w14:solidFill>
                    <w14:schemeClr w14:val="tx1"/>
                  </w14:solidFill>
                </w14:textFill>
              </w:rPr>
              <w:t>件</w:t>
            </w:r>
            <w:r>
              <w:rPr>
                <w:rFonts w:hint="default" w:ascii="Times New Roman" w:hAnsi="Times New Roman" w:eastAsia="宋体" w:cs="Times New Roman"/>
                <w:b/>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附件1 环评承诺书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附件2 环评委托书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附件3 营业执照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14:textFill>
                  <w14:solidFill>
                    <w14:schemeClr w14:val="tx1"/>
                  </w14:solidFill>
                </w14:textFill>
              </w:rPr>
              <w:t xml:space="preserve">附件4 </w:t>
            </w: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土地使用证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附件</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5 租地协议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附件</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6 场所证明</w:t>
            </w:r>
          </w:p>
          <w:p>
            <w:pPr>
              <w:pStyle w:val="10"/>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snapToGrid w:val="0"/>
                <w:color w:val="000000" w:themeColor="text1"/>
                <w:kern w:val="2"/>
                <w:sz w:val="24"/>
                <w:szCs w:val="22"/>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4"/>
                <w:szCs w:val="22"/>
                <w:highlight w:val="none"/>
                <w:lang w:val="en-US" w:eastAsia="zh-CN" w:bidi="ar-SA"/>
                <w14:textFill>
                  <w14:solidFill>
                    <w14:schemeClr w14:val="tx1"/>
                  </w14:solidFill>
                </w14:textFill>
              </w:rPr>
              <w:t>附件7 监测数据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附件</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8 建设项目设计基础资料调查表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2"/>
                <w:highlight w:val="none"/>
                <w14:textFill>
                  <w14:solidFill>
                    <w14:schemeClr w14:val="tx1"/>
                  </w14:solidFill>
                </w14:textFill>
              </w:rPr>
            </w:pPr>
            <w:r>
              <w:rPr>
                <w:rFonts w:hint="default" w:ascii="Times New Roman" w:hAnsi="Times New Roman" w:eastAsia="宋体" w:cs="Times New Roman"/>
                <w:color w:val="000000" w:themeColor="text1"/>
                <w:sz w:val="24"/>
                <w:szCs w:val="22"/>
                <w:highlight w:val="none"/>
                <w:lang w:eastAsia="zh-CN"/>
                <w14:textFill>
                  <w14:solidFill>
                    <w14:schemeClr w14:val="tx1"/>
                  </w14:solidFill>
                </w14:textFill>
              </w:rPr>
              <w:t>附件</w:t>
            </w:r>
            <w:r>
              <w:rPr>
                <w:rFonts w:hint="default" w:ascii="Times New Roman" w:hAnsi="Times New Roman" w:eastAsia="宋体" w:cs="Times New Roman"/>
                <w:color w:val="000000" w:themeColor="text1"/>
                <w:sz w:val="24"/>
                <w:szCs w:val="22"/>
                <w:highlight w:val="none"/>
                <w:lang w:val="en-US" w:eastAsia="zh-CN"/>
                <w14:textFill>
                  <w14:solidFill>
                    <w14:schemeClr w14:val="tx1"/>
                  </w14:solidFill>
                </w14:textFill>
              </w:rPr>
              <w:t xml:space="preserve">9 </w:t>
            </w:r>
            <w:r>
              <w:rPr>
                <w:rFonts w:hint="default" w:ascii="Times New Roman" w:hAnsi="Times New Roman" w:eastAsia="宋体" w:cs="Times New Roman"/>
                <w:color w:val="000000" w:themeColor="text1"/>
                <w:sz w:val="24"/>
                <w:szCs w:val="22"/>
                <w:highlight w:val="none"/>
                <w14:textFill>
                  <w14:solidFill>
                    <w14:schemeClr w14:val="tx1"/>
                  </w14:solidFill>
                </w14:textFill>
              </w:rPr>
              <w:t>建设项目环评审批基础信息表</w:t>
            </w:r>
          </w:p>
          <w:p>
            <w:pPr>
              <w:spacing w:line="336"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二、如果本报告表不能说明项目产生的污染及对环境造成的影响，应进行专项评价。根据建设项目的特点和当地环境特征，应选择1-2项目进行专项评价。</w:t>
            </w:r>
          </w:p>
          <w:p>
            <w:pPr>
              <w:adjustRightInd w:val="0"/>
              <w:snapToGrid w:val="0"/>
              <w:spacing w:line="336" w:lineRule="auto"/>
              <w:ind w:firstLine="51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1．大气环境影响专项评价</w:t>
            </w:r>
          </w:p>
          <w:p>
            <w:pPr>
              <w:adjustRightInd w:val="0"/>
              <w:snapToGrid w:val="0"/>
              <w:spacing w:line="336" w:lineRule="auto"/>
              <w:ind w:firstLine="51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2．水环境影响专项评价</w:t>
            </w:r>
          </w:p>
          <w:p>
            <w:pPr>
              <w:adjustRightInd w:val="0"/>
              <w:snapToGrid w:val="0"/>
              <w:spacing w:line="336" w:lineRule="auto"/>
              <w:ind w:firstLine="51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3．生态影响专项评价</w:t>
            </w:r>
          </w:p>
          <w:p>
            <w:pPr>
              <w:adjustRightInd w:val="0"/>
              <w:snapToGrid w:val="0"/>
              <w:spacing w:line="336" w:lineRule="auto"/>
              <w:ind w:firstLine="51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4．声影响专项评价</w:t>
            </w:r>
          </w:p>
          <w:p>
            <w:pPr>
              <w:adjustRightInd w:val="0"/>
              <w:snapToGrid w:val="0"/>
              <w:spacing w:line="336" w:lineRule="auto"/>
              <w:ind w:firstLine="51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5．土壤影响专项评价</w:t>
            </w:r>
          </w:p>
          <w:p>
            <w:pPr>
              <w:adjustRightInd w:val="0"/>
              <w:snapToGrid w:val="0"/>
              <w:spacing w:line="336" w:lineRule="auto"/>
              <w:ind w:firstLine="51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6．固体废弃物专项评价</w:t>
            </w:r>
          </w:p>
          <w:p>
            <w:pPr>
              <w:pStyle w:val="72"/>
              <w:snapToGrid w:val="0"/>
              <w:spacing w:line="336"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以上专项评价未包括的可另列专项，专项评价按照《环境影响评价技术导则》中的要求进行。</w:t>
            </w:r>
          </w:p>
        </w:tc>
      </w:tr>
    </w:tbl>
    <w:p>
      <w:pPr>
        <w:pStyle w:val="37"/>
        <w:ind w:left="0"/>
        <w:rPr>
          <w:rFonts w:hint="default" w:ascii="Times New Roman" w:hAnsi="Times New Roman" w:eastAsia="宋体" w:cs="Times New Roman"/>
          <w:color w:val="000000" w:themeColor="text1"/>
          <w:highlight w:val="none"/>
          <w14:textFill>
            <w14:solidFill>
              <w14:schemeClr w14:val="tx1"/>
            </w14:solidFill>
          </w14:textFill>
        </w:rPr>
      </w:pPr>
    </w:p>
    <w:sectPr>
      <w:pgSz w:w="11906" w:h="16838"/>
      <w:pgMar w:top="1304" w:right="1304" w:bottom="1304" w:left="1304" w:header="851" w:footer="992" w:gutter="0"/>
      <w:pgBorders>
        <w:top w:val="none" w:sz="0" w:space="0"/>
        <w:left w:val="none" w:sz="0" w:space="0"/>
        <w:bottom w:val="none" w:sz="0" w:space="0"/>
        <w:right w:val="none" w:sz="0" w:space="0"/>
      </w:pgBorders>
      <w:cols w:space="0" w:num="1"/>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7A"/>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Dialog">
    <w:altName w:val="Times New Roman"/>
    <w:panose1 w:val="00000000000000000000"/>
    <w:charset w:val="00"/>
    <w:family w:val="auto"/>
    <w:pitch w:val="default"/>
    <w:sig w:usb0="00000000" w:usb1="00000000" w:usb2="00000000" w:usb3="00000000" w:csb0="00040001" w:csb1="00000000"/>
  </w:font>
  <w:font w:name="Impact">
    <w:panose1 w:val="020B0806030902050204"/>
    <w:charset w:val="00"/>
    <w:family w:val="swiss"/>
    <w:pitch w:val="default"/>
    <w:sig w:usb0="00000287" w:usb1="00000000" w:usb2="00000000" w:usb3="00000000" w:csb0="2000009F" w:csb1="DFD70000"/>
  </w:font>
  <w:font w:name="仿宋体">
    <w:altName w:val="宋体"/>
    <w:panose1 w:val="00000000000000000000"/>
    <w:charset w:val="86"/>
    <w:family w:val="roma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PMingLiU">
    <w:panose1 w:val="02020500000000000000"/>
    <w:charset w:val="88"/>
    <w:family w:val="auto"/>
    <w:pitch w:val="default"/>
    <w:sig w:usb0="A00002FF" w:usb1="28CFFCFA" w:usb2="00000016" w:usb3="00000000" w:csb0="001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31"/>
      </w:rPr>
    </w:pPr>
    <w:r>
      <w:fldChar w:fldCharType="begin"/>
    </w:r>
    <w:r>
      <w:rPr>
        <w:rStyle w:val="31"/>
      </w:rPr>
      <w:instrText xml:space="preserve">PAGE  </w:instrText>
    </w:r>
    <w:r>
      <w:fldChar w:fldCharType="separate"/>
    </w:r>
    <w:r>
      <w:rPr>
        <w:rStyle w:val="31"/>
      </w:rPr>
      <w:t>1</w:t>
    </w:r>
    <w:r>
      <w:fldChar w:fldCharType="end"/>
    </w: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5DD544"/>
    <w:multiLevelType w:val="singleLevel"/>
    <w:tmpl w:val="B75DD544"/>
    <w:lvl w:ilvl="0" w:tentative="0">
      <w:start w:val="4"/>
      <w:numFmt w:val="decimal"/>
      <w:suff w:val="nothing"/>
      <w:lvlText w:val="（%1）"/>
      <w:lvlJc w:val="left"/>
    </w:lvl>
  </w:abstractNum>
  <w:abstractNum w:abstractNumId="1">
    <w:nsid w:val="BD6D6C65"/>
    <w:multiLevelType w:val="singleLevel"/>
    <w:tmpl w:val="BD6D6C65"/>
    <w:lvl w:ilvl="0" w:tentative="0">
      <w:start w:val="2"/>
      <w:numFmt w:val="decimal"/>
      <w:suff w:val="nothing"/>
      <w:lvlText w:val="（%1）"/>
      <w:lvlJc w:val="left"/>
    </w:lvl>
  </w:abstractNum>
  <w:abstractNum w:abstractNumId="2">
    <w:nsid w:val="DF2D7A17"/>
    <w:multiLevelType w:val="singleLevel"/>
    <w:tmpl w:val="DF2D7A17"/>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hideSpellingErrors/>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F0"/>
    <w:rsid w:val="00000BCA"/>
    <w:rsid w:val="00001106"/>
    <w:rsid w:val="00001712"/>
    <w:rsid w:val="00002E7B"/>
    <w:rsid w:val="0000408A"/>
    <w:rsid w:val="00010357"/>
    <w:rsid w:val="00010993"/>
    <w:rsid w:val="00012628"/>
    <w:rsid w:val="00012A32"/>
    <w:rsid w:val="00012D70"/>
    <w:rsid w:val="00013E69"/>
    <w:rsid w:val="000148C0"/>
    <w:rsid w:val="00015595"/>
    <w:rsid w:val="0002230C"/>
    <w:rsid w:val="00022664"/>
    <w:rsid w:val="00022751"/>
    <w:rsid w:val="0002325A"/>
    <w:rsid w:val="0002397A"/>
    <w:rsid w:val="00024314"/>
    <w:rsid w:val="00024C6A"/>
    <w:rsid w:val="000257A5"/>
    <w:rsid w:val="0002764F"/>
    <w:rsid w:val="00027C84"/>
    <w:rsid w:val="0003256A"/>
    <w:rsid w:val="0003269B"/>
    <w:rsid w:val="00032D1C"/>
    <w:rsid w:val="00034004"/>
    <w:rsid w:val="00034909"/>
    <w:rsid w:val="000400B2"/>
    <w:rsid w:val="0004042B"/>
    <w:rsid w:val="0004135D"/>
    <w:rsid w:val="00042120"/>
    <w:rsid w:val="000427B5"/>
    <w:rsid w:val="0004415A"/>
    <w:rsid w:val="00045009"/>
    <w:rsid w:val="00046E03"/>
    <w:rsid w:val="000472B2"/>
    <w:rsid w:val="00047484"/>
    <w:rsid w:val="0004769A"/>
    <w:rsid w:val="00047710"/>
    <w:rsid w:val="00047B66"/>
    <w:rsid w:val="00050157"/>
    <w:rsid w:val="000506B7"/>
    <w:rsid w:val="0005127C"/>
    <w:rsid w:val="00052B3B"/>
    <w:rsid w:val="00053698"/>
    <w:rsid w:val="00055112"/>
    <w:rsid w:val="000551C7"/>
    <w:rsid w:val="00055584"/>
    <w:rsid w:val="0005577A"/>
    <w:rsid w:val="00055885"/>
    <w:rsid w:val="00055FDC"/>
    <w:rsid w:val="00056786"/>
    <w:rsid w:val="00056F82"/>
    <w:rsid w:val="000575DE"/>
    <w:rsid w:val="00060479"/>
    <w:rsid w:val="00060745"/>
    <w:rsid w:val="00061416"/>
    <w:rsid w:val="00061475"/>
    <w:rsid w:val="00061B10"/>
    <w:rsid w:val="00062C00"/>
    <w:rsid w:val="00064980"/>
    <w:rsid w:val="00064C77"/>
    <w:rsid w:val="0006552D"/>
    <w:rsid w:val="000708FE"/>
    <w:rsid w:val="0007236A"/>
    <w:rsid w:val="00072BA7"/>
    <w:rsid w:val="000732E5"/>
    <w:rsid w:val="00074956"/>
    <w:rsid w:val="000761FE"/>
    <w:rsid w:val="000768E1"/>
    <w:rsid w:val="000777FF"/>
    <w:rsid w:val="00081F93"/>
    <w:rsid w:val="00083381"/>
    <w:rsid w:val="0008386B"/>
    <w:rsid w:val="000849F4"/>
    <w:rsid w:val="00085D91"/>
    <w:rsid w:val="00086DB5"/>
    <w:rsid w:val="00087D18"/>
    <w:rsid w:val="00092F3A"/>
    <w:rsid w:val="000933AC"/>
    <w:rsid w:val="00093ACA"/>
    <w:rsid w:val="000964BF"/>
    <w:rsid w:val="00096B0C"/>
    <w:rsid w:val="00097653"/>
    <w:rsid w:val="00097762"/>
    <w:rsid w:val="00097B59"/>
    <w:rsid w:val="000A04C3"/>
    <w:rsid w:val="000A0C2E"/>
    <w:rsid w:val="000A13BE"/>
    <w:rsid w:val="000A163C"/>
    <w:rsid w:val="000A3C9B"/>
    <w:rsid w:val="000A4B26"/>
    <w:rsid w:val="000A4C08"/>
    <w:rsid w:val="000A671E"/>
    <w:rsid w:val="000A7FF5"/>
    <w:rsid w:val="000B1048"/>
    <w:rsid w:val="000B10BD"/>
    <w:rsid w:val="000B257C"/>
    <w:rsid w:val="000B3DE8"/>
    <w:rsid w:val="000B4009"/>
    <w:rsid w:val="000B4D72"/>
    <w:rsid w:val="000B4E0E"/>
    <w:rsid w:val="000C01A4"/>
    <w:rsid w:val="000C29CB"/>
    <w:rsid w:val="000C425E"/>
    <w:rsid w:val="000C4290"/>
    <w:rsid w:val="000C47B9"/>
    <w:rsid w:val="000C5554"/>
    <w:rsid w:val="000D0853"/>
    <w:rsid w:val="000D0952"/>
    <w:rsid w:val="000D20DC"/>
    <w:rsid w:val="000D342B"/>
    <w:rsid w:val="000D37BC"/>
    <w:rsid w:val="000D5463"/>
    <w:rsid w:val="000D5468"/>
    <w:rsid w:val="000D5A1F"/>
    <w:rsid w:val="000D6E87"/>
    <w:rsid w:val="000D7663"/>
    <w:rsid w:val="000E14C1"/>
    <w:rsid w:val="000E16E0"/>
    <w:rsid w:val="000E4386"/>
    <w:rsid w:val="000E5405"/>
    <w:rsid w:val="000E5687"/>
    <w:rsid w:val="000E5FA7"/>
    <w:rsid w:val="000E7E7B"/>
    <w:rsid w:val="000F14CB"/>
    <w:rsid w:val="000F2944"/>
    <w:rsid w:val="000F29B8"/>
    <w:rsid w:val="000F7DEE"/>
    <w:rsid w:val="00100FD0"/>
    <w:rsid w:val="001034D2"/>
    <w:rsid w:val="00104D81"/>
    <w:rsid w:val="001059BF"/>
    <w:rsid w:val="00105AE6"/>
    <w:rsid w:val="00107900"/>
    <w:rsid w:val="0011409D"/>
    <w:rsid w:val="00115C12"/>
    <w:rsid w:val="00115C85"/>
    <w:rsid w:val="00117FF0"/>
    <w:rsid w:val="001202A6"/>
    <w:rsid w:val="00121531"/>
    <w:rsid w:val="001237F8"/>
    <w:rsid w:val="00123A9D"/>
    <w:rsid w:val="0012452F"/>
    <w:rsid w:val="0012489C"/>
    <w:rsid w:val="00126D9C"/>
    <w:rsid w:val="00126EB5"/>
    <w:rsid w:val="00126F59"/>
    <w:rsid w:val="00127C27"/>
    <w:rsid w:val="00127FDC"/>
    <w:rsid w:val="0013032D"/>
    <w:rsid w:val="0013305F"/>
    <w:rsid w:val="0013322C"/>
    <w:rsid w:val="001347E6"/>
    <w:rsid w:val="001350C3"/>
    <w:rsid w:val="00135938"/>
    <w:rsid w:val="00136898"/>
    <w:rsid w:val="00136BF0"/>
    <w:rsid w:val="00137FC8"/>
    <w:rsid w:val="00141EA3"/>
    <w:rsid w:val="00141EB2"/>
    <w:rsid w:val="00143412"/>
    <w:rsid w:val="00144028"/>
    <w:rsid w:val="001450F9"/>
    <w:rsid w:val="0014559B"/>
    <w:rsid w:val="00145DA6"/>
    <w:rsid w:val="00146888"/>
    <w:rsid w:val="001474E9"/>
    <w:rsid w:val="00150DD6"/>
    <w:rsid w:val="00150F0C"/>
    <w:rsid w:val="00151287"/>
    <w:rsid w:val="0015147A"/>
    <w:rsid w:val="001523FC"/>
    <w:rsid w:val="0015468B"/>
    <w:rsid w:val="00154EE8"/>
    <w:rsid w:val="001562DE"/>
    <w:rsid w:val="00156A86"/>
    <w:rsid w:val="00156FDC"/>
    <w:rsid w:val="0015744A"/>
    <w:rsid w:val="00157A6F"/>
    <w:rsid w:val="00157BB8"/>
    <w:rsid w:val="0016135D"/>
    <w:rsid w:val="00163914"/>
    <w:rsid w:val="001647AA"/>
    <w:rsid w:val="00165BCE"/>
    <w:rsid w:val="00167DF7"/>
    <w:rsid w:val="00170423"/>
    <w:rsid w:val="00170DD2"/>
    <w:rsid w:val="00171A31"/>
    <w:rsid w:val="0017298F"/>
    <w:rsid w:val="00172A27"/>
    <w:rsid w:val="00172F3C"/>
    <w:rsid w:val="00177C64"/>
    <w:rsid w:val="00181A66"/>
    <w:rsid w:val="0018245A"/>
    <w:rsid w:val="001828EE"/>
    <w:rsid w:val="00182E14"/>
    <w:rsid w:val="00182F03"/>
    <w:rsid w:val="00183041"/>
    <w:rsid w:val="0018376E"/>
    <w:rsid w:val="00183A81"/>
    <w:rsid w:val="0018407D"/>
    <w:rsid w:val="00185B31"/>
    <w:rsid w:val="00185C10"/>
    <w:rsid w:val="00186277"/>
    <w:rsid w:val="00186950"/>
    <w:rsid w:val="00186FD5"/>
    <w:rsid w:val="001870C6"/>
    <w:rsid w:val="00190065"/>
    <w:rsid w:val="00190555"/>
    <w:rsid w:val="00190B7E"/>
    <w:rsid w:val="00190DEA"/>
    <w:rsid w:val="00192135"/>
    <w:rsid w:val="00193452"/>
    <w:rsid w:val="00195A7E"/>
    <w:rsid w:val="00196689"/>
    <w:rsid w:val="00197CF3"/>
    <w:rsid w:val="001A0217"/>
    <w:rsid w:val="001A2186"/>
    <w:rsid w:val="001A289D"/>
    <w:rsid w:val="001A35CE"/>
    <w:rsid w:val="001A3AF1"/>
    <w:rsid w:val="001A3BA6"/>
    <w:rsid w:val="001A3F58"/>
    <w:rsid w:val="001A53A6"/>
    <w:rsid w:val="001A5B98"/>
    <w:rsid w:val="001A632A"/>
    <w:rsid w:val="001A68E3"/>
    <w:rsid w:val="001A77D1"/>
    <w:rsid w:val="001A7859"/>
    <w:rsid w:val="001A7F6F"/>
    <w:rsid w:val="001B0673"/>
    <w:rsid w:val="001B09ED"/>
    <w:rsid w:val="001B0CF1"/>
    <w:rsid w:val="001B15AA"/>
    <w:rsid w:val="001B3A38"/>
    <w:rsid w:val="001B3B32"/>
    <w:rsid w:val="001B5A22"/>
    <w:rsid w:val="001B7359"/>
    <w:rsid w:val="001B7468"/>
    <w:rsid w:val="001B77D7"/>
    <w:rsid w:val="001C02FF"/>
    <w:rsid w:val="001C0636"/>
    <w:rsid w:val="001C0802"/>
    <w:rsid w:val="001C1D66"/>
    <w:rsid w:val="001C27CB"/>
    <w:rsid w:val="001C35A4"/>
    <w:rsid w:val="001C44D4"/>
    <w:rsid w:val="001C558F"/>
    <w:rsid w:val="001C5F2D"/>
    <w:rsid w:val="001C7F28"/>
    <w:rsid w:val="001D044F"/>
    <w:rsid w:val="001D085B"/>
    <w:rsid w:val="001D0A55"/>
    <w:rsid w:val="001D1DAB"/>
    <w:rsid w:val="001D2036"/>
    <w:rsid w:val="001D66BE"/>
    <w:rsid w:val="001E0414"/>
    <w:rsid w:val="001E0A7A"/>
    <w:rsid w:val="001E0BDB"/>
    <w:rsid w:val="001E1537"/>
    <w:rsid w:val="001E54F9"/>
    <w:rsid w:val="001E56E2"/>
    <w:rsid w:val="001E57BE"/>
    <w:rsid w:val="001E57D9"/>
    <w:rsid w:val="001E5873"/>
    <w:rsid w:val="001E5954"/>
    <w:rsid w:val="001E7305"/>
    <w:rsid w:val="001E7E05"/>
    <w:rsid w:val="001F0155"/>
    <w:rsid w:val="001F1A89"/>
    <w:rsid w:val="001F1DEA"/>
    <w:rsid w:val="001F435B"/>
    <w:rsid w:val="001F676D"/>
    <w:rsid w:val="001F75E2"/>
    <w:rsid w:val="001F7EFF"/>
    <w:rsid w:val="002002F8"/>
    <w:rsid w:val="0020033C"/>
    <w:rsid w:val="00200952"/>
    <w:rsid w:val="00201C0B"/>
    <w:rsid w:val="00202460"/>
    <w:rsid w:val="00204911"/>
    <w:rsid w:val="002100C4"/>
    <w:rsid w:val="0021045F"/>
    <w:rsid w:val="0021072A"/>
    <w:rsid w:val="00210F78"/>
    <w:rsid w:val="00211348"/>
    <w:rsid w:val="00211811"/>
    <w:rsid w:val="00211815"/>
    <w:rsid w:val="002118F7"/>
    <w:rsid w:val="00213A33"/>
    <w:rsid w:val="0021688E"/>
    <w:rsid w:val="00220ABC"/>
    <w:rsid w:val="00222052"/>
    <w:rsid w:val="00223778"/>
    <w:rsid w:val="00224FCD"/>
    <w:rsid w:val="002262A9"/>
    <w:rsid w:val="00226BCA"/>
    <w:rsid w:val="00230696"/>
    <w:rsid w:val="00230D81"/>
    <w:rsid w:val="00231E70"/>
    <w:rsid w:val="0023444E"/>
    <w:rsid w:val="002363D3"/>
    <w:rsid w:val="00236B59"/>
    <w:rsid w:val="00236BCB"/>
    <w:rsid w:val="00236BF0"/>
    <w:rsid w:val="00241BE9"/>
    <w:rsid w:val="0024296A"/>
    <w:rsid w:val="002430FD"/>
    <w:rsid w:val="00243A7B"/>
    <w:rsid w:val="00243ECB"/>
    <w:rsid w:val="0024459C"/>
    <w:rsid w:val="00245A88"/>
    <w:rsid w:val="002504ED"/>
    <w:rsid w:val="0025075D"/>
    <w:rsid w:val="0025091F"/>
    <w:rsid w:val="00251469"/>
    <w:rsid w:val="002528E6"/>
    <w:rsid w:val="00252BEB"/>
    <w:rsid w:val="0025570D"/>
    <w:rsid w:val="00255E72"/>
    <w:rsid w:val="0025655F"/>
    <w:rsid w:val="00256E81"/>
    <w:rsid w:val="0025756E"/>
    <w:rsid w:val="00260DE2"/>
    <w:rsid w:val="00261D3E"/>
    <w:rsid w:val="00261F88"/>
    <w:rsid w:val="002634AA"/>
    <w:rsid w:val="00263C37"/>
    <w:rsid w:val="00263EDD"/>
    <w:rsid w:val="00264BF4"/>
    <w:rsid w:val="0026576F"/>
    <w:rsid w:val="00265FCF"/>
    <w:rsid w:val="0026632C"/>
    <w:rsid w:val="00266BEC"/>
    <w:rsid w:val="00267690"/>
    <w:rsid w:val="00267C27"/>
    <w:rsid w:val="00267D86"/>
    <w:rsid w:val="00271068"/>
    <w:rsid w:val="0027138E"/>
    <w:rsid w:val="00271E03"/>
    <w:rsid w:val="00274AC5"/>
    <w:rsid w:val="00274E46"/>
    <w:rsid w:val="00275389"/>
    <w:rsid w:val="002777F7"/>
    <w:rsid w:val="00277D83"/>
    <w:rsid w:val="00277EF5"/>
    <w:rsid w:val="00281275"/>
    <w:rsid w:val="0028454F"/>
    <w:rsid w:val="002853CA"/>
    <w:rsid w:val="00285E76"/>
    <w:rsid w:val="002872A9"/>
    <w:rsid w:val="002904EE"/>
    <w:rsid w:val="0029134F"/>
    <w:rsid w:val="00291356"/>
    <w:rsid w:val="00291538"/>
    <w:rsid w:val="00291E5B"/>
    <w:rsid w:val="00293E76"/>
    <w:rsid w:val="00294064"/>
    <w:rsid w:val="0029617B"/>
    <w:rsid w:val="00297B9B"/>
    <w:rsid w:val="002A057F"/>
    <w:rsid w:val="002A0955"/>
    <w:rsid w:val="002A2A40"/>
    <w:rsid w:val="002A2AF2"/>
    <w:rsid w:val="002A3153"/>
    <w:rsid w:val="002A3925"/>
    <w:rsid w:val="002A51EE"/>
    <w:rsid w:val="002A59D9"/>
    <w:rsid w:val="002A619F"/>
    <w:rsid w:val="002B0045"/>
    <w:rsid w:val="002B2405"/>
    <w:rsid w:val="002B344B"/>
    <w:rsid w:val="002B4DA1"/>
    <w:rsid w:val="002B5332"/>
    <w:rsid w:val="002B55EE"/>
    <w:rsid w:val="002B6287"/>
    <w:rsid w:val="002B6A40"/>
    <w:rsid w:val="002B6F18"/>
    <w:rsid w:val="002B70B1"/>
    <w:rsid w:val="002C01F0"/>
    <w:rsid w:val="002C0669"/>
    <w:rsid w:val="002C3304"/>
    <w:rsid w:val="002C3E14"/>
    <w:rsid w:val="002C53E0"/>
    <w:rsid w:val="002C54C8"/>
    <w:rsid w:val="002C6FC9"/>
    <w:rsid w:val="002C7F39"/>
    <w:rsid w:val="002D0087"/>
    <w:rsid w:val="002D037E"/>
    <w:rsid w:val="002D03FA"/>
    <w:rsid w:val="002D0AB9"/>
    <w:rsid w:val="002D1A57"/>
    <w:rsid w:val="002D3895"/>
    <w:rsid w:val="002D3906"/>
    <w:rsid w:val="002D3BE7"/>
    <w:rsid w:val="002D3C2D"/>
    <w:rsid w:val="002D4DC4"/>
    <w:rsid w:val="002D5D86"/>
    <w:rsid w:val="002D766A"/>
    <w:rsid w:val="002E0D6E"/>
    <w:rsid w:val="002E191A"/>
    <w:rsid w:val="002E3481"/>
    <w:rsid w:val="002E5597"/>
    <w:rsid w:val="002E5ED1"/>
    <w:rsid w:val="002E6BA1"/>
    <w:rsid w:val="002E7E74"/>
    <w:rsid w:val="002F0927"/>
    <w:rsid w:val="002F32AA"/>
    <w:rsid w:val="002F4E6E"/>
    <w:rsid w:val="002F66FB"/>
    <w:rsid w:val="002F6EF3"/>
    <w:rsid w:val="002F741B"/>
    <w:rsid w:val="002F7E8C"/>
    <w:rsid w:val="00300D40"/>
    <w:rsid w:val="00301537"/>
    <w:rsid w:val="003019E0"/>
    <w:rsid w:val="00301A32"/>
    <w:rsid w:val="00302B79"/>
    <w:rsid w:val="00302CD3"/>
    <w:rsid w:val="003031C2"/>
    <w:rsid w:val="00303C78"/>
    <w:rsid w:val="00305900"/>
    <w:rsid w:val="00305F61"/>
    <w:rsid w:val="003070FE"/>
    <w:rsid w:val="00307749"/>
    <w:rsid w:val="00310230"/>
    <w:rsid w:val="003114C2"/>
    <w:rsid w:val="00311D5C"/>
    <w:rsid w:val="00312610"/>
    <w:rsid w:val="00313EA0"/>
    <w:rsid w:val="00314237"/>
    <w:rsid w:val="003144E7"/>
    <w:rsid w:val="00314DBC"/>
    <w:rsid w:val="00315826"/>
    <w:rsid w:val="00315941"/>
    <w:rsid w:val="00316230"/>
    <w:rsid w:val="0031765A"/>
    <w:rsid w:val="00320B11"/>
    <w:rsid w:val="00321453"/>
    <w:rsid w:val="00321B35"/>
    <w:rsid w:val="00322726"/>
    <w:rsid w:val="003229CD"/>
    <w:rsid w:val="00322D2F"/>
    <w:rsid w:val="0032304B"/>
    <w:rsid w:val="00323718"/>
    <w:rsid w:val="003239C4"/>
    <w:rsid w:val="0032403B"/>
    <w:rsid w:val="003249D8"/>
    <w:rsid w:val="003257B0"/>
    <w:rsid w:val="00326D40"/>
    <w:rsid w:val="00327AFC"/>
    <w:rsid w:val="00327B19"/>
    <w:rsid w:val="003313AF"/>
    <w:rsid w:val="00331F1B"/>
    <w:rsid w:val="0033271C"/>
    <w:rsid w:val="003330D0"/>
    <w:rsid w:val="003332E8"/>
    <w:rsid w:val="003358E2"/>
    <w:rsid w:val="00335EDA"/>
    <w:rsid w:val="00336A23"/>
    <w:rsid w:val="00336C73"/>
    <w:rsid w:val="00340241"/>
    <w:rsid w:val="00341095"/>
    <w:rsid w:val="00343E12"/>
    <w:rsid w:val="00344A14"/>
    <w:rsid w:val="0034616B"/>
    <w:rsid w:val="00346311"/>
    <w:rsid w:val="00346924"/>
    <w:rsid w:val="00347767"/>
    <w:rsid w:val="00355FF7"/>
    <w:rsid w:val="00356857"/>
    <w:rsid w:val="00357F65"/>
    <w:rsid w:val="00361D92"/>
    <w:rsid w:val="00362AAD"/>
    <w:rsid w:val="00363E90"/>
    <w:rsid w:val="00364642"/>
    <w:rsid w:val="0036597D"/>
    <w:rsid w:val="003659BE"/>
    <w:rsid w:val="003659F0"/>
    <w:rsid w:val="00365E4F"/>
    <w:rsid w:val="003675C5"/>
    <w:rsid w:val="003677A4"/>
    <w:rsid w:val="00374850"/>
    <w:rsid w:val="003776D1"/>
    <w:rsid w:val="00381389"/>
    <w:rsid w:val="003817AD"/>
    <w:rsid w:val="00383EC9"/>
    <w:rsid w:val="003853E1"/>
    <w:rsid w:val="00386474"/>
    <w:rsid w:val="00386696"/>
    <w:rsid w:val="00386CC5"/>
    <w:rsid w:val="003878DC"/>
    <w:rsid w:val="00391139"/>
    <w:rsid w:val="0039137B"/>
    <w:rsid w:val="003949C0"/>
    <w:rsid w:val="00394C38"/>
    <w:rsid w:val="00395191"/>
    <w:rsid w:val="00397883"/>
    <w:rsid w:val="00397D78"/>
    <w:rsid w:val="003A0608"/>
    <w:rsid w:val="003A1684"/>
    <w:rsid w:val="003A27D6"/>
    <w:rsid w:val="003A3482"/>
    <w:rsid w:val="003A4044"/>
    <w:rsid w:val="003A484D"/>
    <w:rsid w:val="003A4BD0"/>
    <w:rsid w:val="003A6881"/>
    <w:rsid w:val="003A6DD3"/>
    <w:rsid w:val="003A74A3"/>
    <w:rsid w:val="003A7DD1"/>
    <w:rsid w:val="003B0907"/>
    <w:rsid w:val="003B0CCC"/>
    <w:rsid w:val="003B1828"/>
    <w:rsid w:val="003B1CF6"/>
    <w:rsid w:val="003B3D1A"/>
    <w:rsid w:val="003B41C1"/>
    <w:rsid w:val="003B4D0D"/>
    <w:rsid w:val="003B4E68"/>
    <w:rsid w:val="003B6204"/>
    <w:rsid w:val="003B6288"/>
    <w:rsid w:val="003B64CC"/>
    <w:rsid w:val="003B7FEC"/>
    <w:rsid w:val="003C080C"/>
    <w:rsid w:val="003C1762"/>
    <w:rsid w:val="003C186F"/>
    <w:rsid w:val="003C35A8"/>
    <w:rsid w:val="003C3D69"/>
    <w:rsid w:val="003C4AD1"/>
    <w:rsid w:val="003C4D39"/>
    <w:rsid w:val="003C52AD"/>
    <w:rsid w:val="003C5345"/>
    <w:rsid w:val="003C5D2A"/>
    <w:rsid w:val="003C5D98"/>
    <w:rsid w:val="003C5F32"/>
    <w:rsid w:val="003C6C56"/>
    <w:rsid w:val="003D0045"/>
    <w:rsid w:val="003D04AF"/>
    <w:rsid w:val="003D0B8B"/>
    <w:rsid w:val="003D22DD"/>
    <w:rsid w:val="003D363E"/>
    <w:rsid w:val="003D379B"/>
    <w:rsid w:val="003D4150"/>
    <w:rsid w:val="003D49F4"/>
    <w:rsid w:val="003D4EB7"/>
    <w:rsid w:val="003D62ED"/>
    <w:rsid w:val="003D6714"/>
    <w:rsid w:val="003D6971"/>
    <w:rsid w:val="003D70C9"/>
    <w:rsid w:val="003E0DC2"/>
    <w:rsid w:val="003E11D6"/>
    <w:rsid w:val="003E24AF"/>
    <w:rsid w:val="003E2F77"/>
    <w:rsid w:val="003E39CE"/>
    <w:rsid w:val="003E3C93"/>
    <w:rsid w:val="003E406D"/>
    <w:rsid w:val="003E54CF"/>
    <w:rsid w:val="003E5966"/>
    <w:rsid w:val="003E6AD2"/>
    <w:rsid w:val="003E79F0"/>
    <w:rsid w:val="003F0365"/>
    <w:rsid w:val="003F06C2"/>
    <w:rsid w:val="003F1762"/>
    <w:rsid w:val="003F1D18"/>
    <w:rsid w:val="003F1FCD"/>
    <w:rsid w:val="003F251B"/>
    <w:rsid w:val="003F2A29"/>
    <w:rsid w:val="003F4674"/>
    <w:rsid w:val="003F478D"/>
    <w:rsid w:val="003F480C"/>
    <w:rsid w:val="003F4E95"/>
    <w:rsid w:val="003F5E82"/>
    <w:rsid w:val="003F6CF7"/>
    <w:rsid w:val="003F7125"/>
    <w:rsid w:val="003F7DE8"/>
    <w:rsid w:val="0040004F"/>
    <w:rsid w:val="004002F9"/>
    <w:rsid w:val="0040228F"/>
    <w:rsid w:val="00402527"/>
    <w:rsid w:val="004045FD"/>
    <w:rsid w:val="00404B61"/>
    <w:rsid w:val="00405B6E"/>
    <w:rsid w:val="00406BAF"/>
    <w:rsid w:val="00411F89"/>
    <w:rsid w:val="00412A64"/>
    <w:rsid w:val="00412F87"/>
    <w:rsid w:val="00414775"/>
    <w:rsid w:val="0041560C"/>
    <w:rsid w:val="004219E6"/>
    <w:rsid w:val="00421E40"/>
    <w:rsid w:val="00423993"/>
    <w:rsid w:val="00423B83"/>
    <w:rsid w:val="00423BD5"/>
    <w:rsid w:val="00424878"/>
    <w:rsid w:val="00424E0C"/>
    <w:rsid w:val="00426B5B"/>
    <w:rsid w:val="00426B6A"/>
    <w:rsid w:val="004270EB"/>
    <w:rsid w:val="00427858"/>
    <w:rsid w:val="00430896"/>
    <w:rsid w:val="00430B16"/>
    <w:rsid w:val="00431456"/>
    <w:rsid w:val="00433327"/>
    <w:rsid w:val="00433F31"/>
    <w:rsid w:val="00434618"/>
    <w:rsid w:val="004347BF"/>
    <w:rsid w:val="00434D8D"/>
    <w:rsid w:val="00435CA7"/>
    <w:rsid w:val="00436233"/>
    <w:rsid w:val="0043640C"/>
    <w:rsid w:val="004367C2"/>
    <w:rsid w:val="0043682B"/>
    <w:rsid w:val="00436E74"/>
    <w:rsid w:val="00440131"/>
    <w:rsid w:val="004424C0"/>
    <w:rsid w:val="00443D3B"/>
    <w:rsid w:val="004443F3"/>
    <w:rsid w:val="00444919"/>
    <w:rsid w:val="00446220"/>
    <w:rsid w:val="0044658C"/>
    <w:rsid w:val="0044670C"/>
    <w:rsid w:val="00447017"/>
    <w:rsid w:val="0044745F"/>
    <w:rsid w:val="004478FD"/>
    <w:rsid w:val="00447E01"/>
    <w:rsid w:val="004520EA"/>
    <w:rsid w:val="00453508"/>
    <w:rsid w:val="004538BF"/>
    <w:rsid w:val="00454217"/>
    <w:rsid w:val="00454FC9"/>
    <w:rsid w:val="004573EF"/>
    <w:rsid w:val="00457F68"/>
    <w:rsid w:val="004619A7"/>
    <w:rsid w:val="00462F7E"/>
    <w:rsid w:val="00464EB8"/>
    <w:rsid w:val="00465B85"/>
    <w:rsid w:val="00466B74"/>
    <w:rsid w:val="00466E4A"/>
    <w:rsid w:val="00470DD1"/>
    <w:rsid w:val="004728CB"/>
    <w:rsid w:val="0047480D"/>
    <w:rsid w:val="00475157"/>
    <w:rsid w:val="0047656E"/>
    <w:rsid w:val="00476D28"/>
    <w:rsid w:val="00480019"/>
    <w:rsid w:val="0048039B"/>
    <w:rsid w:val="00480A65"/>
    <w:rsid w:val="0048285D"/>
    <w:rsid w:val="00483BA4"/>
    <w:rsid w:val="00484784"/>
    <w:rsid w:val="00486EF4"/>
    <w:rsid w:val="00487282"/>
    <w:rsid w:val="00487439"/>
    <w:rsid w:val="0049055B"/>
    <w:rsid w:val="004905C3"/>
    <w:rsid w:val="00490C1F"/>
    <w:rsid w:val="00490DBF"/>
    <w:rsid w:val="004926C2"/>
    <w:rsid w:val="00496039"/>
    <w:rsid w:val="00496884"/>
    <w:rsid w:val="0049689A"/>
    <w:rsid w:val="00497074"/>
    <w:rsid w:val="004A0E8B"/>
    <w:rsid w:val="004A1415"/>
    <w:rsid w:val="004A2ECE"/>
    <w:rsid w:val="004A47D3"/>
    <w:rsid w:val="004A4AC1"/>
    <w:rsid w:val="004A4D81"/>
    <w:rsid w:val="004A5284"/>
    <w:rsid w:val="004A6921"/>
    <w:rsid w:val="004A73A1"/>
    <w:rsid w:val="004A7B8F"/>
    <w:rsid w:val="004B05BB"/>
    <w:rsid w:val="004B0789"/>
    <w:rsid w:val="004B2B92"/>
    <w:rsid w:val="004B2D3E"/>
    <w:rsid w:val="004B36A1"/>
    <w:rsid w:val="004B42AD"/>
    <w:rsid w:val="004B4CC8"/>
    <w:rsid w:val="004B5467"/>
    <w:rsid w:val="004B6B4D"/>
    <w:rsid w:val="004B7279"/>
    <w:rsid w:val="004C4D51"/>
    <w:rsid w:val="004C52C8"/>
    <w:rsid w:val="004C72A6"/>
    <w:rsid w:val="004C7424"/>
    <w:rsid w:val="004C7D20"/>
    <w:rsid w:val="004D2023"/>
    <w:rsid w:val="004D26DF"/>
    <w:rsid w:val="004D2CF2"/>
    <w:rsid w:val="004D2E11"/>
    <w:rsid w:val="004D38EF"/>
    <w:rsid w:val="004D4423"/>
    <w:rsid w:val="004D457E"/>
    <w:rsid w:val="004D47E4"/>
    <w:rsid w:val="004D50EF"/>
    <w:rsid w:val="004D67BB"/>
    <w:rsid w:val="004E036C"/>
    <w:rsid w:val="004E04CD"/>
    <w:rsid w:val="004E24E4"/>
    <w:rsid w:val="004E2671"/>
    <w:rsid w:val="004E2EBF"/>
    <w:rsid w:val="004E3269"/>
    <w:rsid w:val="004E7815"/>
    <w:rsid w:val="004E7A12"/>
    <w:rsid w:val="004F00AB"/>
    <w:rsid w:val="004F1E52"/>
    <w:rsid w:val="004F30A6"/>
    <w:rsid w:val="004F327F"/>
    <w:rsid w:val="004F329B"/>
    <w:rsid w:val="004F505E"/>
    <w:rsid w:val="004F6241"/>
    <w:rsid w:val="004F69A3"/>
    <w:rsid w:val="004F736B"/>
    <w:rsid w:val="005013D3"/>
    <w:rsid w:val="00501797"/>
    <w:rsid w:val="00503CAD"/>
    <w:rsid w:val="0050410A"/>
    <w:rsid w:val="00504AC9"/>
    <w:rsid w:val="0050536D"/>
    <w:rsid w:val="00507ADF"/>
    <w:rsid w:val="00510A30"/>
    <w:rsid w:val="00510EFD"/>
    <w:rsid w:val="00513D3E"/>
    <w:rsid w:val="00514C5F"/>
    <w:rsid w:val="00515027"/>
    <w:rsid w:val="005155E2"/>
    <w:rsid w:val="005179B1"/>
    <w:rsid w:val="00517D9D"/>
    <w:rsid w:val="00520C83"/>
    <w:rsid w:val="005223FA"/>
    <w:rsid w:val="0052260D"/>
    <w:rsid w:val="0052525F"/>
    <w:rsid w:val="00526E4A"/>
    <w:rsid w:val="005301B8"/>
    <w:rsid w:val="0053251E"/>
    <w:rsid w:val="0053276C"/>
    <w:rsid w:val="00533096"/>
    <w:rsid w:val="00533C74"/>
    <w:rsid w:val="00533DC0"/>
    <w:rsid w:val="0053568F"/>
    <w:rsid w:val="005357C1"/>
    <w:rsid w:val="0053581F"/>
    <w:rsid w:val="0053744E"/>
    <w:rsid w:val="0053747F"/>
    <w:rsid w:val="00540D96"/>
    <w:rsid w:val="0054101E"/>
    <w:rsid w:val="0054173A"/>
    <w:rsid w:val="00541B50"/>
    <w:rsid w:val="00541E65"/>
    <w:rsid w:val="005427B6"/>
    <w:rsid w:val="00542F8C"/>
    <w:rsid w:val="0054308D"/>
    <w:rsid w:val="005432C2"/>
    <w:rsid w:val="0054441A"/>
    <w:rsid w:val="005445C9"/>
    <w:rsid w:val="00545DF2"/>
    <w:rsid w:val="0054672F"/>
    <w:rsid w:val="005477F1"/>
    <w:rsid w:val="00551E3C"/>
    <w:rsid w:val="00552347"/>
    <w:rsid w:val="00552841"/>
    <w:rsid w:val="00553B67"/>
    <w:rsid w:val="00554B75"/>
    <w:rsid w:val="005553BD"/>
    <w:rsid w:val="00556DB3"/>
    <w:rsid w:val="00556E15"/>
    <w:rsid w:val="00557507"/>
    <w:rsid w:val="00557AA1"/>
    <w:rsid w:val="00557F2D"/>
    <w:rsid w:val="00561142"/>
    <w:rsid w:val="005653AA"/>
    <w:rsid w:val="00566B14"/>
    <w:rsid w:val="005670D0"/>
    <w:rsid w:val="005677CD"/>
    <w:rsid w:val="00570F95"/>
    <w:rsid w:val="00571B92"/>
    <w:rsid w:val="00572FC1"/>
    <w:rsid w:val="00574EAF"/>
    <w:rsid w:val="00575909"/>
    <w:rsid w:val="00575A6D"/>
    <w:rsid w:val="005766EA"/>
    <w:rsid w:val="00577440"/>
    <w:rsid w:val="0057765E"/>
    <w:rsid w:val="00580217"/>
    <w:rsid w:val="0058060A"/>
    <w:rsid w:val="00581464"/>
    <w:rsid w:val="00583083"/>
    <w:rsid w:val="0058335A"/>
    <w:rsid w:val="00584801"/>
    <w:rsid w:val="00584882"/>
    <w:rsid w:val="00584905"/>
    <w:rsid w:val="0058584F"/>
    <w:rsid w:val="00586F6A"/>
    <w:rsid w:val="00590D65"/>
    <w:rsid w:val="005912E4"/>
    <w:rsid w:val="00591C13"/>
    <w:rsid w:val="00593A79"/>
    <w:rsid w:val="00593D56"/>
    <w:rsid w:val="00595988"/>
    <w:rsid w:val="00595E79"/>
    <w:rsid w:val="005965B8"/>
    <w:rsid w:val="00597493"/>
    <w:rsid w:val="00597801"/>
    <w:rsid w:val="00597D01"/>
    <w:rsid w:val="005A00BC"/>
    <w:rsid w:val="005A0E6B"/>
    <w:rsid w:val="005A3ABE"/>
    <w:rsid w:val="005A3E18"/>
    <w:rsid w:val="005A4F36"/>
    <w:rsid w:val="005A64E8"/>
    <w:rsid w:val="005A6A58"/>
    <w:rsid w:val="005A6F7C"/>
    <w:rsid w:val="005A7650"/>
    <w:rsid w:val="005A7BFE"/>
    <w:rsid w:val="005A7DA6"/>
    <w:rsid w:val="005B03CF"/>
    <w:rsid w:val="005B1491"/>
    <w:rsid w:val="005B2022"/>
    <w:rsid w:val="005B2A93"/>
    <w:rsid w:val="005B3407"/>
    <w:rsid w:val="005B363B"/>
    <w:rsid w:val="005B3983"/>
    <w:rsid w:val="005B3ECA"/>
    <w:rsid w:val="005B4842"/>
    <w:rsid w:val="005B61D5"/>
    <w:rsid w:val="005B650A"/>
    <w:rsid w:val="005B6606"/>
    <w:rsid w:val="005B67D3"/>
    <w:rsid w:val="005B6C99"/>
    <w:rsid w:val="005B7783"/>
    <w:rsid w:val="005C0949"/>
    <w:rsid w:val="005C0D5F"/>
    <w:rsid w:val="005C0E70"/>
    <w:rsid w:val="005C19CA"/>
    <w:rsid w:val="005C2C60"/>
    <w:rsid w:val="005C334C"/>
    <w:rsid w:val="005C471C"/>
    <w:rsid w:val="005C5137"/>
    <w:rsid w:val="005C553C"/>
    <w:rsid w:val="005C5F4E"/>
    <w:rsid w:val="005D001E"/>
    <w:rsid w:val="005D0B98"/>
    <w:rsid w:val="005D0BA4"/>
    <w:rsid w:val="005D1222"/>
    <w:rsid w:val="005D2410"/>
    <w:rsid w:val="005D26DF"/>
    <w:rsid w:val="005D3AC7"/>
    <w:rsid w:val="005D3E5B"/>
    <w:rsid w:val="005D4672"/>
    <w:rsid w:val="005D6833"/>
    <w:rsid w:val="005E31DE"/>
    <w:rsid w:val="005E348F"/>
    <w:rsid w:val="005E4732"/>
    <w:rsid w:val="005E4DE1"/>
    <w:rsid w:val="005E69C7"/>
    <w:rsid w:val="005E69CF"/>
    <w:rsid w:val="005E6E1F"/>
    <w:rsid w:val="005F29AA"/>
    <w:rsid w:val="005F3F7B"/>
    <w:rsid w:val="005F4D80"/>
    <w:rsid w:val="005F50FE"/>
    <w:rsid w:val="005F5637"/>
    <w:rsid w:val="005F5667"/>
    <w:rsid w:val="005F5F16"/>
    <w:rsid w:val="005F6385"/>
    <w:rsid w:val="005F7127"/>
    <w:rsid w:val="005F7E81"/>
    <w:rsid w:val="0060084E"/>
    <w:rsid w:val="00600B4A"/>
    <w:rsid w:val="00605BF4"/>
    <w:rsid w:val="00606969"/>
    <w:rsid w:val="00606D36"/>
    <w:rsid w:val="006119C6"/>
    <w:rsid w:val="00614980"/>
    <w:rsid w:val="00621161"/>
    <w:rsid w:val="0062156F"/>
    <w:rsid w:val="00621C36"/>
    <w:rsid w:val="00622174"/>
    <w:rsid w:val="006228D4"/>
    <w:rsid w:val="00623003"/>
    <w:rsid w:val="00624B57"/>
    <w:rsid w:val="00624D3C"/>
    <w:rsid w:val="00624DE2"/>
    <w:rsid w:val="00625DC6"/>
    <w:rsid w:val="0063035C"/>
    <w:rsid w:val="00631726"/>
    <w:rsid w:val="00632E29"/>
    <w:rsid w:val="006345AF"/>
    <w:rsid w:val="00635559"/>
    <w:rsid w:val="006367E7"/>
    <w:rsid w:val="006368F4"/>
    <w:rsid w:val="00636ECC"/>
    <w:rsid w:val="00636FA3"/>
    <w:rsid w:val="00640747"/>
    <w:rsid w:val="00641B64"/>
    <w:rsid w:val="00641E02"/>
    <w:rsid w:val="00643B98"/>
    <w:rsid w:val="00646469"/>
    <w:rsid w:val="00646BD6"/>
    <w:rsid w:val="00651194"/>
    <w:rsid w:val="00651781"/>
    <w:rsid w:val="006517CA"/>
    <w:rsid w:val="006522B5"/>
    <w:rsid w:val="00653B61"/>
    <w:rsid w:val="00653D85"/>
    <w:rsid w:val="006549A4"/>
    <w:rsid w:val="00655D48"/>
    <w:rsid w:val="00656835"/>
    <w:rsid w:val="006568D5"/>
    <w:rsid w:val="00656991"/>
    <w:rsid w:val="00657799"/>
    <w:rsid w:val="00657A30"/>
    <w:rsid w:val="0066150D"/>
    <w:rsid w:val="006616D1"/>
    <w:rsid w:val="0066361C"/>
    <w:rsid w:val="00663DCC"/>
    <w:rsid w:val="006651A2"/>
    <w:rsid w:val="00665F3D"/>
    <w:rsid w:val="00666069"/>
    <w:rsid w:val="006660D3"/>
    <w:rsid w:val="0066686A"/>
    <w:rsid w:val="006676AF"/>
    <w:rsid w:val="00673238"/>
    <w:rsid w:val="0067492C"/>
    <w:rsid w:val="00674EDE"/>
    <w:rsid w:val="0067798B"/>
    <w:rsid w:val="00677ECE"/>
    <w:rsid w:val="006802B8"/>
    <w:rsid w:val="00680E14"/>
    <w:rsid w:val="0068326B"/>
    <w:rsid w:val="006850D5"/>
    <w:rsid w:val="00685677"/>
    <w:rsid w:val="00685D36"/>
    <w:rsid w:val="0068630C"/>
    <w:rsid w:val="00686484"/>
    <w:rsid w:val="00686795"/>
    <w:rsid w:val="00690836"/>
    <w:rsid w:val="00694CC1"/>
    <w:rsid w:val="006955E1"/>
    <w:rsid w:val="0069602F"/>
    <w:rsid w:val="00696184"/>
    <w:rsid w:val="0069641A"/>
    <w:rsid w:val="00696684"/>
    <w:rsid w:val="00697968"/>
    <w:rsid w:val="006A1F50"/>
    <w:rsid w:val="006A22B8"/>
    <w:rsid w:val="006A2300"/>
    <w:rsid w:val="006A2363"/>
    <w:rsid w:val="006A2BB7"/>
    <w:rsid w:val="006A4761"/>
    <w:rsid w:val="006A587F"/>
    <w:rsid w:val="006A5D21"/>
    <w:rsid w:val="006A64E2"/>
    <w:rsid w:val="006B005C"/>
    <w:rsid w:val="006B0C4E"/>
    <w:rsid w:val="006B1E74"/>
    <w:rsid w:val="006B2E94"/>
    <w:rsid w:val="006B334A"/>
    <w:rsid w:val="006B3B82"/>
    <w:rsid w:val="006B3BF8"/>
    <w:rsid w:val="006B4012"/>
    <w:rsid w:val="006B41E3"/>
    <w:rsid w:val="006B4507"/>
    <w:rsid w:val="006B5257"/>
    <w:rsid w:val="006B60E7"/>
    <w:rsid w:val="006B6344"/>
    <w:rsid w:val="006B64AD"/>
    <w:rsid w:val="006C0DB7"/>
    <w:rsid w:val="006C3B53"/>
    <w:rsid w:val="006C4CB5"/>
    <w:rsid w:val="006C6CAB"/>
    <w:rsid w:val="006C7B7E"/>
    <w:rsid w:val="006C7CA6"/>
    <w:rsid w:val="006D05D5"/>
    <w:rsid w:val="006D19B7"/>
    <w:rsid w:val="006D2232"/>
    <w:rsid w:val="006D2578"/>
    <w:rsid w:val="006D273D"/>
    <w:rsid w:val="006D2875"/>
    <w:rsid w:val="006D28FD"/>
    <w:rsid w:val="006D502C"/>
    <w:rsid w:val="006D5ABB"/>
    <w:rsid w:val="006D5E29"/>
    <w:rsid w:val="006D7188"/>
    <w:rsid w:val="006E00C3"/>
    <w:rsid w:val="006E0341"/>
    <w:rsid w:val="006E0E65"/>
    <w:rsid w:val="006E1A87"/>
    <w:rsid w:val="006E1E94"/>
    <w:rsid w:val="006E2B89"/>
    <w:rsid w:val="006E30BE"/>
    <w:rsid w:val="006E328F"/>
    <w:rsid w:val="006E33C0"/>
    <w:rsid w:val="006E37DE"/>
    <w:rsid w:val="006E4BEE"/>
    <w:rsid w:val="006E744B"/>
    <w:rsid w:val="006E7738"/>
    <w:rsid w:val="006E7D35"/>
    <w:rsid w:val="006E7FC1"/>
    <w:rsid w:val="006F05FC"/>
    <w:rsid w:val="006F18F1"/>
    <w:rsid w:val="006F332C"/>
    <w:rsid w:val="006F343A"/>
    <w:rsid w:val="006F351E"/>
    <w:rsid w:val="006F5A2A"/>
    <w:rsid w:val="006F77A1"/>
    <w:rsid w:val="00700F1B"/>
    <w:rsid w:val="007013A8"/>
    <w:rsid w:val="007018E9"/>
    <w:rsid w:val="00701C68"/>
    <w:rsid w:val="00703759"/>
    <w:rsid w:val="00705170"/>
    <w:rsid w:val="0070543A"/>
    <w:rsid w:val="007060F7"/>
    <w:rsid w:val="00706342"/>
    <w:rsid w:val="00706C30"/>
    <w:rsid w:val="00706E46"/>
    <w:rsid w:val="007079A6"/>
    <w:rsid w:val="00710597"/>
    <w:rsid w:val="007120B9"/>
    <w:rsid w:val="00714845"/>
    <w:rsid w:val="00714BE9"/>
    <w:rsid w:val="007168E3"/>
    <w:rsid w:val="00722CD4"/>
    <w:rsid w:val="00722D72"/>
    <w:rsid w:val="00723D49"/>
    <w:rsid w:val="00723F2D"/>
    <w:rsid w:val="00724805"/>
    <w:rsid w:val="00724AD2"/>
    <w:rsid w:val="00726067"/>
    <w:rsid w:val="00726D9C"/>
    <w:rsid w:val="0072747D"/>
    <w:rsid w:val="00727A95"/>
    <w:rsid w:val="0073009C"/>
    <w:rsid w:val="007302C9"/>
    <w:rsid w:val="00730C94"/>
    <w:rsid w:val="007321BF"/>
    <w:rsid w:val="00734F1C"/>
    <w:rsid w:val="00735CB9"/>
    <w:rsid w:val="00740498"/>
    <w:rsid w:val="00740FB7"/>
    <w:rsid w:val="00741239"/>
    <w:rsid w:val="00743328"/>
    <w:rsid w:val="0074346C"/>
    <w:rsid w:val="00743815"/>
    <w:rsid w:val="00744D76"/>
    <w:rsid w:val="00745175"/>
    <w:rsid w:val="0074583F"/>
    <w:rsid w:val="00745CB7"/>
    <w:rsid w:val="00745EBF"/>
    <w:rsid w:val="0075002F"/>
    <w:rsid w:val="00750F9C"/>
    <w:rsid w:val="00752131"/>
    <w:rsid w:val="00753524"/>
    <w:rsid w:val="00753AF1"/>
    <w:rsid w:val="00753EEF"/>
    <w:rsid w:val="00754197"/>
    <w:rsid w:val="00754666"/>
    <w:rsid w:val="00754FA4"/>
    <w:rsid w:val="00756453"/>
    <w:rsid w:val="007574C3"/>
    <w:rsid w:val="0075756F"/>
    <w:rsid w:val="0076029F"/>
    <w:rsid w:val="007602C2"/>
    <w:rsid w:val="0076127A"/>
    <w:rsid w:val="00761971"/>
    <w:rsid w:val="00762E47"/>
    <w:rsid w:val="00764AC8"/>
    <w:rsid w:val="00766AC9"/>
    <w:rsid w:val="00766F35"/>
    <w:rsid w:val="00767B59"/>
    <w:rsid w:val="00770CDC"/>
    <w:rsid w:val="00771933"/>
    <w:rsid w:val="007727DC"/>
    <w:rsid w:val="007754BF"/>
    <w:rsid w:val="0077663D"/>
    <w:rsid w:val="00776EFC"/>
    <w:rsid w:val="0077703D"/>
    <w:rsid w:val="007818BB"/>
    <w:rsid w:val="00782131"/>
    <w:rsid w:val="007823EB"/>
    <w:rsid w:val="00782651"/>
    <w:rsid w:val="007832E6"/>
    <w:rsid w:val="00792595"/>
    <w:rsid w:val="00792897"/>
    <w:rsid w:val="0079584A"/>
    <w:rsid w:val="0079599A"/>
    <w:rsid w:val="00796147"/>
    <w:rsid w:val="00797CC4"/>
    <w:rsid w:val="007A072D"/>
    <w:rsid w:val="007A0A6E"/>
    <w:rsid w:val="007A1B6C"/>
    <w:rsid w:val="007A1C11"/>
    <w:rsid w:val="007A3520"/>
    <w:rsid w:val="007A3E9D"/>
    <w:rsid w:val="007A45A2"/>
    <w:rsid w:val="007A4612"/>
    <w:rsid w:val="007A6FB9"/>
    <w:rsid w:val="007B1861"/>
    <w:rsid w:val="007B19D1"/>
    <w:rsid w:val="007B32E4"/>
    <w:rsid w:val="007B35D5"/>
    <w:rsid w:val="007B46D6"/>
    <w:rsid w:val="007B46DB"/>
    <w:rsid w:val="007B50FE"/>
    <w:rsid w:val="007B7033"/>
    <w:rsid w:val="007C04C5"/>
    <w:rsid w:val="007C0AAE"/>
    <w:rsid w:val="007C2086"/>
    <w:rsid w:val="007C2DC4"/>
    <w:rsid w:val="007C62E4"/>
    <w:rsid w:val="007C6451"/>
    <w:rsid w:val="007C7A2E"/>
    <w:rsid w:val="007D053D"/>
    <w:rsid w:val="007D0CAD"/>
    <w:rsid w:val="007D1B40"/>
    <w:rsid w:val="007D32CD"/>
    <w:rsid w:val="007D36F2"/>
    <w:rsid w:val="007D3C28"/>
    <w:rsid w:val="007D72DF"/>
    <w:rsid w:val="007E069D"/>
    <w:rsid w:val="007E20C0"/>
    <w:rsid w:val="007E3840"/>
    <w:rsid w:val="007E542B"/>
    <w:rsid w:val="007E55D3"/>
    <w:rsid w:val="007E78C6"/>
    <w:rsid w:val="007F1A95"/>
    <w:rsid w:val="007F27D7"/>
    <w:rsid w:val="007F30FB"/>
    <w:rsid w:val="007F3B66"/>
    <w:rsid w:val="007F3F26"/>
    <w:rsid w:val="007F545E"/>
    <w:rsid w:val="007F56EA"/>
    <w:rsid w:val="007F6233"/>
    <w:rsid w:val="00800497"/>
    <w:rsid w:val="008006AC"/>
    <w:rsid w:val="008021F9"/>
    <w:rsid w:val="0080241B"/>
    <w:rsid w:val="0080280F"/>
    <w:rsid w:val="00802BA2"/>
    <w:rsid w:val="0080303D"/>
    <w:rsid w:val="00803503"/>
    <w:rsid w:val="008042A4"/>
    <w:rsid w:val="0080562E"/>
    <w:rsid w:val="00805AA5"/>
    <w:rsid w:val="00806AA7"/>
    <w:rsid w:val="00807166"/>
    <w:rsid w:val="00807377"/>
    <w:rsid w:val="008116AC"/>
    <w:rsid w:val="0081297C"/>
    <w:rsid w:val="00813713"/>
    <w:rsid w:val="008139CA"/>
    <w:rsid w:val="0081408E"/>
    <w:rsid w:val="00814556"/>
    <w:rsid w:val="008166B6"/>
    <w:rsid w:val="00820345"/>
    <w:rsid w:val="0082086E"/>
    <w:rsid w:val="00821B29"/>
    <w:rsid w:val="00822161"/>
    <w:rsid w:val="00822626"/>
    <w:rsid w:val="00822892"/>
    <w:rsid w:val="00822CC3"/>
    <w:rsid w:val="008239E2"/>
    <w:rsid w:val="00825FBF"/>
    <w:rsid w:val="00827603"/>
    <w:rsid w:val="00831E1A"/>
    <w:rsid w:val="00832795"/>
    <w:rsid w:val="00832B76"/>
    <w:rsid w:val="00833C97"/>
    <w:rsid w:val="0083537B"/>
    <w:rsid w:val="00835F94"/>
    <w:rsid w:val="00836D75"/>
    <w:rsid w:val="00836DD6"/>
    <w:rsid w:val="00836E3E"/>
    <w:rsid w:val="00841077"/>
    <w:rsid w:val="00841B79"/>
    <w:rsid w:val="00843AD2"/>
    <w:rsid w:val="00844F86"/>
    <w:rsid w:val="0084769A"/>
    <w:rsid w:val="00850C17"/>
    <w:rsid w:val="008530C4"/>
    <w:rsid w:val="00853464"/>
    <w:rsid w:val="00853495"/>
    <w:rsid w:val="008560BB"/>
    <w:rsid w:val="008605FC"/>
    <w:rsid w:val="00861F79"/>
    <w:rsid w:val="00862BC7"/>
    <w:rsid w:val="00862CCA"/>
    <w:rsid w:val="00863503"/>
    <w:rsid w:val="008650E9"/>
    <w:rsid w:val="00867596"/>
    <w:rsid w:val="00867785"/>
    <w:rsid w:val="0086779C"/>
    <w:rsid w:val="00867C2B"/>
    <w:rsid w:val="008702CD"/>
    <w:rsid w:val="008705A0"/>
    <w:rsid w:val="00872A2D"/>
    <w:rsid w:val="00872F44"/>
    <w:rsid w:val="00873025"/>
    <w:rsid w:val="00877639"/>
    <w:rsid w:val="00880C50"/>
    <w:rsid w:val="008818B8"/>
    <w:rsid w:val="008858EF"/>
    <w:rsid w:val="00886857"/>
    <w:rsid w:val="008915F8"/>
    <w:rsid w:val="0089279A"/>
    <w:rsid w:val="00892854"/>
    <w:rsid w:val="00893A99"/>
    <w:rsid w:val="00893CCA"/>
    <w:rsid w:val="00894D03"/>
    <w:rsid w:val="0089518B"/>
    <w:rsid w:val="00895683"/>
    <w:rsid w:val="00895A74"/>
    <w:rsid w:val="0089635B"/>
    <w:rsid w:val="00896576"/>
    <w:rsid w:val="008965F1"/>
    <w:rsid w:val="00897072"/>
    <w:rsid w:val="00897C9F"/>
    <w:rsid w:val="008A07AF"/>
    <w:rsid w:val="008A0A34"/>
    <w:rsid w:val="008A1555"/>
    <w:rsid w:val="008A27D0"/>
    <w:rsid w:val="008A30B4"/>
    <w:rsid w:val="008A3188"/>
    <w:rsid w:val="008A32E2"/>
    <w:rsid w:val="008A342C"/>
    <w:rsid w:val="008A3444"/>
    <w:rsid w:val="008A3596"/>
    <w:rsid w:val="008A445C"/>
    <w:rsid w:val="008A4C22"/>
    <w:rsid w:val="008A5631"/>
    <w:rsid w:val="008A5D51"/>
    <w:rsid w:val="008A5E2E"/>
    <w:rsid w:val="008A7E9D"/>
    <w:rsid w:val="008B0142"/>
    <w:rsid w:val="008B15F4"/>
    <w:rsid w:val="008B28F3"/>
    <w:rsid w:val="008B3A8C"/>
    <w:rsid w:val="008B4D63"/>
    <w:rsid w:val="008B559B"/>
    <w:rsid w:val="008B66E5"/>
    <w:rsid w:val="008B66F3"/>
    <w:rsid w:val="008B76EE"/>
    <w:rsid w:val="008C30BC"/>
    <w:rsid w:val="008C414C"/>
    <w:rsid w:val="008C4870"/>
    <w:rsid w:val="008C5A0A"/>
    <w:rsid w:val="008C65CB"/>
    <w:rsid w:val="008C6F0F"/>
    <w:rsid w:val="008D49BC"/>
    <w:rsid w:val="008D5AFC"/>
    <w:rsid w:val="008D5B1F"/>
    <w:rsid w:val="008D5E2A"/>
    <w:rsid w:val="008D6048"/>
    <w:rsid w:val="008E047D"/>
    <w:rsid w:val="008E0896"/>
    <w:rsid w:val="008E0EE3"/>
    <w:rsid w:val="008E1180"/>
    <w:rsid w:val="008E2007"/>
    <w:rsid w:val="008E2561"/>
    <w:rsid w:val="008E3429"/>
    <w:rsid w:val="008E34CF"/>
    <w:rsid w:val="008E4197"/>
    <w:rsid w:val="008E4FAB"/>
    <w:rsid w:val="008E5EA4"/>
    <w:rsid w:val="008E6233"/>
    <w:rsid w:val="008E69E0"/>
    <w:rsid w:val="008E749C"/>
    <w:rsid w:val="008F07EB"/>
    <w:rsid w:val="008F1CE3"/>
    <w:rsid w:val="008F24CE"/>
    <w:rsid w:val="008F2CF9"/>
    <w:rsid w:val="008F2E9C"/>
    <w:rsid w:val="008F363B"/>
    <w:rsid w:val="008F3BB6"/>
    <w:rsid w:val="008F484D"/>
    <w:rsid w:val="008F62A7"/>
    <w:rsid w:val="008F6406"/>
    <w:rsid w:val="008F6660"/>
    <w:rsid w:val="008F67C1"/>
    <w:rsid w:val="008F7B91"/>
    <w:rsid w:val="00900579"/>
    <w:rsid w:val="00904C29"/>
    <w:rsid w:val="00904ECC"/>
    <w:rsid w:val="009055AA"/>
    <w:rsid w:val="00907125"/>
    <w:rsid w:val="00907D75"/>
    <w:rsid w:val="00910686"/>
    <w:rsid w:val="00911521"/>
    <w:rsid w:val="009117FE"/>
    <w:rsid w:val="0091227A"/>
    <w:rsid w:val="009124F8"/>
    <w:rsid w:val="0091271E"/>
    <w:rsid w:val="00913006"/>
    <w:rsid w:val="009140C7"/>
    <w:rsid w:val="00914608"/>
    <w:rsid w:val="00914918"/>
    <w:rsid w:val="00914B02"/>
    <w:rsid w:val="009153D7"/>
    <w:rsid w:val="0091600E"/>
    <w:rsid w:val="009167EE"/>
    <w:rsid w:val="009171EA"/>
    <w:rsid w:val="00922464"/>
    <w:rsid w:val="00923139"/>
    <w:rsid w:val="0092409C"/>
    <w:rsid w:val="009242A0"/>
    <w:rsid w:val="009247FA"/>
    <w:rsid w:val="00924B64"/>
    <w:rsid w:val="00925B7D"/>
    <w:rsid w:val="0092659B"/>
    <w:rsid w:val="00926E04"/>
    <w:rsid w:val="0092791A"/>
    <w:rsid w:val="00927CB1"/>
    <w:rsid w:val="0093005E"/>
    <w:rsid w:val="00930F96"/>
    <w:rsid w:val="00932F55"/>
    <w:rsid w:val="00933200"/>
    <w:rsid w:val="00934F09"/>
    <w:rsid w:val="00935A42"/>
    <w:rsid w:val="00935D62"/>
    <w:rsid w:val="009368E2"/>
    <w:rsid w:val="00937842"/>
    <w:rsid w:val="009403B5"/>
    <w:rsid w:val="009410FB"/>
    <w:rsid w:val="009425C9"/>
    <w:rsid w:val="00942824"/>
    <w:rsid w:val="00943373"/>
    <w:rsid w:val="00943998"/>
    <w:rsid w:val="00943E9F"/>
    <w:rsid w:val="009459FA"/>
    <w:rsid w:val="00946592"/>
    <w:rsid w:val="00946915"/>
    <w:rsid w:val="00946AAE"/>
    <w:rsid w:val="00946C77"/>
    <w:rsid w:val="00947407"/>
    <w:rsid w:val="00950C58"/>
    <w:rsid w:val="00950FC6"/>
    <w:rsid w:val="00951195"/>
    <w:rsid w:val="00953C30"/>
    <w:rsid w:val="009543CC"/>
    <w:rsid w:val="009544FD"/>
    <w:rsid w:val="009545DB"/>
    <w:rsid w:val="00956131"/>
    <w:rsid w:val="00956261"/>
    <w:rsid w:val="00956274"/>
    <w:rsid w:val="0095697E"/>
    <w:rsid w:val="00960175"/>
    <w:rsid w:val="009604C3"/>
    <w:rsid w:val="009611E9"/>
    <w:rsid w:val="0096171B"/>
    <w:rsid w:val="009639B2"/>
    <w:rsid w:val="00963AD9"/>
    <w:rsid w:val="00965083"/>
    <w:rsid w:val="00965169"/>
    <w:rsid w:val="00965297"/>
    <w:rsid w:val="00970466"/>
    <w:rsid w:val="00970D29"/>
    <w:rsid w:val="009715C3"/>
    <w:rsid w:val="00971966"/>
    <w:rsid w:val="0097203C"/>
    <w:rsid w:val="0097282A"/>
    <w:rsid w:val="00973E67"/>
    <w:rsid w:val="0097415D"/>
    <w:rsid w:val="00974C1C"/>
    <w:rsid w:val="00975297"/>
    <w:rsid w:val="00976D0B"/>
    <w:rsid w:val="00980DFF"/>
    <w:rsid w:val="00980F53"/>
    <w:rsid w:val="00984027"/>
    <w:rsid w:val="00986097"/>
    <w:rsid w:val="00986136"/>
    <w:rsid w:val="009862DB"/>
    <w:rsid w:val="00990FFE"/>
    <w:rsid w:val="0099295A"/>
    <w:rsid w:val="009951EB"/>
    <w:rsid w:val="00996359"/>
    <w:rsid w:val="0099641D"/>
    <w:rsid w:val="00997FD5"/>
    <w:rsid w:val="009A00EE"/>
    <w:rsid w:val="009A0F76"/>
    <w:rsid w:val="009A229B"/>
    <w:rsid w:val="009A2AD8"/>
    <w:rsid w:val="009A2E36"/>
    <w:rsid w:val="009A3901"/>
    <w:rsid w:val="009A51A5"/>
    <w:rsid w:val="009A5B91"/>
    <w:rsid w:val="009A7712"/>
    <w:rsid w:val="009B00D6"/>
    <w:rsid w:val="009B069D"/>
    <w:rsid w:val="009B0860"/>
    <w:rsid w:val="009B1040"/>
    <w:rsid w:val="009B10A4"/>
    <w:rsid w:val="009B34D6"/>
    <w:rsid w:val="009B5F33"/>
    <w:rsid w:val="009B7C14"/>
    <w:rsid w:val="009B7E65"/>
    <w:rsid w:val="009C05EB"/>
    <w:rsid w:val="009C09FD"/>
    <w:rsid w:val="009C0FD0"/>
    <w:rsid w:val="009C3931"/>
    <w:rsid w:val="009C4229"/>
    <w:rsid w:val="009C4D90"/>
    <w:rsid w:val="009C781B"/>
    <w:rsid w:val="009D06AA"/>
    <w:rsid w:val="009D187F"/>
    <w:rsid w:val="009D2EF0"/>
    <w:rsid w:val="009D3447"/>
    <w:rsid w:val="009D3AB2"/>
    <w:rsid w:val="009D3D8A"/>
    <w:rsid w:val="009D4DA4"/>
    <w:rsid w:val="009D4FA0"/>
    <w:rsid w:val="009D5AAF"/>
    <w:rsid w:val="009D6B20"/>
    <w:rsid w:val="009D7434"/>
    <w:rsid w:val="009E16A4"/>
    <w:rsid w:val="009E31AC"/>
    <w:rsid w:val="009E3606"/>
    <w:rsid w:val="009E39F3"/>
    <w:rsid w:val="009E3E2A"/>
    <w:rsid w:val="009E5998"/>
    <w:rsid w:val="009E63B5"/>
    <w:rsid w:val="009E6529"/>
    <w:rsid w:val="009E7366"/>
    <w:rsid w:val="009E7382"/>
    <w:rsid w:val="009E7E7B"/>
    <w:rsid w:val="009E7ED6"/>
    <w:rsid w:val="009F0CE0"/>
    <w:rsid w:val="009F159B"/>
    <w:rsid w:val="009F1940"/>
    <w:rsid w:val="009F24C3"/>
    <w:rsid w:val="009F6031"/>
    <w:rsid w:val="009F77B8"/>
    <w:rsid w:val="009F7BF3"/>
    <w:rsid w:val="00A0026C"/>
    <w:rsid w:val="00A0078B"/>
    <w:rsid w:val="00A00B4F"/>
    <w:rsid w:val="00A00D09"/>
    <w:rsid w:val="00A01E2B"/>
    <w:rsid w:val="00A03414"/>
    <w:rsid w:val="00A078BA"/>
    <w:rsid w:val="00A0796F"/>
    <w:rsid w:val="00A104DE"/>
    <w:rsid w:val="00A11956"/>
    <w:rsid w:val="00A13D3B"/>
    <w:rsid w:val="00A144BE"/>
    <w:rsid w:val="00A15347"/>
    <w:rsid w:val="00A155F8"/>
    <w:rsid w:val="00A2108A"/>
    <w:rsid w:val="00A210DA"/>
    <w:rsid w:val="00A2344A"/>
    <w:rsid w:val="00A23E6E"/>
    <w:rsid w:val="00A242B5"/>
    <w:rsid w:val="00A24DA2"/>
    <w:rsid w:val="00A25AC4"/>
    <w:rsid w:val="00A27033"/>
    <w:rsid w:val="00A27407"/>
    <w:rsid w:val="00A274A0"/>
    <w:rsid w:val="00A27BE0"/>
    <w:rsid w:val="00A302E8"/>
    <w:rsid w:val="00A304FE"/>
    <w:rsid w:val="00A3056C"/>
    <w:rsid w:val="00A31FD1"/>
    <w:rsid w:val="00A321C2"/>
    <w:rsid w:val="00A34E96"/>
    <w:rsid w:val="00A351CE"/>
    <w:rsid w:val="00A35363"/>
    <w:rsid w:val="00A372B4"/>
    <w:rsid w:val="00A40215"/>
    <w:rsid w:val="00A40883"/>
    <w:rsid w:val="00A410D4"/>
    <w:rsid w:val="00A42FC5"/>
    <w:rsid w:val="00A43E94"/>
    <w:rsid w:val="00A43EE3"/>
    <w:rsid w:val="00A45871"/>
    <w:rsid w:val="00A45BC6"/>
    <w:rsid w:val="00A45CAA"/>
    <w:rsid w:val="00A46955"/>
    <w:rsid w:val="00A46E69"/>
    <w:rsid w:val="00A4773C"/>
    <w:rsid w:val="00A50C8B"/>
    <w:rsid w:val="00A50DC3"/>
    <w:rsid w:val="00A53A5C"/>
    <w:rsid w:val="00A551A1"/>
    <w:rsid w:val="00A55C68"/>
    <w:rsid w:val="00A5793E"/>
    <w:rsid w:val="00A579C0"/>
    <w:rsid w:val="00A57B79"/>
    <w:rsid w:val="00A57CE4"/>
    <w:rsid w:val="00A60AEC"/>
    <w:rsid w:val="00A6128F"/>
    <w:rsid w:val="00A615DF"/>
    <w:rsid w:val="00A61F4C"/>
    <w:rsid w:val="00A62963"/>
    <w:rsid w:val="00A63FAE"/>
    <w:rsid w:val="00A6529C"/>
    <w:rsid w:val="00A662A9"/>
    <w:rsid w:val="00A669AA"/>
    <w:rsid w:val="00A67E15"/>
    <w:rsid w:val="00A704A5"/>
    <w:rsid w:val="00A70608"/>
    <w:rsid w:val="00A7187A"/>
    <w:rsid w:val="00A71BD4"/>
    <w:rsid w:val="00A72316"/>
    <w:rsid w:val="00A72AE7"/>
    <w:rsid w:val="00A73A77"/>
    <w:rsid w:val="00A7436C"/>
    <w:rsid w:val="00A75AD0"/>
    <w:rsid w:val="00A75FD0"/>
    <w:rsid w:val="00A76934"/>
    <w:rsid w:val="00A77076"/>
    <w:rsid w:val="00A82939"/>
    <w:rsid w:val="00A830AC"/>
    <w:rsid w:val="00A85379"/>
    <w:rsid w:val="00A86335"/>
    <w:rsid w:val="00A869AA"/>
    <w:rsid w:val="00A86DD5"/>
    <w:rsid w:val="00A90397"/>
    <w:rsid w:val="00A905CC"/>
    <w:rsid w:val="00A90D27"/>
    <w:rsid w:val="00A910C1"/>
    <w:rsid w:val="00A910D1"/>
    <w:rsid w:val="00A91227"/>
    <w:rsid w:val="00A915E7"/>
    <w:rsid w:val="00A91F4C"/>
    <w:rsid w:val="00A91F77"/>
    <w:rsid w:val="00A925BF"/>
    <w:rsid w:val="00A92D13"/>
    <w:rsid w:val="00A92F70"/>
    <w:rsid w:val="00A931FD"/>
    <w:rsid w:val="00A956C1"/>
    <w:rsid w:val="00A964EC"/>
    <w:rsid w:val="00AA1666"/>
    <w:rsid w:val="00AA1A3A"/>
    <w:rsid w:val="00AA1B47"/>
    <w:rsid w:val="00AA1B87"/>
    <w:rsid w:val="00AA2B84"/>
    <w:rsid w:val="00AA4238"/>
    <w:rsid w:val="00AA5D0D"/>
    <w:rsid w:val="00AA6C35"/>
    <w:rsid w:val="00AA6F97"/>
    <w:rsid w:val="00AA71FB"/>
    <w:rsid w:val="00AB01E1"/>
    <w:rsid w:val="00AB08C9"/>
    <w:rsid w:val="00AB0A9D"/>
    <w:rsid w:val="00AB17A5"/>
    <w:rsid w:val="00AB2214"/>
    <w:rsid w:val="00AB2838"/>
    <w:rsid w:val="00AB2D68"/>
    <w:rsid w:val="00AB589F"/>
    <w:rsid w:val="00AB5CA8"/>
    <w:rsid w:val="00AB7BD0"/>
    <w:rsid w:val="00AB7F4B"/>
    <w:rsid w:val="00AC080B"/>
    <w:rsid w:val="00AC2824"/>
    <w:rsid w:val="00AC2C4C"/>
    <w:rsid w:val="00AC446C"/>
    <w:rsid w:val="00AC4AF9"/>
    <w:rsid w:val="00AC54AB"/>
    <w:rsid w:val="00AC6290"/>
    <w:rsid w:val="00AC6389"/>
    <w:rsid w:val="00AD0BC1"/>
    <w:rsid w:val="00AD16F6"/>
    <w:rsid w:val="00AD185D"/>
    <w:rsid w:val="00AD3CE6"/>
    <w:rsid w:val="00AD5461"/>
    <w:rsid w:val="00AE02F6"/>
    <w:rsid w:val="00AE11AF"/>
    <w:rsid w:val="00AE1829"/>
    <w:rsid w:val="00AE2DB0"/>
    <w:rsid w:val="00AE5144"/>
    <w:rsid w:val="00AE537B"/>
    <w:rsid w:val="00AE5E1E"/>
    <w:rsid w:val="00AE7294"/>
    <w:rsid w:val="00AE75A4"/>
    <w:rsid w:val="00AE7B7C"/>
    <w:rsid w:val="00AF11C3"/>
    <w:rsid w:val="00AF42C7"/>
    <w:rsid w:val="00AF45C9"/>
    <w:rsid w:val="00AF47A3"/>
    <w:rsid w:val="00AF4890"/>
    <w:rsid w:val="00AF4EEA"/>
    <w:rsid w:val="00AF527A"/>
    <w:rsid w:val="00AF627F"/>
    <w:rsid w:val="00AF6386"/>
    <w:rsid w:val="00AF66F8"/>
    <w:rsid w:val="00AF6F09"/>
    <w:rsid w:val="00AF7D9D"/>
    <w:rsid w:val="00B014D1"/>
    <w:rsid w:val="00B016BE"/>
    <w:rsid w:val="00B01DF5"/>
    <w:rsid w:val="00B02216"/>
    <w:rsid w:val="00B03431"/>
    <w:rsid w:val="00B05200"/>
    <w:rsid w:val="00B06A0F"/>
    <w:rsid w:val="00B06ACC"/>
    <w:rsid w:val="00B106D0"/>
    <w:rsid w:val="00B10860"/>
    <w:rsid w:val="00B12729"/>
    <w:rsid w:val="00B13DF7"/>
    <w:rsid w:val="00B14881"/>
    <w:rsid w:val="00B15632"/>
    <w:rsid w:val="00B17401"/>
    <w:rsid w:val="00B2074F"/>
    <w:rsid w:val="00B20C03"/>
    <w:rsid w:val="00B22E2F"/>
    <w:rsid w:val="00B22F21"/>
    <w:rsid w:val="00B23DBD"/>
    <w:rsid w:val="00B241CB"/>
    <w:rsid w:val="00B26424"/>
    <w:rsid w:val="00B30EC2"/>
    <w:rsid w:val="00B31264"/>
    <w:rsid w:val="00B31A12"/>
    <w:rsid w:val="00B32577"/>
    <w:rsid w:val="00B327BD"/>
    <w:rsid w:val="00B32D08"/>
    <w:rsid w:val="00B32E84"/>
    <w:rsid w:val="00B3305A"/>
    <w:rsid w:val="00B33BEB"/>
    <w:rsid w:val="00B33D99"/>
    <w:rsid w:val="00B34BED"/>
    <w:rsid w:val="00B37648"/>
    <w:rsid w:val="00B406C8"/>
    <w:rsid w:val="00B412A4"/>
    <w:rsid w:val="00B4147D"/>
    <w:rsid w:val="00B423C2"/>
    <w:rsid w:val="00B42A60"/>
    <w:rsid w:val="00B42B87"/>
    <w:rsid w:val="00B43132"/>
    <w:rsid w:val="00B438CE"/>
    <w:rsid w:val="00B44133"/>
    <w:rsid w:val="00B456FB"/>
    <w:rsid w:val="00B46EEE"/>
    <w:rsid w:val="00B47D6C"/>
    <w:rsid w:val="00B52E90"/>
    <w:rsid w:val="00B53D11"/>
    <w:rsid w:val="00B54205"/>
    <w:rsid w:val="00B5599D"/>
    <w:rsid w:val="00B57088"/>
    <w:rsid w:val="00B57316"/>
    <w:rsid w:val="00B57912"/>
    <w:rsid w:val="00B57B36"/>
    <w:rsid w:val="00B60374"/>
    <w:rsid w:val="00B6178F"/>
    <w:rsid w:val="00B617EB"/>
    <w:rsid w:val="00B62BD8"/>
    <w:rsid w:val="00B642F9"/>
    <w:rsid w:val="00B64798"/>
    <w:rsid w:val="00B64AB0"/>
    <w:rsid w:val="00B65558"/>
    <w:rsid w:val="00B65D9F"/>
    <w:rsid w:val="00B669DE"/>
    <w:rsid w:val="00B67935"/>
    <w:rsid w:val="00B70013"/>
    <w:rsid w:val="00B71278"/>
    <w:rsid w:val="00B73131"/>
    <w:rsid w:val="00B802F9"/>
    <w:rsid w:val="00B81964"/>
    <w:rsid w:val="00B81E4A"/>
    <w:rsid w:val="00B82075"/>
    <w:rsid w:val="00B832E5"/>
    <w:rsid w:val="00B85646"/>
    <w:rsid w:val="00B85B19"/>
    <w:rsid w:val="00B90401"/>
    <w:rsid w:val="00B91938"/>
    <w:rsid w:val="00B9230A"/>
    <w:rsid w:val="00B96348"/>
    <w:rsid w:val="00B966FA"/>
    <w:rsid w:val="00B969A9"/>
    <w:rsid w:val="00B96FBC"/>
    <w:rsid w:val="00B974AB"/>
    <w:rsid w:val="00BA002A"/>
    <w:rsid w:val="00BA0A08"/>
    <w:rsid w:val="00BA1400"/>
    <w:rsid w:val="00BA233B"/>
    <w:rsid w:val="00BA3CFA"/>
    <w:rsid w:val="00BA56EC"/>
    <w:rsid w:val="00BA5BDB"/>
    <w:rsid w:val="00BA5EF1"/>
    <w:rsid w:val="00BA6029"/>
    <w:rsid w:val="00BA603A"/>
    <w:rsid w:val="00BA7C24"/>
    <w:rsid w:val="00BB14D5"/>
    <w:rsid w:val="00BB14FB"/>
    <w:rsid w:val="00BB16A6"/>
    <w:rsid w:val="00BB29D0"/>
    <w:rsid w:val="00BB4262"/>
    <w:rsid w:val="00BB4A5E"/>
    <w:rsid w:val="00BB716D"/>
    <w:rsid w:val="00BB7811"/>
    <w:rsid w:val="00BB7916"/>
    <w:rsid w:val="00BC0CB0"/>
    <w:rsid w:val="00BC3B8E"/>
    <w:rsid w:val="00BC5BB0"/>
    <w:rsid w:val="00BC5E73"/>
    <w:rsid w:val="00BC6838"/>
    <w:rsid w:val="00BC684B"/>
    <w:rsid w:val="00BC717A"/>
    <w:rsid w:val="00BC7CC5"/>
    <w:rsid w:val="00BD0387"/>
    <w:rsid w:val="00BD3354"/>
    <w:rsid w:val="00BD340C"/>
    <w:rsid w:val="00BD39DA"/>
    <w:rsid w:val="00BD3F2E"/>
    <w:rsid w:val="00BD5108"/>
    <w:rsid w:val="00BD5B8E"/>
    <w:rsid w:val="00BD6717"/>
    <w:rsid w:val="00BD7E53"/>
    <w:rsid w:val="00BE04A2"/>
    <w:rsid w:val="00BE0A68"/>
    <w:rsid w:val="00BE137B"/>
    <w:rsid w:val="00BE24AF"/>
    <w:rsid w:val="00BE25D7"/>
    <w:rsid w:val="00BE2FC3"/>
    <w:rsid w:val="00BE34C8"/>
    <w:rsid w:val="00BE4E68"/>
    <w:rsid w:val="00BE62E6"/>
    <w:rsid w:val="00BE648E"/>
    <w:rsid w:val="00BE7C3C"/>
    <w:rsid w:val="00BF042F"/>
    <w:rsid w:val="00BF050E"/>
    <w:rsid w:val="00BF12FA"/>
    <w:rsid w:val="00BF3913"/>
    <w:rsid w:val="00BF3CF9"/>
    <w:rsid w:val="00BF42F4"/>
    <w:rsid w:val="00BF47BB"/>
    <w:rsid w:val="00BF4E40"/>
    <w:rsid w:val="00C010B2"/>
    <w:rsid w:val="00C0174A"/>
    <w:rsid w:val="00C019A7"/>
    <w:rsid w:val="00C03213"/>
    <w:rsid w:val="00C046C4"/>
    <w:rsid w:val="00C06BEA"/>
    <w:rsid w:val="00C06BEF"/>
    <w:rsid w:val="00C06FBF"/>
    <w:rsid w:val="00C11603"/>
    <w:rsid w:val="00C1160A"/>
    <w:rsid w:val="00C120BB"/>
    <w:rsid w:val="00C12DAE"/>
    <w:rsid w:val="00C13ADC"/>
    <w:rsid w:val="00C13FAB"/>
    <w:rsid w:val="00C149D5"/>
    <w:rsid w:val="00C14E1C"/>
    <w:rsid w:val="00C16806"/>
    <w:rsid w:val="00C170B4"/>
    <w:rsid w:val="00C177C7"/>
    <w:rsid w:val="00C20856"/>
    <w:rsid w:val="00C20B80"/>
    <w:rsid w:val="00C2221A"/>
    <w:rsid w:val="00C22598"/>
    <w:rsid w:val="00C233AF"/>
    <w:rsid w:val="00C238BC"/>
    <w:rsid w:val="00C26E8C"/>
    <w:rsid w:val="00C270E2"/>
    <w:rsid w:val="00C27B5C"/>
    <w:rsid w:val="00C323D2"/>
    <w:rsid w:val="00C32BE2"/>
    <w:rsid w:val="00C32D92"/>
    <w:rsid w:val="00C3354C"/>
    <w:rsid w:val="00C35B5C"/>
    <w:rsid w:val="00C35C32"/>
    <w:rsid w:val="00C37EB8"/>
    <w:rsid w:val="00C37FF7"/>
    <w:rsid w:val="00C408ED"/>
    <w:rsid w:val="00C42E9E"/>
    <w:rsid w:val="00C4304D"/>
    <w:rsid w:val="00C43E63"/>
    <w:rsid w:val="00C445B2"/>
    <w:rsid w:val="00C44ECC"/>
    <w:rsid w:val="00C44ECF"/>
    <w:rsid w:val="00C468E2"/>
    <w:rsid w:val="00C47BBA"/>
    <w:rsid w:val="00C505B2"/>
    <w:rsid w:val="00C50D99"/>
    <w:rsid w:val="00C50DDF"/>
    <w:rsid w:val="00C529BB"/>
    <w:rsid w:val="00C52E04"/>
    <w:rsid w:val="00C53A23"/>
    <w:rsid w:val="00C53D69"/>
    <w:rsid w:val="00C55209"/>
    <w:rsid w:val="00C56D05"/>
    <w:rsid w:val="00C57D72"/>
    <w:rsid w:val="00C60897"/>
    <w:rsid w:val="00C60CED"/>
    <w:rsid w:val="00C617C2"/>
    <w:rsid w:val="00C6250A"/>
    <w:rsid w:val="00C62E49"/>
    <w:rsid w:val="00C6344B"/>
    <w:rsid w:val="00C64503"/>
    <w:rsid w:val="00C645B6"/>
    <w:rsid w:val="00C65485"/>
    <w:rsid w:val="00C66B25"/>
    <w:rsid w:val="00C701F2"/>
    <w:rsid w:val="00C70839"/>
    <w:rsid w:val="00C71498"/>
    <w:rsid w:val="00C7273E"/>
    <w:rsid w:val="00C74E8A"/>
    <w:rsid w:val="00C76648"/>
    <w:rsid w:val="00C80609"/>
    <w:rsid w:val="00C806EF"/>
    <w:rsid w:val="00C80946"/>
    <w:rsid w:val="00C816C8"/>
    <w:rsid w:val="00C81D6F"/>
    <w:rsid w:val="00C82AF4"/>
    <w:rsid w:val="00C83ADB"/>
    <w:rsid w:val="00C85C71"/>
    <w:rsid w:val="00C85DBF"/>
    <w:rsid w:val="00C865B1"/>
    <w:rsid w:val="00C877FA"/>
    <w:rsid w:val="00C90686"/>
    <w:rsid w:val="00C9128A"/>
    <w:rsid w:val="00C91590"/>
    <w:rsid w:val="00C93DC3"/>
    <w:rsid w:val="00C93E69"/>
    <w:rsid w:val="00C9547E"/>
    <w:rsid w:val="00C962D4"/>
    <w:rsid w:val="00C97533"/>
    <w:rsid w:val="00CA0D9D"/>
    <w:rsid w:val="00CA1422"/>
    <w:rsid w:val="00CA189C"/>
    <w:rsid w:val="00CA2959"/>
    <w:rsid w:val="00CA4A5A"/>
    <w:rsid w:val="00CA5087"/>
    <w:rsid w:val="00CA5249"/>
    <w:rsid w:val="00CA5391"/>
    <w:rsid w:val="00CA7CED"/>
    <w:rsid w:val="00CB1B0D"/>
    <w:rsid w:val="00CB2312"/>
    <w:rsid w:val="00CB233F"/>
    <w:rsid w:val="00CB4C11"/>
    <w:rsid w:val="00CB55F8"/>
    <w:rsid w:val="00CB7045"/>
    <w:rsid w:val="00CB7185"/>
    <w:rsid w:val="00CC024B"/>
    <w:rsid w:val="00CC3486"/>
    <w:rsid w:val="00CC42E2"/>
    <w:rsid w:val="00CC51D3"/>
    <w:rsid w:val="00CC6C5E"/>
    <w:rsid w:val="00CC6F56"/>
    <w:rsid w:val="00CC73F5"/>
    <w:rsid w:val="00CC7783"/>
    <w:rsid w:val="00CD309C"/>
    <w:rsid w:val="00CD6BE9"/>
    <w:rsid w:val="00CD7CC0"/>
    <w:rsid w:val="00CE1826"/>
    <w:rsid w:val="00CE1F03"/>
    <w:rsid w:val="00CE52E7"/>
    <w:rsid w:val="00CE5EFA"/>
    <w:rsid w:val="00CE60C9"/>
    <w:rsid w:val="00CE6FA8"/>
    <w:rsid w:val="00CF0845"/>
    <w:rsid w:val="00CF0AC2"/>
    <w:rsid w:val="00CF0FA8"/>
    <w:rsid w:val="00CF14C4"/>
    <w:rsid w:val="00CF343C"/>
    <w:rsid w:val="00CF47E1"/>
    <w:rsid w:val="00CF59D8"/>
    <w:rsid w:val="00CF5BD2"/>
    <w:rsid w:val="00CF676C"/>
    <w:rsid w:val="00CF7528"/>
    <w:rsid w:val="00D00B64"/>
    <w:rsid w:val="00D01884"/>
    <w:rsid w:val="00D033E4"/>
    <w:rsid w:val="00D0385C"/>
    <w:rsid w:val="00D03DD6"/>
    <w:rsid w:val="00D04239"/>
    <w:rsid w:val="00D0587D"/>
    <w:rsid w:val="00D05F46"/>
    <w:rsid w:val="00D06695"/>
    <w:rsid w:val="00D07ADB"/>
    <w:rsid w:val="00D11AD7"/>
    <w:rsid w:val="00D1242A"/>
    <w:rsid w:val="00D13584"/>
    <w:rsid w:val="00D135C7"/>
    <w:rsid w:val="00D13F55"/>
    <w:rsid w:val="00D1433E"/>
    <w:rsid w:val="00D152B8"/>
    <w:rsid w:val="00D17785"/>
    <w:rsid w:val="00D2059B"/>
    <w:rsid w:val="00D2154E"/>
    <w:rsid w:val="00D21FC3"/>
    <w:rsid w:val="00D22718"/>
    <w:rsid w:val="00D2408E"/>
    <w:rsid w:val="00D25129"/>
    <w:rsid w:val="00D25DF1"/>
    <w:rsid w:val="00D27009"/>
    <w:rsid w:val="00D27173"/>
    <w:rsid w:val="00D31D54"/>
    <w:rsid w:val="00D3291B"/>
    <w:rsid w:val="00D337DD"/>
    <w:rsid w:val="00D33CD3"/>
    <w:rsid w:val="00D33E50"/>
    <w:rsid w:val="00D35A52"/>
    <w:rsid w:val="00D361F7"/>
    <w:rsid w:val="00D36EA9"/>
    <w:rsid w:val="00D415B5"/>
    <w:rsid w:val="00D418FE"/>
    <w:rsid w:val="00D41973"/>
    <w:rsid w:val="00D4202B"/>
    <w:rsid w:val="00D42A37"/>
    <w:rsid w:val="00D4398B"/>
    <w:rsid w:val="00D4416A"/>
    <w:rsid w:val="00D44DE8"/>
    <w:rsid w:val="00D458A5"/>
    <w:rsid w:val="00D4595B"/>
    <w:rsid w:val="00D466FF"/>
    <w:rsid w:val="00D47175"/>
    <w:rsid w:val="00D50D00"/>
    <w:rsid w:val="00D527DC"/>
    <w:rsid w:val="00D539EA"/>
    <w:rsid w:val="00D544E1"/>
    <w:rsid w:val="00D5648E"/>
    <w:rsid w:val="00D60145"/>
    <w:rsid w:val="00D621F7"/>
    <w:rsid w:val="00D62520"/>
    <w:rsid w:val="00D62C24"/>
    <w:rsid w:val="00D630C5"/>
    <w:rsid w:val="00D63D62"/>
    <w:rsid w:val="00D64802"/>
    <w:rsid w:val="00D65AA9"/>
    <w:rsid w:val="00D66B44"/>
    <w:rsid w:val="00D6737D"/>
    <w:rsid w:val="00D67513"/>
    <w:rsid w:val="00D67724"/>
    <w:rsid w:val="00D6787C"/>
    <w:rsid w:val="00D67AE7"/>
    <w:rsid w:val="00D75A56"/>
    <w:rsid w:val="00D76675"/>
    <w:rsid w:val="00D76736"/>
    <w:rsid w:val="00D76D01"/>
    <w:rsid w:val="00D77633"/>
    <w:rsid w:val="00D80119"/>
    <w:rsid w:val="00D80907"/>
    <w:rsid w:val="00D818D4"/>
    <w:rsid w:val="00D828BB"/>
    <w:rsid w:val="00D841A1"/>
    <w:rsid w:val="00D843CE"/>
    <w:rsid w:val="00D85997"/>
    <w:rsid w:val="00D862A6"/>
    <w:rsid w:val="00D87495"/>
    <w:rsid w:val="00D87AAD"/>
    <w:rsid w:val="00D87B70"/>
    <w:rsid w:val="00D91C3B"/>
    <w:rsid w:val="00D921B0"/>
    <w:rsid w:val="00D92331"/>
    <w:rsid w:val="00D925F5"/>
    <w:rsid w:val="00D9442A"/>
    <w:rsid w:val="00D9442F"/>
    <w:rsid w:val="00D94CAC"/>
    <w:rsid w:val="00D95953"/>
    <w:rsid w:val="00D96A11"/>
    <w:rsid w:val="00D97443"/>
    <w:rsid w:val="00D97E05"/>
    <w:rsid w:val="00DA0C9F"/>
    <w:rsid w:val="00DA2221"/>
    <w:rsid w:val="00DA332A"/>
    <w:rsid w:val="00DA3D61"/>
    <w:rsid w:val="00DA3F5F"/>
    <w:rsid w:val="00DA5A80"/>
    <w:rsid w:val="00DA6BAA"/>
    <w:rsid w:val="00DA7D4A"/>
    <w:rsid w:val="00DB1190"/>
    <w:rsid w:val="00DB1560"/>
    <w:rsid w:val="00DB37EB"/>
    <w:rsid w:val="00DB3D5F"/>
    <w:rsid w:val="00DB4F17"/>
    <w:rsid w:val="00DB6564"/>
    <w:rsid w:val="00DB70EB"/>
    <w:rsid w:val="00DB7842"/>
    <w:rsid w:val="00DC154B"/>
    <w:rsid w:val="00DC1831"/>
    <w:rsid w:val="00DC18B6"/>
    <w:rsid w:val="00DC2650"/>
    <w:rsid w:val="00DC3AAC"/>
    <w:rsid w:val="00DC3BF0"/>
    <w:rsid w:val="00DC658E"/>
    <w:rsid w:val="00DC7493"/>
    <w:rsid w:val="00DD2500"/>
    <w:rsid w:val="00DD362D"/>
    <w:rsid w:val="00DD3C54"/>
    <w:rsid w:val="00DD3CF5"/>
    <w:rsid w:val="00DD4BCA"/>
    <w:rsid w:val="00DD50AF"/>
    <w:rsid w:val="00DD6B71"/>
    <w:rsid w:val="00DD753A"/>
    <w:rsid w:val="00DE02BD"/>
    <w:rsid w:val="00DE0812"/>
    <w:rsid w:val="00DE2327"/>
    <w:rsid w:val="00DE2F91"/>
    <w:rsid w:val="00DE39A3"/>
    <w:rsid w:val="00DE563C"/>
    <w:rsid w:val="00DE577C"/>
    <w:rsid w:val="00DE727C"/>
    <w:rsid w:val="00DE7E71"/>
    <w:rsid w:val="00DF149A"/>
    <w:rsid w:val="00DF167D"/>
    <w:rsid w:val="00DF3183"/>
    <w:rsid w:val="00DF33D1"/>
    <w:rsid w:val="00DF4BB5"/>
    <w:rsid w:val="00DF5011"/>
    <w:rsid w:val="00DF538B"/>
    <w:rsid w:val="00DF5F1F"/>
    <w:rsid w:val="00DF6CE6"/>
    <w:rsid w:val="00DF6DFB"/>
    <w:rsid w:val="00DF7A06"/>
    <w:rsid w:val="00E003DE"/>
    <w:rsid w:val="00E00B27"/>
    <w:rsid w:val="00E00B33"/>
    <w:rsid w:val="00E0236F"/>
    <w:rsid w:val="00E03A16"/>
    <w:rsid w:val="00E03ACF"/>
    <w:rsid w:val="00E04325"/>
    <w:rsid w:val="00E049B5"/>
    <w:rsid w:val="00E06B2B"/>
    <w:rsid w:val="00E12092"/>
    <w:rsid w:val="00E12BC5"/>
    <w:rsid w:val="00E13839"/>
    <w:rsid w:val="00E13872"/>
    <w:rsid w:val="00E13D4C"/>
    <w:rsid w:val="00E13DAD"/>
    <w:rsid w:val="00E15C18"/>
    <w:rsid w:val="00E17FDA"/>
    <w:rsid w:val="00E2053F"/>
    <w:rsid w:val="00E211A9"/>
    <w:rsid w:val="00E223AE"/>
    <w:rsid w:val="00E23DE4"/>
    <w:rsid w:val="00E25AFE"/>
    <w:rsid w:val="00E25B26"/>
    <w:rsid w:val="00E25FAF"/>
    <w:rsid w:val="00E27115"/>
    <w:rsid w:val="00E27EC3"/>
    <w:rsid w:val="00E33EC2"/>
    <w:rsid w:val="00E342B1"/>
    <w:rsid w:val="00E34AB7"/>
    <w:rsid w:val="00E3513A"/>
    <w:rsid w:val="00E3531D"/>
    <w:rsid w:val="00E3563B"/>
    <w:rsid w:val="00E3597E"/>
    <w:rsid w:val="00E371EC"/>
    <w:rsid w:val="00E402C2"/>
    <w:rsid w:val="00E406F6"/>
    <w:rsid w:val="00E45069"/>
    <w:rsid w:val="00E45379"/>
    <w:rsid w:val="00E45CC9"/>
    <w:rsid w:val="00E45F5C"/>
    <w:rsid w:val="00E4711F"/>
    <w:rsid w:val="00E51116"/>
    <w:rsid w:val="00E51125"/>
    <w:rsid w:val="00E517B1"/>
    <w:rsid w:val="00E51995"/>
    <w:rsid w:val="00E51C67"/>
    <w:rsid w:val="00E52A06"/>
    <w:rsid w:val="00E52C0F"/>
    <w:rsid w:val="00E543D6"/>
    <w:rsid w:val="00E54904"/>
    <w:rsid w:val="00E549A5"/>
    <w:rsid w:val="00E54D0D"/>
    <w:rsid w:val="00E56E91"/>
    <w:rsid w:val="00E6059E"/>
    <w:rsid w:val="00E60C37"/>
    <w:rsid w:val="00E61309"/>
    <w:rsid w:val="00E62EAE"/>
    <w:rsid w:val="00E6334B"/>
    <w:rsid w:val="00E65C63"/>
    <w:rsid w:val="00E71177"/>
    <w:rsid w:val="00E711E7"/>
    <w:rsid w:val="00E72BA3"/>
    <w:rsid w:val="00E747DB"/>
    <w:rsid w:val="00E778E6"/>
    <w:rsid w:val="00E80136"/>
    <w:rsid w:val="00E828A2"/>
    <w:rsid w:val="00E83981"/>
    <w:rsid w:val="00E8461A"/>
    <w:rsid w:val="00E858DD"/>
    <w:rsid w:val="00E86104"/>
    <w:rsid w:val="00E871D7"/>
    <w:rsid w:val="00E8726E"/>
    <w:rsid w:val="00E875B5"/>
    <w:rsid w:val="00E87F4F"/>
    <w:rsid w:val="00E907D0"/>
    <w:rsid w:val="00E90E67"/>
    <w:rsid w:val="00E91891"/>
    <w:rsid w:val="00E91D1D"/>
    <w:rsid w:val="00E9211B"/>
    <w:rsid w:val="00E92BB4"/>
    <w:rsid w:val="00E9375B"/>
    <w:rsid w:val="00E93999"/>
    <w:rsid w:val="00E9765D"/>
    <w:rsid w:val="00E97850"/>
    <w:rsid w:val="00EA17FC"/>
    <w:rsid w:val="00EA230A"/>
    <w:rsid w:val="00EA2BAC"/>
    <w:rsid w:val="00EA2C21"/>
    <w:rsid w:val="00EA41A9"/>
    <w:rsid w:val="00EA5269"/>
    <w:rsid w:val="00EA5773"/>
    <w:rsid w:val="00EA5883"/>
    <w:rsid w:val="00EA63C0"/>
    <w:rsid w:val="00EA6D68"/>
    <w:rsid w:val="00EA7CC8"/>
    <w:rsid w:val="00EB0B53"/>
    <w:rsid w:val="00EB1054"/>
    <w:rsid w:val="00EB23C6"/>
    <w:rsid w:val="00EB24F7"/>
    <w:rsid w:val="00EB275F"/>
    <w:rsid w:val="00EB2952"/>
    <w:rsid w:val="00EB32B0"/>
    <w:rsid w:val="00EB4979"/>
    <w:rsid w:val="00EB4DFA"/>
    <w:rsid w:val="00EB4E33"/>
    <w:rsid w:val="00EB526A"/>
    <w:rsid w:val="00EB5C88"/>
    <w:rsid w:val="00EB5E12"/>
    <w:rsid w:val="00EB7246"/>
    <w:rsid w:val="00EB7AF4"/>
    <w:rsid w:val="00EB7B2D"/>
    <w:rsid w:val="00EC0371"/>
    <w:rsid w:val="00EC3ED4"/>
    <w:rsid w:val="00EC5405"/>
    <w:rsid w:val="00EC5A91"/>
    <w:rsid w:val="00EC60D0"/>
    <w:rsid w:val="00EC6462"/>
    <w:rsid w:val="00EC66F1"/>
    <w:rsid w:val="00EC7747"/>
    <w:rsid w:val="00EC78F6"/>
    <w:rsid w:val="00ED0D60"/>
    <w:rsid w:val="00ED2454"/>
    <w:rsid w:val="00ED3DFC"/>
    <w:rsid w:val="00ED451D"/>
    <w:rsid w:val="00ED4BB0"/>
    <w:rsid w:val="00ED6493"/>
    <w:rsid w:val="00ED7F04"/>
    <w:rsid w:val="00EE0904"/>
    <w:rsid w:val="00EE23BC"/>
    <w:rsid w:val="00EE23C0"/>
    <w:rsid w:val="00EE269C"/>
    <w:rsid w:val="00EE2E3F"/>
    <w:rsid w:val="00EE4DAC"/>
    <w:rsid w:val="00EE5356"/>
    <w:rsid w:val="00EE6A93"/>
    <w:rsid w:val="00EF03B2"/>
    <w:rsid w:val="00EF0FCA"/>
    <w:rsid w:val="00EF1B20"/>
    <w:rsid w:val="00EF1DCD"/>
    <w:rsid w:val="00EF1E7D"/>
    <w:rsid w:val="00EF221A"/>
    <w:rsid w:val="00EF4A3C"/>
    <w:rsid w:val="00EF5EEF"/>
    <w:rsid w:val="00EF6222"/>
    <w:rsid w:val="00EF7443"/>
    <w:rsid w:val="00EF7919"/>
    <w:rsid w:val="00F00E2E"/>
    <w:rsid w:val="00F01541"/>
    <w:rsid w:val="00F03672"/>
    <w:rsid w:val="00F04100"/>
    <w:rsid w:val="00F04121"/>
    <w:rsid w:val="00F0448D"/>
    <w:rsid w:val="00F05C5C"/>
    <w:rsid w:val="00F072E2"/>
    <w:rsid w:val="00F07771"/>
    <w:rsid w:val="00F07DDC"/>
    <w:rsid w:val="00F10E03"/>
    <w:rsid w:val="00F11757"/>
    <w:rsid w:val="00F13076"/>
    <w:rsid w:val="00F13819"/>
    <w:rsid w:val="00F15E32"/>
    <w:rsid w:val="00F15EEB"/>
    <w:rsid w:val="00F20837"/>
    <w:rsid w:val="00F210EB"/>
    <w:rsid w:val="00F214D0"/>
    <w:rsid w:val="00F21A2B"/>
    <w:rsid w:val="00F23341"/>
    <w:rsid w:val="00F23842"/>
    <w:rsid w:val="00F24B7D"/>
    <w:rsid w:val="00F26336"/>
    <w:rsid w:val="00F26915"/>
    <w:rsid w:val="00F26A77"/>
    <w:rsid w:val="00F32A06"/>
    <w:rsid w:val="00F334CF"/>
    <w:rsid w:val="00F3381D"/>
    <w:rsid w:val="00F34539"/>
    <w:rsid w:val="00F359C1"/>
    <w:rsid w:val="00F403F8"/>
    <w:rsid w:val="00F4118F"/>
    <w:rsid w:val="00F41BC8"/>
    <w:rsid w:val="00F41FAB"/>
    <w:rsid w:val="00F42C30"/>
    <w:rsid w:val="00F42D5A"/>
    <w:rsid w:val="00F432C0"/>
    <w:rsid w:val="00F4356C"/>
    <w:rsid w:val="00F4479E"/>
    <w:rsid w:val="00F44C88"/>
    <w:rsid w:val="00F454F4"/>
    <w:rsid w:val="00F459D4"/>
    <w:rsid w:val="00F463A7"/>
    <w:rsid w:val="00F5140F"/>
    <w:rsid w:val="00F515C2"/>
    <w:rsid w:val="00F51836"/>
    <w:rsid w:val="00F518F8"/>
    <w:rsid w:val="00F51ED1"/>
    <w:rsid w:val="00F53186"/>
    <w:rsid w:val="00F531A7"/>
    <w:rsid w:val="00F53B7B"/>
    <w:rsid w:val="00F5413C"/>
    <w:rsid w:val="00F54586"/>
    <w:rsid w:val="00F54F0F"/>
    <w:rsid w:val="00F55C77"/>
    <w:rsid w:val="00F55EE3"/>
    <w:rsid w:val="00F5622E"/>
    <w:rsid w:val="00F56BD3"/>
    <w:rsid w:val="00F57626"/>
    <w:rsid w:val="00F60DA5"/>
    <w:rsid w:val="00F6142A"/>
    <w:rsid w:val="00F62537"/>
    <w:rsid w:val="00F64958"/>
    <w:rsid w:val="00F65A4E"/>
    <w:rsid w:val="00F66319"/>
    <w:rsid w:val="00F66B83"/>
    <w:rsid w:val="00F67256"/>
    <w:rsid w:val="00F678D3"/>
    <w:rsid w:val="00F70152"/>
    <w:rsid w:val="00F71429"/>
    <w:rsid w:val="00F7144F"/>
    <w:rsid w:val="00F71FA3"/>
    <w:rsid w:val="00F72119"/>
    <w:rsid w:val="00F72812"/>
    <w:rsid w:val="00F73CD3"/>
    <w:rsid w:val="00F763AC"/>
    <w:rsid w:val="00F808AD"/>
    <w:rsid w:val="00F80975"/>
    <w:rsid w:val="00F83228"/>
    <w:rsid w:val="00F8381F"/>
    <w:rsid w:val="00F83FC1"/>
    <w:rsid w:val="00F85D38"/>
    <w:rsid w:val="00F86472"/>
    <w:rsid w:val="00F86736"/>
    <w:rsid w:val="00F873EE"/>
    <w:rsid w:val="00F8743B"/>
    <w:rsid w:val="00F95A42"/>
    <w:rsid w:val="00F95D55"/>
    <w:rsid w:val="00F96937"/>
    <w:rsid w:val="00FA0931"/>
    <w:rsid w:val="00FA1789"/>
    <w:rsid w:val="00FA227E"/>
    <w:rsid w:val="00FA4A61"/>
    <w:rsid w:val="00FA4A65"/>
    <w:rsid w:val="00FA531F"/>
    <w:rsid w:val="00FA61D6"/>
    <w:rsid w:val="00FA7202"/>
    <w:rsid w:val="00FB09ED"/>
    <w:rsid w:val="00FB1196"/>
    <w:rsid w:val="00FB1523"/>
    <w:rsid w:val="00FB1587"/>
    <w:rsid w:val="00FB2DD8"/>
    <w:rsid w:val="00FB39C6"/>
    <w:rsid w:val="00FB3C59"/>
    <w:rsid w:val="00FB58AD"/>
    <w:rsid w:val="00FB5A54"/>
    <w:rsid w:val="00FB7942"/>
    <w:rsid w:val="00FB7C4F"/>
    <w:rsid w:val="00FC0F66"/>
    <w:rsid w:val="00FC2967"/>
    <w:rsid w:val="00FC309D"/>
    <w:rsid w:val="00FC398D"/>
    <w:rsid w:val="00FC3B9F"/>
    <w:rsid w:val="00FC3FAF"/>
    <w:rsid w:val="00FC5000"/>
    <w:rsid w:val="00FC5978"/>
    <w:rsid w:val="00FC5995"/>
    <w:rsid w:val="00FC6085"/>
    <w:rsid w:val="00FC69C8"/>
    <w:rsid w:val="00FC746F"/>
    <w:rsid w:val="00FC75E1"/>
    <w:rsid w:val="00FC77BC"/>
    <w:rsid w:val="00FD3D88"/>
    <w:rsid w:val="00FD40EB"/>
    <w:rsid w:val="00FD440C"/>
    <w:rsid w:val="00FD521A"/>
    <w:rsid w:val="00FD55FA"/>
    <w:rsid w:val="00FD55FD"/>
    <w:rsid w:val="00FD6219"/>
    <w:rsid w:val="00FD6367"/>
    <w:rsid w:val="00FD6E51"/>
    <w:rsid w:val="00FD727F"/>
    <w:rsid w:val="00FE069F"/>
    <w:rsid w:val="00FE08E0"/>
    <w:rsid w:val="00FE093B"/>
    <w:rsid w:val="00FE0C28"/>
    <w:rsid w:val="00FE0D6C"/>
    <w:rsid w:val="00FE15AA"/>
    <w:rsid w:val="00FE24A0"/>
    <w:rsid w:val="00FE419A"/>
    <w:rsid w:val="00FE4336"/>
    <w:rsid w:val="00FE4353"/>
    <w:rsid w:val="00FE4D74"/>
    <w:rsid w:val="00FE54F9"/>
    <w:rsid w:val="00FE61C5"/>
    <w:rsid w:val="00FE6EC2"/>
    <w:rsid w:val="00FE7474"/>
    <w:rsid w:val="00FE7DE4"/>
    <w:rsid w:val="00FF14DB"/>
    <w:rsid w:val="00FF14F0"/>
    <w:rsid w:val="00FF21AF"/>
    <w:rsid w:val="00FF3FDB"/>
    <w:rsid w:val="00FF5844"/>
    <w:rsid w:val="00FF5AFC"/>
    <w:rsid w:val="00FF7C22"/>
    <w:rsid w:val="00FF7F54"/>
    <w:rsid w:val="01137DD7"/>
    <w:rsid w:val="011C648D"/>
    <w:rsid w:val="012104EA"/>
    <w:rsid w:val="012204AB"/>
    <w:rsid w:val="012267F9"/>
    <w:rsid w:val="012C687B"/>
    <w:rsid w:val="01337024"/>
    <w:rsid w:val="013E0B8A"/>
    <w:rsid w:val="014364A0"/>
    <w:rsid w:val="01443A28"/>
    <w:rsid w:val="015265D2"/>
    <w:rsid w:val="01540DA6"/>
    <w:rsid w:val="01582BC2"/>
    <w:rsid w:val="015F22BC"/>
    <w:rsid w:val="016347D7"/>
    <w:rsid w:val="016E2B68"/>
    <w:rsid w:val="016F6DC8"/>
    <w:rsid w:val="01780EF9"/>
    <w:rsid w:val="0179113F"/>
    <w:rsid w:val="017C4C76"/>
    <w:rsid w:val="01837DFF"/>
    <w:rsid w:val="01846F0A"/>
    <w:rsid w:val="01875DE9"/>
    <w:rsid w:val="018B0330"/>
    <w:rsid w:val="018F529B"/>
    <w:rsid w:val="01944497"/>
    <w:rsid w:val="019A241F"/>
    <w:rsid w:val="019A49CC"/>
    <w:rsid w:val="01A03CBA"/>
    <w:rsid w:val="01A95C2A"/>
    <w:rsid w:val="01B1667B"/>
    <w:rsid w:val="01B80280"/>
    <w:rsid w:val="01BA51E5"/>
    <w:rsid w:val="01BD2066"/>
    <w:rsid w:val="01BD420B"/>
    <w:rsid w:val="01C02A25"/>
    <w:rsid w:val="01C24F21"/>
    <w:rsid w:val="01C32195"/>
    <w:rsid w:val="01C637CD"/>
    <w:rsid w:val="01C770AE"/>
    <w:rsid w:val="01C775B7"/>
    <w:rsid w:val="01CD4B47"/>
    <w:rsid w:val="01D173D3"/>
    <w:rsid w:val="01D27677"/>
    <w:rsid w:val="01D4434E"/>
    <w:rsid w:val="01DA7C98"/>
    <w:rsid w:val="01DC4C23"/>
    <w:rsid w:val="01DD594B"/>
    <w:rsid w:val="01E77EC2"/>
    <w:rsid w:val="01E82AF6"/>
    <w:rsid w:val="01EC4D15"/>
    <w:rsid w:val="01F00423"/>
    <w:rsid w:val="01F0403A"/>
    <w:rsid w:val="01F55459"/>
    <w:rsid w:val="01F65A42"/>
    <w:rsid w:val="01FA766A"/>
    <w:rsid w:val="01FB23CB"/>
    <w:rsid w:val="01FB5C4F"/>
    <w:rsid w:val="01FB6264"/>
    <w:rsid w:val="01FF6E61"/>
    <w:rsid w:val="02063FE0"/>
    <w:rsid w:val="020C1B6C"/>
    <w:rsid w:val="0214018B"/>
    <w:rsid w:val="021D0874"/>
    <w:rsid w:val="021E73A9"/>
    <w:rsid w:val="02200BCF"/>
    <w:rsid w:val="02262316"/>
    <w:rsid w:val="022A4754"/>
    <w:rsid w:val="022D3B14"/>
    <w:rsid w:val="022D562A"/>
    <w:rsid w:val="02360B8A"/>
    <w:rsid w:val="0236791A"/>
    <w:rsid w:val="023C2464"/>
    <w:rsid w:val="023C66B8"/>
    <w:rsid w:val="02484496"/>
    <w:rsid w:val="02496656"/>
    <w:rsid w:val="024B24F6"/>
    <w:rsid w:val="025105F7"/>
    <w:rsid w:val="02511314"/>
    <w:rsid w:val="02522DDA"/>
    <w:rsid w:val="02534A1C"/>
    <w:rsid w:val="025424C4"/>
    <w:rsid w:val="025B0F4D"/>
    <w:rsid w:val="025E7183"/>
    <w:rsid w:val="02606001"/>
    <w:rsid w:val="02607737"/>
    <w:rsid w:val="0261212D"/>
    <w:rsid w:val="0264544B"/>
    <w:rsid w:val="02666421"/>
    <w:rsid w:val="026B4F0C"/>
    <w:rsid w:val="026C592B"/>
    <w:rsid w:val="02704926"/>
    <w:rsid w:val="027B1066"/>
    <w:rsid w:val="027E22C9"/>
    <w:rsid w:val="027E3619"/>
    <w:rsid w:val="0280619A"/>
    <w:rsid w:val="02814FAA"/>
    <w:rsid w:val="0282749D"/>
    <w:rsid w:val="02864E92"/>
    <w:rsid w:val="028710B6"/>
    <w:rsid w:val="02890D36"/>
    <w:rsid w:val="028D0946"/>
    <w:rsid w:val="02976EB5"/>
    <w:rsid w:val="029B7419"/>
    <w:rsid w:val="02A2394A"/>
    <w:rsid w:val="02A32C0E"/>
    <w:rsid w:val="02A33ABE"/>
    <w:rsid w:val="02A42689"/>
    <w:rsid w:val="02A44331"/>
    <w:rsid w:val="02A7125D"/>
    <w:rsid w:val="02A837E9"/>
    <w:rsid w:val="02A9706C"/>
    <w:rsid w:val="02AA4EF4"/>
    <w:rsid w:val="02AB475B"/>
    <w:rsid w:val="02B068EF"/>
    <w:rsid w:val="02B1137D"/>
    <w:rsid w:val="02B85E67"/>
    <w:rsid w:val="02BE378E"/>
    <w:rsid w:val="02C27BA0"/>
    <w:rsid w:val="02C77D5D"/>
    <w:rsid w:val="02C84ACA"/>
    <w:rsid w:val="02CD7E09"/>
    <w:rsid w:val="02D7217A"/>
    <w:rsid w:val="02DE0333"/>
    <w:rsid w:val="02DE3C07"/>
    <w:rsid w:val="02E110B9"/>
    <w:rsid w:val="02EA7AD6"/>
    <w:rsid w:val="02EB4575"/>
    <w:rsid w:val="02EF1871"/>
    <w:rsid w:val="02EF42D6"/>
    <w:rsid w:val="02F31D73"/>
    <w:rsid w:val="02F62AAB"/>
    <w:rsid w:val="02FF41F8"/>
    <w:rsid w:val="02FF7A7B"/>
    <w:rsid w:val="03004B51"/>
    <w:rsid w:val="0305534C"/>
    <w:rsid w:val="031273D2"/>
    <w:rsid w:val="0314419D"/>
    <w:rsid w:val="03181C23"/>
    <w:rsid w:val="031A5719"/>
    <w:rsid w:val="031E5E5C"/>
    <w:rsid w:val="031F2092"/>
    <w:rsid w:val="03236F45"/>
    <w:rsid w:val="03274174"/>
    <w:rsid w:val="032E3CF9"/>
    <w:rsid w:val="03362153"/>
    <w:rsid w:val="033E0386"/>
    <w:rsid w:val="033E23C0"/>
    <w:rsid w:val="03406D51"/>
    <w:rsid w:val="034104E4"/>
    <w:rsid w:val="03430E2E"/>
    <w:rsid w:val="03433C67"/>
    <w:rsid w:val="03435A5E"/>
    <w:rsid w:val="03441059"/>
    <w:rsid w:val="03486604"/>
    <w:rsid w:val="034B6875"/>
    <w:rsid w:val="035415CF"/>
    <w:rsid w:val="03593ED9"/>
    <w:rsid w:val="03595E2A"/>
    <w:rsid w:val="03610C56"/>
    <w:rsid w:val="03610EBB"/>
    <w:rsid w:val="0361681B"/>
    <w:rsid w:val="036B4BAC"/>
    <w:rsid w:val="037009CE"/>
    <w:rsid w:val="03772BBD"/>
    <w:rsid w:val="03777CE1"/>
    <w:rsid w:val="03785D68"/>
    <w:rsid w:val="037B2F13"/>
    <w:rsid w:val="03801974"/>
    <w:rsid w:val="03820F4E"/>
    <w:rsid w:val="03882871"/>
    <w:rsid w:val="038866DA"/>
    <w:rsid w:val="038D2B62"/>
    <w:rsid w:val="038D39DA"/>
    <w:rsid w:val="038E0776"/>
    <w:rsid w:val="039020EE"/>
    <w:rsid w:val="03941BC1"/>
    <w:rsid w:val="03960436"/>
    <w:rsid w:val="03970EF3"/>
    <w:rsid w:val="03976563"/>
    <w:rsid w:val="039B4242"/>
    <w:rsid w:val="039C5B8D"/>
    <w:rsid w:val="03A07E74"/>
    <w:rsid w:val="03A27284"/>
    <w:rsid w:val="03A4177F"/>
    <w:rsid w:val="03A859B1"/>
    <w:rsid w:val="03AD5615"/>
    <w:rsid w:val="03B708A4"/>
    <w:rsid w:val="03B717ED"/>
    <w:rsid w:val="03C01FA2"/>
    <w:rsid w:val="03C16EAF"/>
    <w:rsid w:val="03C4523A"/>
    <w:rsid w:val="03C7439C"/>
    <w:rsid w:val="03CE35CB"/>
    <w:rsid w:val="03DB0146"/>
    <w:rsid w:val="03E43571"/>
    <w:rsid w:val="03E6098B"/>
    <w:rsid w:val="03E7444B"/>
    <w:rsid w:val="03E949A6"/>
    <w:rsid w:val="03ED3E31"/>
    <w:rsid w:val="03EF65C2"/>
    <w:rsid w:val="03F97C93"/>
    <w:rsid w:val="03FA438A"/>
    <w:rsid w:val="04030D72"/>
    <w:rsid w:val="04047284"/>
    <w:rsid w:val="04060B38"/>
    <w:rsid w:val="041660F6"/>
    <w:rsid w:val="04183B6D"/>
    <w:rsid w:val="04191819"/>
    <w:rsid w:val="041A5C49"/>
    <w:rsid w:val="041A63EF"/>
    <w:rsid w:val="041E06C4"/>
    <w:rsid w:val="041F1676"/>
    <w:rsid w:val="04205EF9"/>
    <w:rsid w:val="04207B52"/>
    <w:rsid w:val="042605E5"/>
    <w:rsid w:val="0428262A"/>
    <w:rsid w:val="042839DF"/>
    <w:rsid w:val="042F134C"/>
    <w:rsid w:val="04354274"/>
    <w:rsid w:val="04355BD6"/>
    <w:rsid w:val="043A06FC"/>
    <w:rsid w:val="043A3F7F"/>
    <w:rsid w:val="043B6088"/>
    <w:rsid w:val="043F4D10"/>
    <w:rsid w:val="04430EEA"/>
    <w:rsid w:val="04452A3F"/>
    <w:rsid w:val="044B500E"/>
    <w:rsid w:val="044C7815"/>
    <w:rsid w:val="04567485"/>
    <w:rsid w:val="046159F2"/>
    <w:rsid w:val="04664A43"/>
    <w:rsid w:val="0466546A"/>
    <w:rsid w:val="046F1531"/>
    <w:rsid w:val="04703E34"/>
    <w:rsid w:val="04775C79"/>
    <w:rsid w:val="04785103"/>
    <w:rsid w:val="047A707D"/>
    <w:rsid w:val="0480004F"/>
    <w:rsid w:val="04801AB9"/>
    <w:rsid w:val="04862D7A"/>
    <w:rsid w:val="048E75C0"/>
    <w:rsid w:val="0491110B"/>
    <w:rsid w:val="0491498E"/>
    <w:rsid w:val="04997AEC"/>
    <w:rsid w:val="04997E2D"/>
    <w:rsid w:val="049D02B9"/>
    <w:rsid w:val="049E255E"/>
    <w:rsid w:val="04A57674"/>
    <w:rsid w:val="04A64CC3"/>
    <w:rsid w:val="04A82509"/>
    <w:rsid w:val="04B17441"/>
    <w:rsid w:val="04B270C1"/>
    <w:rsid w:val="04B327A2"/>
    <w:rsid w:val="04B4690A"/>
    <w:rsid w:val="04B8247A"/>
    <w:rsid w:val="04C837E3"/>
    <w:rsid w:val="04CC08B0"/>
    <w:rsid w:val="04CE7E0D"/>
    <w:rsid w:val="04D173B7"/>
    <w:rsid w:val="04D21F86"/>
    <w:rsid w:val="04D253F8"/>
    <w:rsid w:val="04D7439F"/>
    <w:rsid w:val="04D75D01"/>
    <w:rsid w:val="04D81148"/>
    <w:rsid w:val="04DA30D9"/>
    <w:rsid w:val="04DD3789"/>
    <w:rsid w:val="04DE77F2"/>
    <w:rsid w:val="04DF02C0"/>
    <w:rsid w:val="04DF53AF"/>
    <w:rsid w:val="04E03757"/>
    <w:rsid w:val="04E81B1A"/>
    <w:rsid w:val="04E8539D"/>
    <w:rsid w:val="04EA10FE"/>
    <w:rsid w:val="04F2372E"/>
    <w:rsid w:val="04F23B79"/>
    <w:rsid w:val="04F46043"/>
    <w:rsid w:val="04F74866"/>
    <w:rsid w:val="05023EE2"/>
    <w:rsid w:val="0507215E"/>
    <w:rsid w:val="05083D62"/>
    <w:rsid w:val="05091BF0"/>
    <w:rsid w:val="05097AD0"/>
    <w:rsid w:val="050C0AFC"/>
    <w:rsid w:val="050F55CE"/>
    <w:rsid w:val="051308EA"/>
    <w:rsid w:val="05134373"/>
    <w:rsid w:val="05246C01"/>
    <w:rsid w:val="05295E06"/>
    <w:rsid w:val="05344197"/>
    <w:rsid w:val="053A2D5E"/>
    <w:rsid w:val="053C7612"/>
    <w:rsid w:val="053E2528"/>
    <w:rsid w:val="054374FD"/>
    <w:rsid w:val="054573D8"/>
    <w:rsid w:val="054852B8"/>
    <w:rsid w:val="054E6456"/>
    <w:rsid w:val="055424CE"/>
    <w:rsid w:val="05555DDB"/>
    <w:rsid w:val="055E085F"/>
    <w:rsid w:val="05611F0E"/>
    <w:rsid w:val="05612280"/>
    <w:rsid w:val="056441B6"/>
    <w:rsid w:val="057266CE"/>
    <w:rsid w:val="0573198A"/>
    <w:rsid w:val="05750484"/>
    <w:rsid w:val="05754C01"/>
    <w:rsid w:val="05806815"/>
    <w:rsid w:val="058A4BA6"/>
    <w:rsid w:val="05905187"/>
    <w:rsid w:val="05945D23"/>
    <w:rsid w:val="05952F37"/>
    <w:rsid w:val="05972BB7"/>
    <w:rsid w:val="05987546"/>
    <w:rsid w:val="059D000E"/>
    <w:rsid w:val="059E3CB9"/>
    <w:rsid w:val="059E528E"/>
    <w:rsid w:val="05A11814"/>
    <w:rsid w:val="05A473AC"/>
    <w:rsid w:val="05A60959"/>
    <w:rsid w:val="05A92FC9"/>
    <w:rsid w:val="05A94377"/>
    <w:rsid w:val="05AA6169"/>
    <w:rsid w:val="05B1769D"/>
    <w:rsid w:val="05B30CAA"/>
    <w:rsid w:val="05B41187"/>
    <w:rsid w:val="05B435F8"/>
    <w:rsid w:val="05B45D9F"/>
    <w:rsid w:val="05B5126E"/>
    <w:rsid w:val="05B804F1"/>
    <w:rsid w:val="05BF5C5F"/>
    <w:rsid w:val="05C05E71"/>
    <w:rsid w:val="05C1727E"/>
    <w:rsid w:val="05CA76B3"/>
    <w:rsid w:val="05CC0E93"/>
    <w:rsid w:val="05CD230F"/>
    <w:rsid w:val="05CD6FE9"/>
    <w:rsid w:val="05CE06E8"/>
    <w:rsid w:val="05CE5DC6"/>
    <w:rsid w:val="05D04150"/>
    <w:rsid w:val="05D42823"/>
    <w:rsid w:val="05D47ED0"/>
    <w:rsid w:val="05D639A0"/>
    <w:rsid w:val="05DA53FA"/>
    <w:rsid w:val="05E50771"/>
    <w:rsid w:val="05ED35C6"/>
    <w:rsid w:val="05F34485"/>
    <w:rsid w:val="05FB7332"/>
    <w:rsid w:val="05FD3676"/>
    <w:rsid w:val="05FD56D0"/>
    <w:rsid w:val="06036C35"/>
    <w:rsid w:val="06041FCD"/>
    <w:rsid w:val="06072AAD"/>
    <w:rsid w:val="06085D6E"/>
    <w:rsid w:val="060D5D56"/>
    <w:rsid w:val="06113CB0"/>
    <w:rsid w:val="06133A62"/>
    <w:rsid w:val="06187C8D"/>
    <w:rsid w:val="061D204E"/>
    <w:rsid w:val="0623601E"/>
    <w:rsid w:val="0627505C"/>
    <w:rsid w:val="063603A8"/>
    <w:rsid w:val="0638245B"/>
    <w:rsid w:val="06427CD6"/>
    <w:rsid w:val="06434355"/>
    <w:rsid w:val="06443FD4"/>
    <w:rsid w:val="0646365B"/>
    <w:rsid w:val="064707DC"/>
    <w:rsid w:val="06472AA5"/>
    <w:rsid w:val="06493C8C"/>
    <w:rsid w:val="064B5EA0"/>
    <w:rsid w:val="0651370A"/>
    <w:rsid w:val="06555C4E"/>
    <w:rsid w:val="065721E4"/>
    <w:rsid w:val="06592D9B"/>
    <w:rsid w:val="06603EC7"/>
    <w:rsid w:val="06615ED8"/>
    <w:rsid w:val="0662723F"/>
    <w:rsid w:val="0664230B"/>
    <w:rsid w:val="06646A88"/>
    <w:rsid w:val="0667368D"/>
    <w:rsid w:val="06690AB2"/>
    <w:rsid w:val="066F069C"/>
    <w:rsid w:val="06747E65"/>
    <w:rsid w:val="067907E0"/>
    <w:rsid w:val="067D76FA"/>
    <w:rsid w:val="068C0B76"/>
    <w:rsid w:val="0692149E"/>
    <w:rsid w:val="069227DA"/>
    <w:rsid w:val="06942E5A"/>
    <w:rsid w:val="0695254F"/>
    <w:rsid w:val="069641A0"/>
    <w:rsid w:val="06984F33"/>
    <w:rsid w:val="069A2FDA"/>
    <w:rsid w:val="069B479D"/>
    <w:rsid w:val="069B49E3"/>
    <w:rsid w:val="06A52D74"/>
    <w:rsid w:val="06A70B50"/>
    <w:rsid w:val="06A8651A"/>
    <w:rsid w:val="06AE7101"/>
    <w:rsid w:val="06B05675"/>
    <w:rsid w:val="06B12EB6"/>
    <w:rsid w:val="06B5558D"/>
    <w:rsid w:val="06B76A82"/>
    <w:rsid w:val="06B82F6C"/>
    <w:rsid w:val="06BB7496"/>
    <w:rsid w:val="06BD72A2"/>
    <w:rsid w:val="06BE1F89"/>
    <w:rsid w:val="06C510AB"/>
    <w:rsid w:val="06CA069A"/>
    <w:rsid w:val="06D0743C"/>
    <w:rsid w:val="06D24549"/>
    <w:rsid w:val="06D5251A"/>
    <w:rsid w:val="06D84EB6"/>
    <w:rsid w:val="06D91CAA"/>
    <w:rsid w:val="06DB57CD"/>
    <w:rsid w:val="06DC6F24"/>
    <w:rsid w:val="06DD645B"/>
    <w:rsid w:val="06E94DD1"/>
    <w:rsid w:val="06F40965"/>
    <w:rsid w:val="06F86320"/>
    <w:rsid w:val="06FA7309"/>
    <w:rsid w:val="06FC3783"/>
    <w:rsid w:val="06FD0B91"/>
    <w:rsid w:val="070052C6"/>
    <w:rsid w:val="07061690"/>
    <w:rsid w:val="07071B14"/>
    <w:rsid w:val="070C549D"/>
    <w:rsid w:val="070E4E72"/>
    <w:rsid w:val="07103C2C"/>
    <w:rsid w:val="0711152A"/>
    <w:rsid w:val="071C1AB9"/>
    <w:rsid w:val="07233297"/>
    <w:rsid w:val="07233E5F"/>
    <w:rsid w:val="07271313"/>
    <w:rsid w:val="072C1986"/>
    <w:rsid w:val="073161DB"/>
    <w:rsid w:val="073839B2"/>
    <w:rsid w:val="07383FC4"/>
    <w:rsid w:val="073940EF"/>
    <w:rsid w:val="073B0A51"/>
    <w:rsid w:val="07445DE2"/>
    <w:rsid w:val="0745418F"/>
    <w:rsid w:val="074553EA"/>
    <w:rsid w:val="07460CC4"/>
    <w:rsid w:val="0752536D"/>
    <w:rsid w:val="07527C31"/>
    <w:rsid w:val="07534192"/>
    <w:rsid w:val="075C1AA6"/>
    <w:rsid w:val="075D03C3"/>
    <w:rsid w:val="075E0218"/>
    <w:rsid w:val="075E2523"/>
    <w:rsid w:val="076223EC"/>
    <w:rsid w:val="07642165"/>
    <w:rsid w:val="07643A01"/>
    <w:rsid w:val="076703A1"/>
    <w:rsid w:val="07677852"/>
    <w:rsid w:val="076A17A5"/>
    <w:rsid w:val="076C029E"/>
    <w:rsid w:val="076D4393"/>
    <w:rsid w:val="07706DA9"/>
    <w:rsid w:val="07727AEC"/>
    <w:rsid w:val="07736703"/>
    <w:rsid w:val="077B5E33"/>
    <w:rsid w:val="077D677B"/>
    <w:rsid w:val="0782520E"/>
    <w:rsid w:val="07857ACB"/>
    <w:rsid w:val="078C4350"/>
    <w:rsid w:val="078D7DF3"/>
    <w:rsid w:val="078E70C5"/>
    <w:rsid w:val="07923702"/>
    <w:rsid w:val="079C4DBC"/>
    <w:rsid w:val="079D4E7C"/>
    <w:rsid w:val="079F39A1"/>
    <w:rsid w:val="079F680F"/>
    <w:rsid w:val="07A20BF8"/>
    <w:rsid w:val="07A50715"/>
    <w:rsid w:val="07A76DE7"/>
    <w:rsid w:val="07A938EA"/>
    <w:rsid w:val="07AF6A53"/>
    <w:rsid w:val="07B401B2"/>
    <w:rsid w:val="07B55F5B"/>
    <w:rsid w:val="07B66017"/>
    <w:rsid w:val="07BA2312"/>
    <w:rsid w:val="07BB53C7"/>
    <w:rsid w:val="07BC287A"/>
    <w:rsid w:val="07BF12C2"/>
    <w:rsid w:val="07C473F7"/>
    <w:rsid w:val="07C56040"/>
    <w:rsid w:val="07CA2ED7"/>
    <w:rsid w:val="07CC6B25"/>
    <w:rsid w:val="07D4401A"/>
    <w:rsid w:val="07D44853"/>
    <w:rsid w:val="07D96AA4"/>
    <w:rsid w:val="07E12DAB"/>
    <w:rsid w:val="07E41AB1"/>
    <w:rsid w:val="07E95EA1"/>
    <w:rsid w:val="07EB05BB"/>
    <w:rsid w:val="07EB560A"/>
    <w:rsid w:val="07EF7F83"/>
    <w:rsid w:val="07F13978"/>
    <w:rsid w:val="07F14C18"/>
    <w:rsid w:val="07F15A59"/>
    <w:rsid w:val="07F43ACB"/>
    <w:rsid w:val="07F6399B"/>
    <w:rsid w:val="07F6721E"/>
    <w:rsid w:val="07F73D6C"/>
    <w:rsid w:val="07F8184E"/>
    <w:rsid w:val="080211E9"/>
    <w:rsid w:val="08036D79"/>
    <w:rsid w:val="08061B18"/>
    <w:rsid w:val="080B3940"/>
    <w:rsid w:val="080E4C09"/>
    <w:rsid w:val="080F7EF9"/>
    <w:rsid w:val="08122E2F"/>
    <w:rsid w:val="08140305"/>
    <w:rsid w:val="08144816"/>
    <w:rsid w:val="08161CD1"/>
    <w:rsid w:val="081A256C"/>
    <w:rsid w:val="081D16CC"/>
    <w:rsid w:val="081F0C88"/>
    <w:rsid w:val="082038E6"/>
    <w:rsid w:val="0823101F"/>
    <w:rsid w:val="0825185D"/>
    <w:rsid w:val="08285910"/>
    <w:rsid w:val="082B1C77"/>
    <w:rsid w:val="082B7863"/>
    <w:rsid w:val="082D4B8A"/>
    <w:rsid w:val="08300718"/>
    <w:rsid w:val="083222A9"/>
    <w:rsid w:val="08335BAA"/>
    <w:rsid w:val="083575CD"/>
    <w:rsid w:val="08360008"/>
    <w:rsid w:val="083A1355"/>
    <w:rsid w:val="083C3EF0"/>
    <w:rsid w:val="083D01D4"/>
    <w:rsid w:val="083E562E"/>
    <w:rsid w:val="083F67B1"/>
    <w:rsid w:val="084C43AA"/>
    <w:rsid w:val="084D7C2D"/>
    <w:rsid w:val="084F24D1"/>
    <w:rsid w:val="0851742F"/>
    <w:rsid w:val="0857273B"/>
    <w:rsid w:val="08575FBE"/>
    <w:rsid w:val="08580817"/>
    <w:rsid w:val="085B08BA"/>
    <w:rsid w:val="085D7EC7"/>
    <w:rsid w:val="085E0855"/>
    <w:rsid w:val="085E3280"/>
    <w:rsid w:val="085F4A60"/>
    <w:rsid w:val="085F5CD3"/>
    <w:rsid w:val="0862434F"/>
    <w:rsid w:val="08681672"/>
    <w:rsid w:val="08697041"/>
    <w:rsid w:val="086B3F9F"/>
    <w:rsid w:val="08704326"/>
    <w:rsid w:val="087442E8"/>
    <w:rsid w:val="0875033A"/>
    <w:rsid w:val="08845060"/>
    <w:rsid w:val="08861779"/>
    <w:rsid w:val="088675D1"/>
    <w:rsid w:val="0887182C"/>
    <w:rsid w:val="088C0A16"/>
    <w:rsid w:val="08945DF4"/>
    <w:rsid w:val="089E0CF1"/>
    <w:rsid w:val="08A060F3"/>
    <w:rsid w:val="08A34DB8"/>
    <w:rsid w:val="08A91999"/>
    <w:rsid w:val="08AC3EF3"/>
    <w:rsid w:val="08AE69CD"/>
    <w:rsid w:val="08B305D8"/>
    <w:rsid w:val="08B43A28"/>
    <w:rsid w:val="08B86FB7"/>
    <w:rsid w:val="08BC1218"/>
    <w:rsid w:val="08BD21AE"/>
    <w:rsid w:val="08C05347"/>
    <w:rsid w:val="08C343D7"/>
    <w:rsid w:val="08D346E8"/>
    <w:rsid w:val="08DB192A"/>
    <w:rsid w:val="08DD7B5F"/>
    <w:rsid w:val="08E4642B"/>
    <w:rsid w:val="08E510A5"/>
    <w:rsid w:val="08E80B06"/>
    <w:rsid w:val="08EB69CE"/>
    <w:rsid w:val="08EF7436"/>
    <w:rsid w:val="08F32FB1"/>
    <w:rsid w:val="08F75500"/>
    <w:rsid w:val="08FA104A"/>
    <w:rsid w:val="08FA57C7"/>
    <w:rsid w:val="08FC256D"/>
    <w:rsid w:val="08FD4512"/>
    <w:rsid w:val="09010083"/>
    <w:rsid w:val="09037B5F"/>
    <w:rsid w:val="090A2221"/>
    <w:rsid w:val="090B14BF"/>
    <w:rsid w:val="09193DD1"/>
    <w:rsid w:val="091A0E76"/>
    <w:rsid w:val="091B377D"/>
    <w:rsid w:val="091C3447"/>
    <w:rsid w:val="09257549"/>
    <w:rsid w:val="092664A6"/>
    <w:rsid w:val="09290881"/>
    <w:rsid w:val="09317E9F"/>
    <w:rsid w:val="093B1AB4"/>
    <w:rsid w:val="093F4423"/>
    <w:rsid w:val="094023FA"/>
    <w:rsid w:val="09467E45"/>
    <w:rsid w:val="094A6BD0"/>
    <w:rsid w:val="094C4352"/>
    <w:rsid w:val="094C4F48"/>
    <w:rsid w:val="09505125"/>
    <w:rsid w:val="09507B23"/>
    <w:rsid w:val="095161D6"/>
    <w:rsid w:val="09575448"/>
    <w:rsid w:val="09594044"/>
    <w:rsid w:val="095B7DEA"/>
    <w:rsid w:val="09656ADE"/>
    <w:rsid w:val="096739D2"/>
    <w:rsid w:val="096B1E91"/>
    <w:rsid w:val="096C21F7"/>
    <w:rsid w:val="096C444A"/>
    <w:rsid w:val="0972418C"/>
    <w:rsid w:val="0974552D"/>
    <w:rsid w:val="097D18A0"/>
    <w:rsid w:val="097D251D"/>
    <w:rsid w:val="097D307B"/>
    <w:rsid w:val="098158EB"/>
    <w:rsid w:val="098A6812"/>
    <w:rsid w:val="098C6EF5"/>
    <w:rsid w:val="098D1D86"/>
    <w:rsid w:val="099015A7"/>
    <w:rsid w:val="09926C3F"/>
    <w:rsid w:val="09931E79"/>
    <w:rsid w:val="099D0853"/>
    <w:rsid w:val="099D6688"/>
    <w:rsid w:val="099F2191"/>
    <w:rsid w:val="09A361A1"/>
    <w:rsid w:val="09A9647F"/>
    <w:rsid w:val="09AE1BEA"/>
    <w:rsid w:val="09B1630C"/>
    <w:rsid w:val="09B17CD0"/>
    <w:rsid w:val="09B24F76"/>
    <w:rsid w:val="09B63006"/>
    <w:rsid w:val="09BE7121"/>
    <w:rsid w:val="09C2674A"/>
    <w:rsid w:val="09C816B2"/>
    <w:rsid w:val="09CC2D34"/>
    <w:rsid w:val="09CC6EF5"/>
    <w:rsid w:val="09DC01D8"/>
    <w:rsid w:val="09E9764E"/>
    <w:rsid w:val="09EA430A"/>
    <w:rsid w:val="09EE41AE"/>
    <w:rsid w:val="09F158A1"/>
    <w:rsid w:val="09F53E5C"/>
    <w:rsid w:val="09F93BE8"/>
    <w:rsid w:val="09F94A09"/>
    <w:rsid w:val="09FB7FA3"/>
    <w:rsid w:val="09FE4FC0"/>
    <w:rsid w:val="09FE7C1B"/>
    <w:rsid w:val="0A00187C"/>
    <w:rsid w:val="0A021F2E"/>
    <w:rsid w:val="0A0A0D78"/>
    <w:rsid w:val="0A0E1EEC"/>
    <w:rsid w:val="0A0E4927"/>
    <w:rsid w:val="0A2055A9"/>
    <w:rsid w:val="0A225189"/>
    <w:rsid w:val="0A260178"/>
    <w:rsid w:val="0A2C675B"/>
    <w:rsid w:val="0A2E1F61"/>
    <w:rsid w:val="0A2F3405"/>
    <w:rsid w:val="0A300AD6"/>
    <w:rsid w:val="0A356065"/>
    <w:rsid w:val="0A3857CD"/>
    <w:rsid w:val="0A441DD5"/>
    <w:rsid w:val="0A4A1C71"/>
    <w:rsid w:val="0A4A3B8F"/>
    <w:rsid w:val="0A4F60F9"/>
    <w:rsid w:val="0A5311BD"/>
    <w:rsid w:val="0A545AE7"/>
    <w:rsid w:val="0A550002"/>
    <w:rsid w:val="0A5B1F0B"/>
    <w:rsid w:val="0A5F5390"/>
    <w:rsid w:val="0A5F6393"/>
    <w:rsid w:val="0A615D99"/>
    <w:rsid w:val="0A654C6E"/>
    <w:rsid w:val="0A7A325F"/>
    <w:rsid w:val="0A81756E"/>
    <w:rsid w:val="0A820A57"/>
    <w:rsid w:val="0A944542"/>
    <w:rsid w:val="0A9642EF"/>
    <w:rsid w:val="0A972489"/>
    <w:rsid w:val="0A9A3290"/>
    <w:rsid w:val="0AA12680"/>
    <w:rsid w:val="0AA30B40"/>
    <w:rsid w:val="0AA90D9B"/>
    <w:rsid w:val="0AA92F85"/>
    <w:rsid w:val="0AAB3845"/>
    <w:rsid w:val="0AB055E7"/>
    <w:rsid w:val="0AB33324"/>
    <w:rsid w:val="0AB36A2E"/>
    <w:rsid w:val="0AB66DA2"/>
    <w:rsid w:val="0AB80E11"/>
    <w:rsid w:val="0ABE149F"/>
    <w:rsid w:val="0AC05ABB"/>
    <w:rsid w:val="0AC24DB3"/>
    <w:rsid w:val="0AC33B4B"/>
    <w:rsid w:val="0AC645BD"/>
    <w:rsid w:val="0AC76B65"/>
    <w:rsid w:val="0ACA0D54"/>
    <w:rsid w:val="0ACB5FAB"/>
    <w:rsid w:val="0AD665CC"/>
    <w:rsid w:val="0AD7358A"/>
    <w:rsid w:val="0AD92FBC"/>
    <w:rsid w:val="0ADB6BFB"/>
    <w:rsid w:val="0AE0275F"/>
    <w:rsid w:val="0AE230E9"/>
    <w:rsid w:val="0AE333F8"/>
    <w:rsid w:val="0AE55ABA"/>
    <w:rsid w:val="0AEA4BAD"/>
    <w:rsid w:val="0AED147A"/>
    <w:rsid w:val="0AED7664"/>
    <w:rsid w:val="0AEF4E06"/>
    <w:rsid w:val="0AF40766"/>
    <w:rsid w:val="0AF53157"/>
    <w:rsid w:val="0AF73CAF"/>
    <w:rsid w:val="0B0565D9"/>
    <w:rsid w:val="0B084957"/>
    <w:rsid w:val="0B0C3787"/>
    <w:rsid w:val="0B0C7B48"/>
    <w:rsid w:val="0B1354D2"/>
    <w:rsid w:val="0B175941"/>
    <w:rsid w:val="0B1957C1"/>
    <w:rsid w:val="0B1E4155"/>
    <w:rsid w:val="0B1F12C9"/>
    <w:rsid w:val="0B1F3EA8"/>
    <w:rsid w:val="0B23136F"/>
    <w:rsid w:val="0B2473D6"/>
    <w:rsid w:val="0B2E1EE3"/>
    <w:rsid w:val="0B2E5767"/>
    <w:rsid w:val="0B2F0766"/>
    <w:rsid w:val="0B322488"/>
    <w:rsid w:val="0B393AF8"/>
    <w:rsid w:val="0B3B07CF"/>
    <w:rsid w:val="0B3B5261"/>
    <w:rsid w:val="0B4818E3"/>
    <w:rsid w:val="0B4D52C5"/>
    <w:rsid w:val="0B4E3A9D"/>
    <w:rsid w:val="0B591E2E"/>
    <w:rsid w:val="0B59303D"/>
    <w:rsid w:val="0B5C556A"/>
    <w:rsid w:val="0B613860"/>
    <w:rsid w:val="0B657E3F"/>
    <w:rsid w:val="0B6A36D6"/>
    <w:rsid w:val="0B6C5B82"/>
    <w:rsid w:val="0B6D384C"/>
    <w:rsid w:val="0B7061D0"/>
    <w:rsid w:val="0B7B7DE4"/>
    <w:rsid w:val="0B8013DF"/>
    <w:rsid w:val="0B851E4A"/>
    <w:rsid w:val="0B8528F2"/>
    <w:rsid w:val="0B856175"/>
    <w:rsid w:val="0B904506"/>
    <w:rsid w:val="0B911FEA"/>
    <w:rsid w:val="0B97468A"/>
    <w:rsid w:val="0B9A2898"/>
    <w:rsid w:val="0B9B2602"/>
    <w:rsid w:val="0B9B3B87"/>
    <w:rsid w:val="0BA13A1E"/>
    <w:rsid w:val="0BA1646A"/>
    <w:rsid w:val="0BA566B0"/>
    <w:rsid w:val="0BA7557D"/>
    <w:rsid w:val="0BB00761"/>
    <w:rsid w:val="0BB0283D"/>
    <w:rsid w:val="0BB738DF"/>
    <w:rsid w:val="0BBA0BCE"/>
    <w:rsid w:val="0BBF0CE7"/>
    <w:rsid w:val="0BBF23D5"/>
    <w:rsid w:val="0BC12941"/>
    <w:rsid w:val="0BCD3C5B"/>
    <w:rsid w:val="0BCE71AE"/>
    <w:rsid w:val="0BD64079"/>
    <w:rsid w:val="0BDB01E4"/>
    <w:rsid w:val="0BDB5DB2"/>
    <w:rsid w:val="0BDC6B84"/>
    <w:rsid w:val="0BDE6299"/>
    <w:rsid w:val="0BE74F15"/>
    <w:rsid w:val="0BE77A2F"/>
    <w:rsid w:val="0BED1AA9"/>
    <w:rsid w:val="0BF132A6"/>
    <w:rsid w:val="0BF32F26"/>
    <w:rsid w:val="0C013F6E"/>
    <w:rsid w:val="0C077E81"/>
    <w:rsid w:val="0C0B17EA"/>
    <w:rsid w:val="0C0B508E"/>
    <w:rsid w:val="0C13125D"/>
    <w:rsid w:val="0C1A2309"/>
    <w:rsid w:val="0C1D75EE"/>
    <w:rsid w:val="0C227CFB"/>
    <w:rsid w:val="0C241076"/>
    <w:rsid w:val="0C25741D"/>
    <w:rsid w:val="0C28597F"/>
    <w:rsid w:val="0C2B1794"/>
    <w:rsid w:val="0C2B6F00"/>
    <w:rsid w:val="0C2F289C"/>
    <w:rsid w:val="0C323D10"/>
    <w:rsid w:val="0C340E76"/>
    <w:rsid w:val="0C372F23"/>
    <w:rsid w:val="0C3A0F68"/>
    <w:rsid w:val="0C3D421B"/>
    <w:rsid w:val="0C3D5924"/>
    <w:rsid w:val="0C483CB5"/>
    <w:rsid w:val="0C493935"/>
    <w:rsid w:val="0C541CC6"/>
    <w:rsid w:val="0C571997"/>
    <w:rsid w:val="0C5F0057"/>
    <w:rsid w:val="0C6303DA"/>
    <w:rsid w:val="0C67530F"/>
    <w:rsid w:val="0C676A31"/>
    <w:rsid w:val="0C691C6B"/>
    <w:rsid w:val="0C704F17"/>
    <w:rsid w:val="0C7D2051"/>
    <w:rsid w:val="0C7E1D27"/>
    <w:rsid w:val="0C7E71D0"/>
    <w:rsid w:val="0C7F1C11"/>
    <w:rsid w:val="0C7F638D"/>
    <w:rsid w:val="0C814B41"/>
    <w:rsid w:val="0C832C01"/>
    <w:rsid w:val="0C89471E"/>
    <w:rsid w:val="0C897FA2"/>
    <w:rsid w:val="0C8B3AD1"/>
    <w:rsid w:val="0C8E38A2"/>
    <w:rsid w:val="0C900855"/>
    <w:rsid w:val="0C910768"/>
    <w:rsid w:val="0C934183"/>
    <w:rsid w:val="0C946333"/>
    <w:rsid w:val="0C9D5EA4"/>
    <w:rsid w:val="0C9E008F"/>
    <w:rsid w:val="0C9E7B47"/>
    <w:rsid w:val="0CA42951"/>
    <w:rsid w:val="0CA748A4"/>
    <w:rsid w:val="0CA96A99"/>
    <w:rsid w:val="0CAB26D5"/>
    <w:rsid w:val="0CAE6EDD"/>
    <w:rsid w:val="0CAF1FD2"/>
    <w:rsid w:val="0CB02BEB"/>
    <w:rsid w:val="0CB57054"/>
    <w:rsid w:val="0CB80F31"/>
    <w:rsid w:val="0CBC4AFB"/>
    <w:rsid w:val="0CBF01DE"/>
    <w:rsid w:val="0CBF3086"/>
    <w:rsid w:val="0CC00D0D"/>
    <w:rsid w:val="0CC0267A"/>
    <w:rsid w:val="0CC12D00"/>
    <w:rsid w:val="0CC34C84"/>
    <w:rsid w:val="0CC50009"/>
    <w:rsid w:val="0CCB0A0B"/>
    <w:rsid w:val="0CD76242"/>
    <w:rsid w:val="0CD86732"/>
    <w:rsid w:val="0CDD16B8"/>
    <w:rsid w:val="0CDE651B"/>
    <w:rsid w:val="0CE0512D"/>
    <w:rsid w:val="0CE070AC"/>
    <w:rsid w:val="0CE20522"/>
    <w:rsid w:val="0CE83E39"/>
    <w:rsid w:val="0CF66614"/>
    <w:rsid w:val="0D000910"/>
    <w:rsid w:val="0D0230E3"/>
    <w:rsid w:val="0D055727"/>
    <w:rsid w:val="0D0E0A43"/>
    <w:rsid w:val="0D0E5E5D"/>
    <w:rsid w:val="0D167656"/>
    <w:rsid w:val="0D1825DB"/>
    <w:rsid w:val="0D185C10"/>
    <w:rsid w:val="0D1D4F92"/>
    <w:rsid w:val="0D22141A"/>
    <w:rsid w:val="0D225223"/>
    <w:rsid w:val="0D294E68"/>
    <w:rsid w:val="0D2F0CEB"/>
    <w:rsid w:val="0D3C0E75"/>
    <w:rsid w:val="0D3D0ED3"/>
    <w:rsid w:val="0D3F045D"/>
    <w:rsid w:val="0D4159AD"/>
    <w:rsid w:val="0D4957FA"/>
    <w:rsid w:val="0D4C5AE1"/>
    <w:rsid w:val="0D4C603B"/>
    <w:rsid w:val="0D5000EF"/>
    <w:rsid w:val="0D5004E9"/>
    <w:rsid w:val="0D500EBB"/>
    <w:rsid w:val="0D5354F5"/>
    <w:rsid w:val="0D5C29C7"/>
    <w:rsid w:val="0D644993"/>
    <w:rsid w:val="0D6B0E2D"/>
    <w:rsid w:val="0D6D0214"/>
    <w:rsid w:val="0D6E064C"/>
    <w:rsid w:val="0D6E3A97"/>
    <w:rsid w:val="0D7704C8"/>
    <w:rsid w:val="0D7C683E"/>
    <w:rsid w:val="0D872E56"/>
    <w:rsid w:val="0D953916"/>
    <w:rsid w:val="0D9A0777"/>
    <w:rsid w:val="0DAF4501"/>
    <w:rsid w:val="0DB35F2F"/>
    <w:rsid w:val="0DB92FFA"/>
    <w:rsid w:val="0DBA2892"/>
    <w:rsid w:val="0DC20624"/>
    <w:rsid w:val="0DC444A6"/>
    <w:rsid w:val="0DCA4AE3"/>
    <w:rsid w:val="0DCC0FCE"/>
    <w:rsid w:val="0DCD78A3"/>
    <w:rsid w:val="0DCF2837"/>
    <w:rsid w:val="0DD74F5C"/>
    <w:rsid w:val="0DDB6A02"/>
    <w:rsid w:val="0DDD5FCC"/>
    <w:rsid w:val="0DDF6763"/>
    <w:rsid w:val="0DE01D81"/>
    <w:rsid w:val="0DE13B1F"/>
    <w:rsid w:val="0DE66BD9"/>
    <w:rsid w:val="0DE70095"/>
    <w:rsid w:val="0DE74857"/>
    <w:rsid w:val="0DEC7F7F"/>
    <w:rsid w:val="0DEF2E4E"/>
    <w:rsid w:val="0DF04F6A"/>
    <w:rsid w:val="0DF40B0A"/>
    <w:rsid w:val="0DFB6B7F"/>
    <w:rsid w:val="0DFD3001"/>
    <w:rsid w:val="0E027CFD"/>
    <w:rsid w:val="0E0D40F9"/>
    <w:rsid w:val="0E1032A1"/>
    <w:rsid w:val="0E1076F1"/>
    <w:rsid w:val="0E196E69"/>
    <w:rsid w:val="0E1B4EB5"/>
    <w:rsid w:val="0E263246"/>
    <w:rsid w:val="0E2A2F7E"/>
    <w:rsid w:val="0E2D6BE6"/>
    <w:rsid w:val="0E300CBC"/>
    <w:rsid w:val="0E3015D7"/>
    <w:rsid w:val="0E3436FD"/>
    <w:rsid w:val="0E4131FC"/>
    <w:rsid w:val="0E4601AE"/>
    <w:rsid w:val="0E47285A"/>
    <w:rsid w:val="0E486195"/>
    <w:rsid w:val="0E4A64D3"/>
    <w:rsid w:val="0E4F600A"/>
    <w:rsid w:val="0E523D0A"/>
    <w:rsid w:val="0E52758D"/>
    <w:rsid w:val="0E535F22"/>
    <w:rsid w:val="0E56027E"/>
    <w:rsid w:val="0E5C209B"/>
    <w:rsid w:val="0E5C218F"/>
    <w:rsid w:val="0E5C591E"/>
    <w:rsid w:val="0E612652"/>
    <w:rsid w:val="0E677E47"/>
    <w:rsid w:val="0E684254"/>
    <w:rsid w:val="0E6A4D7A"/>
    <w:rsid w:val="0E6D1BBF"/>
    <w:rsid w:val="0E6E6918"/>
    <w:rsid w:val="0E722040"/>
    <w:rsid w:val="0E726C0A"/>
    <w:rsid w:val="0E743BE6"/>
    <w:rsid w:val="0E7D10EA"/>
    <w:rsid w:val="0E7D3C55"/>
    <w:rsid w:val="0E852FD8"/>
    <w:rsid w:val="0E871E2B"/>
    <w:rsid w:val="0E871FE6"/>
    <w:rsid w:val="0E8A0D59"/>
    <w:rsid w:val="0E8D0925"/>
    <w:rsid w:val="0E8F350E"/>
    <w:rsid w:val="0E92554F"/>
    <w:rsid w:val="0E9A3896"/>
    <w:rsid w:val="0EA21BDD"/>
    <w:rsid w:val="0EA575FB"/>
    <w:rsid w:val="0EAB33A7"/>
    <w:rsid w:val="0EAC1532"/>
    <w:rsid w:val="0EAD1AF4"/>
    <w:rsid w:val="0EAE1E76"/>
    <w:rsid w:val="0EAF12F3"/>
    <w:rsid w:val="0EB00AF3"/>
    <w:rsid w:val="0EB0354B"/>
    <w:rsid w:val="0EB32AAA"/>
    <w:rsid w:val="0EB3632D"/>
    <w:rsid w:val="0EB601BD"/>
    <w:rsid w:val="0EB61735"/>
    <w:rsid w:val="0EBE415A"/>
    <w:rsid w:val="0EC04894"/>
    <w:rsid w:val="0EC72091"/>
    <w:rsid w:val="0EC90A93"/>
    <w:rsid w:val="0EC93960"/>
    <w:rsid w:val="0EC966A2"/>
    <w:rsid w:val="0ECE378C"/>
    <w:rsid w:val="0ED83A89"/>
    <w:rsid w:val="0EDC4A78"/>
    <w:rsid w:val="0EE7292E"/>
    <w:rsid w:val="0EE80D86"/>
    <w:rsid w:val="0EEA0A05"/>
    <w:rsid w:val="0EEF198F"/>
    <w:rsid w:val="0EF1495E"/>
    <w:rsid w:val="0EF56D96"/>
    <w:rsid w:val="0EF95B0F"/>
    <w:rsid w:val="0EFE12A5"/>
    <w:rsid w:val="0EFF09AB"/>
    <w:rsid w:val="0F0119B7"/>
    <w:rsid w:val="0F02717C"/>
    <w:rsid w:val="0F0327EC"/>
    <w:rsid w:val="0F057830"/>
    <w:rsid w:val="0F085F62"/>
    <w:rsid w:val="0F0A6D3C"/>
    <w:rsid w:val="0F141F22"/>
    <w:rsid w:val="0F1550CD"/>
    <w:rsid w:val="0F174F3D"/>
    <w:rsid w:val="0F1D126C"/>
    <w:rsid w:val="0F1D5D45"/>
    <w:rsid w:val="0F1F0CCF"/>
    <w:rsid w:val="0F2130DE"/>
    <w:rsid w:val="0F272BFE"/>
    <w:rsid w:val="0F2B4C0C"/>
    <w:rsid w:val="0F335588"/>
    <w:rsid w:val="0F3E4A3A"/>
    <w:rsid w:val="0F411414"/>
    <w:rsid w:val="0F43006B"/>
    <w:rsid w:val="0F4B2A2F"/>
    <w:rsid w:val="0F4B77A5"/>
    <w:rsid w:val="0F5052BC"/>
    <w:rsid w:val="0F5441BB"/>
    <w:rsid w:val="0F5613B9"/>
    <w:rsid w:val="0F565B36"/>
    <w:rsid w:val="0F5B1954"/>
    <w:rsid w:val="0F5D0A79"/>
    <w:rsid w:val="0F61774B"/>
    <w:rsid w:val="0F6F7F34"/>
    <w:rsid w:val="0F714A2B"/>
    <w:rsid w:val="0F7338F7"/>
    <w:rsid w:val="0F7466FA"/>
    <w:rsid w:val="0F763DFC"/>
    <w:rsid w:val="0F763E6D"/>
    <w:rsid w:val="0F7C6EFD"/>
    <w:rsid w:val="0F7D010B"/>
    <w:rsid w:val="0F7F45C1"/>
    <w:rsid w:val="0F821E7D"/>
    <w:rsid w:val="0F862670"/>
    <w:rsid w:val="0F8841F4"/>
    <w:rsid w:val="0F8A5314"/>
    <w:rsid w:val="0F8D020F"/>
    <w:rsid w:val="0F8D7508"/>
    <w:rsid w:val="0F932BA2"/>
    <w:rsid w:val="0F9352BC"/>
    <w:rsid w:val="0F944093"/>
    <w:rsid w:val="0F9525D4"/>
    <w:rsid w:val="0F971E23"/>
    <w:rsid w:val="0F994702"/>
    <w:rsid w:val="0F9A43C7"/>
    <w:rsid w:val="0F9D4F30"/>
    <w:rsid w:val="0FA201B4"/>
    <w:rsid w:val="0FA3647D"/>
    <w:rsid w:val="0FAD1DC8"/>
    <w:rsid w:val="0FAD6545"/>
    <w:rsid w:val="0FAF6AA6"/>
    <w:rsid w:val="0FAF74C9"/>
    <w:rsid w:val="0FB15A5A"/>
    <w:rsid w:val="0FB748D6"/>
    <w:rsid w:val="0FB7580F"/>
    <w:rsid w:val="0FB87E48"/>
    <w:rsid w:val="0FBB60D2"/>
    <w:rsid w:val="0FBC0D5E"/>
    <w:rsid w:val="0FC95EDC"/>
    <w:rsid w:val="0FCA36FF"/>
    <w:rsid w:val="0FCD487B"/>
    <w:rsid w:val="0FD32136"/>
    <w:rsid w:val="0FD97EB6"/>
    <w:rsid w:val="0FDC047D"/>
    <w:rsid w:val="0FE542E1"/>
    <w:rsid w:val="0FEF3F94"/>
    <w:rsid w:val="10051D0E"/>
    <w:rsid w:val="100E1784"/>
    <w:rsid w:val="100E52E5"/>
    <w:rsid w:val="101507E6"/>
    <w:rsid w:val="10160892"/>
    <w:rsid w:val="1018306D"/>
    <w:rsid w:val="101C2AA5"/>
    <w:rsid w:val="1023528A"/>
    <w:rsid w:val="10251AC8"/>
    <w:rsid w:val="10256DD9"/>
    <w:rsid w:val="102755D7"/>
    <w:rsid w:val="102D4D71"/>
    <w:rsid w:val="102F5FF2"/>
    <w:rsid w:val="1030329B"/>
    <w:rsid w:val="10453240"/>
    <w:rsid w:val="10485281"/>
    <w:rsid w:val="104B0AD1"/>
    <w:rsid w:val="104C4F82"/>
    <w:rsid w:val="104F251B"/>
    <w:rsid w:val="105015D1"/>
    <w:rsid w:val="10503B0A"/>
    <w:rsid w:val="10533496"/>
    <w:rsid w:val="10540C60"/>
    <w:rsid w:val="105721AB"/>
    <w:rsid w:val="10595360"/>
    <w:rsid w:val="105D76A7"/>
    <w:rsid w:val="105F015B"/>
    <w:rsid w:val="105F2A99"/>
    <w:rsid w:val="105F73FE"/>
    <w:rsid w:val="106018D4"/>
    <w:rsid w:val="1063290C"/>
    <w:rsid w:val="107246CF"/>
    <w:rsid w:val="107C4BDA"/>
    <w:rsid w:val="107C5919"/>
    <w:rsid w:val="107E2BFA"/>
    <w:rsid w:val="10863CAA"/>
    <w:rsid w:val="108C5BBF"/>
    <w:rsid w:val="1090317A"/>
    <w:rsid w:val="10965ECD"/>
    <w:rsid w:val="10A61FE0"/>
    <w:rsid w:val="10AC4E8E"/>
    <w:rsid w:val="10B1297D"/>
    <w:rsid w:val="10BB6702"/>
    <w:rsid w:val="10BC7FF5"/>
    <w:rsid w:val="10BD4C4B"/>
    <w:rsid w:val="10C1351A"/>
    <w:rsid w:val="10C3153A"/>
    <w:rsid w:val="10C317B7"/>
    <w:rsid w:val="10C92894"/>
    <w:rsid w:val="10CB09D4"/>
    <w:rsid w:val="10D33093"/>
    <w:rsid w:val="10D3634F"/>
    <w:rsid w:val="10D4182A"/>
    <w:rsid w:val="10D43332"/>
    <w:rsid w:val="10D43F55"/>
    <w:rsid w:val="10D76E1A"/>
    <w:rsid w:val="10D7713C"/>
    <w:rsid w:val="10DD46B8"/>
    <w:rsid w:val="10E4588B"/>
    <w:rsid w:val="10E92F41"/>
    <w:rsid w:val="10EB47FA"/>
    <w:rsid w:val="10F105F9"/>
    <w:rsid w:val="10F20DDB"/>
    <w:rsid w:val="10F469DD"/>
    <w:rsid w:val="10FE3778"/>
    <w:rsid w:val="110C09D7"/>
    <w:rsid w:val="110E28E3"/>
    <w:rsid w:val="11103304"/>
    <w:rsid w:val="1111135B"/>
    <w:rsid w:val="111867C7"/>
    <w:rsid w:val="11191AAA"/>
    <w:rsid w:val="111B3283"/>
    <w:rsid w:val="111E5122"/>
    <w:rsid w:val="11240BD0"/>
    <w:rsid w:val="112934B3"/>
    <w:rsid w:val="1129389D"/>
    <w:rsid w:val="112C2D25"/>
    <w:rsid w:val="112D198F"/>
    <w:rsid w:val="1135196B"/>
    <w:rsid w:val="113557CE"/>
    <w:rsid w:val="113A6FD0"/>
    <w:rsid w:val="113A7D15"/>
    <w:rsid w:val="113D28C8"/>
    <w:rsid w:val="113D42B9"/>
    <w:rsid w:val="113E3458"/>
    <w:rsid w:val="11412F7C"/>
    <w:rsid w:val="11437863"/>
    <w:rsid w:val="11465790"/>
    <w:rsid w:val="1148533B"/>
    <w:rsid w:val="1148684F"/>
    <w:rsid w:val="114917E9"/>
    <w:rsid w:val="1149506D"/>
    <w:rsid w:val="11543208"/>
    <w:rsid w:val="11566DEC"/>
    <w:rsid w:val="11571AB6"/>
    <w:rsid w:val="115B134B"/>
    <w:rsid w:val="11671B8C"/>
    <w:rsid w:val="11674A34"/>
    <w:rsid w:val="1169747B"/>
    <w:rsid w:val="116B779F"/>
    <w:rsid w:val="116D4864"/>
    <w:rsid w:val="11734BBC"/>
    <w:rsid w:val="11772768"/>
    <w:rsid w:val="11773F4B"/>
    <w:rsid w:val="11781F87"/>
    <w:rsid w:val="11803EC2"/>
    <w:rsid w:val="11807216"/>
    <w:rsid w:val="11807745"/>
    <w:rsid w:val="118A2253"/>
    <w:rsid w:val="11905BA3"/>
    <w:rsid w:val="11953E67"/>
    <w:rsid w:val="11994BD9"/>
    <w:rsid w:val="119C4E1D"/>
    <w:rsid w:val="11A021F8"/>
    <w:rsid w:val="11A14688"/>
    <w:rsid w:val="11A264BB"/>
    <w:rsid w:val="11A52D9A"/>
    <w:rsid w:val="11AB3E0C"/>
    <w:rsid w:val="11AC03D3"/>
    <w:rsid w:val="11AF357E"/>
    <w:rsid w:val="11B26D60"/>
    <w:rsid w:val="11B43F62"/>
    <w:rsid w:val="11B5219D"/>
    <w:rsid w:val="11BD45F8"/>
    <w:rsid w:val="11C0052E"/>
    <w:rsid w:val="11C101AE"/>
    <w:rsid w:val="11C36DD6"/>
    <w:rsid w:val="11C9307C"/>
    <w:rsid w:val="11CB3F38"/>
    <w:rsid w:val="11CB6C6F"/>
    <w:rsid w:val="11CC1DC3"/>
    <w:rsid w:val="11D0292B"/>
    <w:rsid w:val="11D113C2"/>
    <w:rsid w:val="11D23CCC"/>
    <w:rsid w:val="11D648D0"/>
    <w:rsid w:val="11D70154"/>
    <w:rsid w:val="11D97709"/>
    <w:rsid w:val="11E12C61"/>
    <w:rsid w:val="11E267D0"/>
    <w:rsid w:val="11E37C36"/>
    <w:rsid w:val="11E423E6"/>
    <w:rsid w:val="11E57634"/>
    <w:rsid w:val="11E715A8"/>
    <w:rsid w:val="11E95413"/>
    <w:rsid w:val="11EC4876"/>
    <w:rsid w:val="11EF2AE1"/>
    <w:rsid w:val="11F16C4F"/>
    <w:rsid w:val="11F17C6D"/>
    <w:rsid w:val="11F62C07"/>
    <w:rsid w:val="11FD75FB"/>
    <w:rsid w:val="1201578A"/>
    <w:rsid w:val="12026474"/>
    <w:rsid w:val="120B3223"/>
    <w:rsid w:val="12110957"/>
    <w:rsid w:val="121407A9"/>
    <w:rsid w:val="12144FBF"/>
    <w:rsid w:val="12150642"/>
    <w:rsid w:val="1215577A"/>
    <w:rsid w:val="12160F3D"/>
    <w:rsid w:val="1216481F"/>
    <w:rsid w:val="121742A1"/>
    <w:rsid w:val="12180BBD"/>
    <w:rsid w:val="121C2BC4"/>
    <w:rsid w:val="121F1ABB"/>
    <w:rsid w:val="122066C6"/>
    <w:rsid w:val="122951AE"/>
    <w:rsid w:val="122A00B0"/>
    <w:rsid w:val="122D0B62"/>
    <w:rsid w:val="122D527E"/>
    <w:rsid w:val="123139E3"/>
    <w:rsid w:val="12332857"/>
    <w:rsid w:val="12383670"/>
    <w:rsid w:val="123B50AB"/>
    <w:rsid w:val="123C742B"/>
    <w:rsid w:val="123D09A0"/>
    <w:rsid w:val="123D337B"/>
    <w:rsid w:val="12435284"/>
    <w:rsid w:val="12476CBF"/>
    <w:rsid w:val="12491BA5"/>
    <w:rsid w:val="124939B7"/>
    <w:rsid w:val="124F3295"/>
    <w:rsid w:val="12562C2F"/>
    <w:rsid w:val="12591626"/>
    <w:rsid w:val="125D0B1A"/>
    <w:rsid w:val="125F65DF"/>
    <w:rsid w:val="12614712"/>
    <w:rsid w:val="12662AE1"/>
    <w:rsid w:val="12665862"/>
    <w:rsid w:val="12670E66"/>
    <w:rsid w:val="126F15CC"/>
    <w:rsid w:val="127675C8"/>
    <w:rsid w:val="1279795D"/>
    <w:rsid w:val="127B78BE"/>
    <w:rsid w:val="127E0EA0"/>
    <w:rsid w:val="127E1093"/>
    <w:rsid w:val="127E53E4"/>
    <w:rsid w:val="127F088E"/>
    <w:rsid w:val="128468CA"/>
    <w:rsid w:val="128A1139"/>
    <w:rsid w:val="128A3926"/>
    <w:rsid w:val="128B7415"/>
    <w:rsid w:val="128E407F"/>
    <w:rsid w:val="128F2C69"/>
    <w:rsid w:val="128F7902"/>
    <w:rsid w:val="1295180B"/>
    <w:rsid w:val="12995C93"/>
    <w:rsid w:val="129C31EB"/>
    <w:rsid w:val="129E424A"/>
    <w:rsid w:val="129F1AAC"/>
    <w:rsid w:val="129F56AB"/>
    <w:rsid w:val="12A44024"/>
    <w:rsid w:val="12AC59E5"/>
    <w:rsid w:val="12B46C9C"/>
    <w:rsid w:val="12B650CF"/>
    <w:rsid w:val="12C11A26"/>
    <w:rsid w:val="12C23C9C"/>
    <w:rsid w:val="12C31519"/>
    <w:rsid w:val="12C645D7"/>
    <w:rsid w:val="12C7182E"/>
    <w:rsid w:val="12C91C4E"/>
    <w:rsid w:val="12D34576"/>
    <w:rsid w:val="12D542FA"/>
    <w:rsid w:val="12D77856"/>
    <w:rsid w:val="12DE6A97"/>
    <w:rsid w:val="12DF1699"/>
    <w:rsid w:val="12E05627"/>
    <w:rsid w:val="12E26519"/>
    <w:rsid w:val="12E54A8E"/>
    <w:rsid w:val="12ED0619"/>
    <w:rsid w:val="12EF65D8"/>
    <w:rsid w:val="12FB4A33"/>
    <w:rsid w:val="12FE6215"/>
    <w:rsid w:val="130234B3"/>
    <w:rsid w:val="130674D0"/>
    <w:rsid w:val="130C4592"/>
    <w:rsid w:val="13116137"/>
    <w:rsid w:val="13136B0B"/>
    <w:rsid w:val="131B42F0"/>
    <w:rsid w:val="13266CD2"/>
    <w:rsid w:val="13270D7A"/>
    <w:rsid w:val="132802E8"/>
    <w:rsid w:val="132B372E"/>
    <w:rsid w:val="132E1435"/>
    <w:rsid w:val="132E318C"/>
    <w:rsid w:val="1331710B"/>
    <w:rsid w:val="13337F40"/>
    <w:rsid w:val="13342CF5"/>
    <w:rsid w:val="133C549C"/>
    <w:rsid w:val="13430FB5"/>
    <w:rsid w:val="135350C1"/>
    <w:rsid w:val="135668FE"/>
    <w:rsid w:val="135B4D92"/>
    <w:rsid w:val="135C19F4"/>
    <w:rsid w:val="135F6BE0"/>
    <w:rsid w:val="136277DB"/>
    <w:rsid w:val="13673B1E"/>
    <w:rsid w:val="136817E4"/>
    <w:rsid w:val="136C4AB8"/>
    <w:rsid w:val="136C5864"/>
    <w:rsid w:val="137333F8"/>
    <w:rsid w:val="13735766"/>
    <w:rsid w:val="13737B75"/>
    <w:rsid w:val="13755046"/>
    <w:rsid w:val="137550D2"/>
    <w:rsid w:val="13763A76"/>
    <w:rsid w:val="13767A4F"/>
    <w:rsid w:val="137919A2"/>
    <w:rsid w:val="137E61C0"/>
    <w:rsid w:val="137F4828"/>
    <w:rsid w:val="13816BC7"/>
    <w:rsid w:val="13873CFB"/>
    <w:rsid w:val="13935EAB"/>
    <w:rsid w:val="1399687D"/>
    <w:rsid w:val="139A2504"/>
    <w:rsid w:val="139B142A"/>
    <w:rsid w:val="13A25A08"/>
    <w:rsid w:val="13A730B3"/>
    <w:rsid w:val="13A85E50"/>
    <w:rsid w:val="13AA1610"/>
    <w:rsid w:val="13AB6B0F"/>
    <w:rsid w:val="13B26CD1"/>
    <w:rsid w:val="13B43E61"/>
    <w:rsid w:val="13B71997"/>
    <w:rsid w:val="13BC2D07"/>
    <w:rsid w:val="13BC64D9"/>
    <w:rsid w:val="13BD04AD"/>
    <w:rsid w:val="13BE2F03"/>
    <w:rsid w:val="13C013D3"/>
    <w:rsid w:val="13C440BB"/>
    <w:rsid w:val="13C70311"/>
    <w:rsid w:val="13CA3E07"/>
    <w:rsid w:val="13CB5D21"/>
    <w:rsid w:val="13D52D82"/>
    <w:rsid w:val="13DF0529"/>
    <w:rsid w:val="13E10504"/>
    <w:rsid w:val="13E72648"/>
    <w:rsid w:val="13EB6220"/>
    <w:rsid w:val="13F2201B"/>
    <w:rsid w:val="13F4412E"/>
    <w:rsid w:val="13F47C4B"/>
    <w:rsid w:val="13F910D3"/>
    <w:rsid w:val="13FA41EA"/>
    <w:rsid w:val="140B4870"/>
    <w:rsid w:val="140C7A57"/>
    <w:rsid w:val="14123CA5"/>
    <w:rsid w:val="14162C01"/>
    <w:rsid w:val="14171CF9"/>
    <w:rsid w:val="14185F29"/>
    <w:rsid w:val="142135E5"/>
    <w:rsid w:val="14214815"/>
    <w:rsid w:val="142251FF"/>
    <w:rsid w:val="1424126B"/>
    <w:rsid w:val="14357CC2"/>
    <w:rsid w:val="14360F37"/>
    <w:rsid w:val="14392428"/>
    <w:rsid w:val="143A53BF"/>
    <w:rsid w:val="143E2840"/>
    <w:rsid w:val="143E4D3C"/>
    <w:rsid w:val="14402551"/>
    <w:rsid w:val="144072C9"/>
    <w:rsid w:val="144217E0"/>
    <w:rsid w:val="14452D9C"/>
    <w:rsid w:val="144B6009"/>
    <w:rsid w:val="144C7353"/>
    <w:rsid w:val="1457366A"/>
    <w:rsid w:val="1458732A"/>
    <w:rsid w:val="1461475E"/>
    <w:rsid w:val="14654CC9"/>
    <w:rsid w:val="14697E73"/>
    <w:rsid w:val="146B7BF4"/>
    <w:rsid w:val="146C3610"/>
    <w:rsid w:val="146C748A"/>
    <w:rsid w:val="1471650F"/>
    <w:rsid w:val="14837E70"/>
    <w:rsid w:val="1485311F"/>
    <w:rsid w:val="148A1F03"/>
    <w:rsid w:val="148C1946"/>
    <w:rsid w:val="14913011"/>
    <w:rsid w:val="14954602"/>
    <w:rsid w:val="149710C3"/>
    <w:rsid w:val="14977CD7"/>
    <w:rsid w:val="14997957"/>
    <w:rsid w:val="149A2D07"/>
    <w:rsid w:val="149B5DF2"/>
    <w:rsid w:val="14A56629"/>
    <w:rsid w:val="14AA4075"/>
    <w:rsid w:val="14AB25BF"/>
    <w:rsid w:val="14C01ED8"/>
    <w:rsid w:val="14CE23B0"/>
    <w:rsid w:val="14D26293"/>
    <w:rsid w:val="14D34F78"/>
    <w:rsid w:val="14D4077E"/>
    <w:rsid w:val="14DA336B"/>
    <w:rsid w:val="14DA57B8"/>
    <w:rsid w:val="14DE2E5C"/>
    <w:rsid w:val="14DE5EDE"/>
    <w:rsid w:val="14DF3B33"/>
    <w:rsid w:val="14E44281"/>
    <w:rsid w:val="14E70641"/>
    <w:rsid w:val="14E87F89"/>
    <w:rsid w:val="14EE06E6"/>
    <w:rsid w:val="1505030B"/>
    <w:rsid w:val="15080FE4"/>
    <w:rsid w:val="150D20D6"/>
    <w:rsid w:val="15100B7B"/>
    <w:rsid w:val="15132B58"/>
    <w:rsid w:val="151335D9"/>
    <w:rsid w:val="15171F49"/>
    <w:rsid w:val="15177F3A"/>
    <w:rsid w:val="15242DBE"/>
    <w:rsid w:val="15262A3E"/>
    <w:rsid w:val="15270F5F"/>
    <w:rsid w:val="152905EA"/>
    <w:rsid w:val="15294C87"/>
    <w:rsid w:val="152D4378"/>
    <w:rsid w:val="152F5AD9"/>
    <w:rsid w:val="153871EC"/>
    <w:rsid w:val="153A68E1"/>
    <w:rsid w:val="154410F5"/>
    <w:rsid w:val="15452FA9"/>
    <w:rsid w:val="154A6FDA"/>
    <w:rsid w:val="154E3BAB"/>
    <w:rsid w:val="15506730"/>
    <w:rsid w:val="15532FC4"/>
    <w:rsid w:val="15560BE4"/>
    <w:rsid w:val="1556100F"/>
    <w:rsid w:val="15577F53"/>
    <w:rsid w:val="155E1519"/>
    <w:rsid w:val="155F2954"/>
    <w:rsid w:val="156670AB"/>
    <w:rsid w:val="15683E5B"/>
    <w:rsid w:val="15691FA8"/>
    <w:rsid w:val="15694B1D"/>
    <w:rsid w:val="1571543C"/>
    <w:rsid w:val="15765860"/>
    <w:rsid w:val="15790C12"/>
    <w:rsid w:val="157E577E"/>
    <w:rsid w:val="157F647F"/>
    <w:rsid w:val="15807C55"/>
    <w:rsid w:val="15813A02"/>
    <w:rsid w:val="15817F9B"/>
    <w:rsid w:val="158414E2"/>
    <w:rsid w:val="15867AFE"/>
    <w:rsid w:val="15895A18"/>
    <w:rsid w:val="15900966"/>
    <w:rsid w:val="1593484B"/>
    <w:rsid w:val="159C2721"/>
    <w:rsid w:val="159D49D2"/>
    <w:rsid w:val="15A46776"/>
    <w:rsid w:val="15A77B14"/>
    <w:rsid w:val="15A93931"/>
    <w:rsid w:val="15AC242F"/>
    <w:rsid w:val="15AD5DCE"/>
    <w:rsid w:val="15B25EA5"/>
    <w:rsid w:val="15B7052E"/>
    <w:rsid w:val="15C37235"/>
    <w:rsid w:val="15CE1C0C"/>
    <w:rsid w:val="15CE3F56"/>
    <w:rsid w:val="15CF054C"/>
    <w:rsid w:val="15CF380F"/>
    <w:rsid w:val="15D232F3"/>
    <w:rsid w:val="15D241DC"/>
    <w:rsid w:val="15DA716D"/>
    <w:rsid w:val="15DD7514"/>
    <w:rsid w:val="15DE21ED"/>
    <w:rsid w:val="15DE2F00"/>
    <w:rsid w:val="15DE3200"/>
    <w:rsid w:val="15E23320"/>
    <w:rsid w:val="15E80D1A"/>
    <w:rsid w:val="15EC2D22"/>
    <w:rsid w:val="15F418F8"/>
    <w:rsid w:val="15F637E0"/>
    <w:rsid w:val="15F7233E"/>
    <w:rsid w:val="15F97B2D"/>
    <w:rsid w:val="160238AB"/>
    <w:rsid w:val="160301AA"/>
    <w:rsid w:val="16034321"/>
    <w:rsid w:val="1606235B"/>
    <w:rsid w:val="160968B4"/>
    <w:rsid w:val="160D4077"/>
    <w:rsid w:val="160E44E6"/>
    <w:rsid w:val="1613726E"/>
    <w:rsid w:val="161404C8"/>
    <w:rsid w:val="161D0A45"/>
    <w:rsid w:val="161E6859"/>
    <w:rsid w:val="161F6C59"/>
    <w:rsid w:val="16221F46"/>
    <w:rsid w:val="162459FE"/>
    <w:rsid w:val="1624714A"/>
    <w:rsid w:val="16294BEB"/>
    <w:rsid w:val="162B4162"/>
    <w:rsid w:val="162C779B"/>
    <w:rsid w:val="16300580"/>
    <w:rsid w:val="163300AF"/>
    <w:rsid w:val="16352BFB"/>
    <w:rsid w:val="163A6417"/>
    <w:rsid w:val="163F0F8C"/>
    <w:rsid w:val="163F68B0"/>
    <w:rsid w:val="16415D2B"/>
    <w:rsid w:val="164A731D"/>
    <w:rsid w:val="164B3E46"/>
    <w:rsid w:val="164B5D39"/>
    <w:rsid w:val="164C5A98"/>
    <w:rsid w:val="165125AB"/>
    <w:rsid w:val="16516092"/>
    <w:rsid w:val="165E2A90"/>
    <w:rsid w:val="165E47CA"/>
    <w:rsid w:val="165F6B49"/>
    <w:rsid w:val="166325BF"/>
    <w:rsid w:val="167611BA"/>
    <w:rsid w:val="167F55F9"/>
    <w:rsid w:val="16815279"/>
    <w:rsid w:val="168971A5"/>
    <w:rsid w:val="168B1BE2"/>
    <w:rsid w:val="168D54D8"/>
    <w:rsid w:val="1696199B"/>
    <w:rsid w:val="16A02E7F"/>
    <w:rsid w:val="16A1397F"/>
    <w:rsid w:val="16AC4C65"/>
    <w:rsid w:val="16AD7879"/>
    <w:rsid w:val="16AF0E7C"/>
    <w:rsid w:val="16B67CD2"/>
    <w:rsid w:val="16B96453"/>
    <w:rsid w:val="16BB005C"/>
    <w:rsid w:val="16BB4159"/>
    <w:rsid w:val="16C76352"/>
    <w:rsid w:val="16CA6E03"/>
    <w:rsid w:val="16CE4F2C"/>
    <w:rsid w:val="16CE50F1"/>
    <w:rsid w:val="16D543A6"/>
    <w:rsid w:val="16D73273"/>
    <w:rsid w:val="16D74A69"/>
    <w:rsid w:val="16DD1E96"/>
    <w:rsid w:val="16DF1342"/>
    <w:rsid w:val="16E07942"/>
    <w:rsid w:val="16ED23AA"/>
    <w:rsid w:val="16F867FB"/>
    <w:rsid w:val="16FC08A7"/>
    <w:rsid w:val="16FC500E"/>
    <w:rsid w:val="17021C51"/>
    <w:rsid w:val="1702234F"/>
    <w:rsid w:val="17061748"/>
    <w:rsid w:val="17067EB6"/>
    <w:rsid w:val="17075EF3"/>
    <w:rsid w:val="170934B6"/>
    <w:rsid w:val="170A4011"/>
    <w:rsid w:val="170E7B5A"/>
    <w:rsid w:val="170F05FE"/>
    <w:rsid w:val="17194C0E"/>
    <w:rsid w:val="171A2848"/>
    <w:rsid w:val="171D1D28"/>
    <w:rsid w:val="171E3D90"/>
    <w:rsid w:val="17206C61"/>
    <w:rsid w:val="17244A82"/>
    <w:rsid w:val="172E6D5A"/>
    <w:rsid w:val="172F6697"/>
    <w:rsid w:val="1731260D"/>
    <w:rsid w:val="173607EB"/>
    <w:rsid w:val="17376F6F"/>
    <w:rsid w:val="17385247"/>
    <w:rsid w:val="17394A28"/>
    <w:rsid w:val="173B51D1"/>
    <w:rsid w:val="173F53C3"/>
    <w:rsid w:val="17442DB9"/>
    <w:rsid w:val="17452AE4"/>
    <w:rsid w:val="17471679"/>
    <w:rsid w:val="17494AFC"/>
    <w:rsid w:val="174F1BF6"/>
    <w:rsid w:val="174F49CD"/>
    <w:rsid w:val="17501ADC"/>
    <w:rsid w:val="1750525A"/>
    <w:rsid w:val="17506F88"/>
    <w:rsid w:val="175860FB"/>
    <w:rsid w:val="17592D5E"/>
    <w:rsid w:val="175D2B43"/>
    <w:rsid w:val="176410EF"/>
    <w:rsid w:val="1768345F"/>
    <w:rsid w:val="176926D9"/>
    <w:rsid w:val="176E7480"/>
    <w:rsid w:val="176F3445"/>
    <w:rsid w:val="17707100"/>
    <w:rsid w:val="177366C3"/>
    <w:rsid w:val="177E4C4F"/>
    <w:rsid w:val="17802C1E"/>
    <w:rsid w:val="17815FB6"/>
    <w:rsid w:val="178570A5"/>
    <w:rsid w:val="178B2602"/>
    <w:rsid w:val="178C7B09"/>
    <w:rsid w:val="17923914"/>
    <w:rsid w:val="1796745F"/>
    <w:rsid w:val="17A7336F"/>
    <w:rsid w:val="17AC083E"/>
    <w:rsid w:val="17AF051D"/>
    <w:rsid w:val="17AF1A86"/>
    <w:rsid w:val="17B0376D"/>
    <w:rsid w:val="17B824DC"/>
    <w:rsid w:val="17BA1AFE"/>
    <w:rsid w:val="17C57E8F"/>
    <w:rsid w:val="17CC0CEC"/>
    <w:rsid w:val="17D04188"/>
    <w:rsid w:val="17D15EA0"/>
    <w:rsid w:val="17DC4231"/>
    <w:rsid w:val="17DC7AB4"/>
    <w:rsid w:val="17E57035"/>
    <w:rsid w:val="17E66715"/>
    <w:rsid w:val="17E75E45"/>
    <w:rsid w:val="17EE7C1A"/>
    <w:rsid w:val="17F121FF"/>
    <w:rsid w:val="17F141D6"/>
    <w:rsid w:val="17F30BFC"/>
    <w:rsid w:val="17FC3533"/>
    <w:rsid w:val="17FE398C"/>
    <w:rsid w:val="1801197A"/>
    <w:rsid w:val="18030B68"/>
    <w:rsid w:val="18187E5A"/>
    <w:rsid w:val="181C333C"/>
    <w:rsid w:val="181D051D"/>
    <w:rsid w:val="18245693"/>
    <w:rsid w:val="18247B94"/>
    <w:rsid w:val="18263830"/>
    <w:rsid w:val="182A7A60"/>
    <w:rsid w:val="182C643A"/>
    <w:rsid w:val="182E0F7E"/>
    <w:rsid w:val="182F34B7"/>
    <w:rsid w:val="18324C3F"/>
    <w:rsid w:val="18344781"/>
    <w:rsid w:val="18390D59"/>
    <w:rsid w:val="183910F0"/>
    <w:rsid w:val="183B3ECE"/>
    <w:rsid w:val="183D6854"/>
    <w:rsid w:val="183F7BC4"/>
    <w:rsid w:val="18482D61"/>
    <w:rsid w:val="18484BE5"/>
    <w:rsid w:val="184E6AEE"/>
    <w:rsid w:val="1853745D"/>
    <w:rsid w:val="18544ABD"/>
    <w:rsid w:val="185873EF"/>
    <w:rsid w:val="18647688"/>
    <w:rsid w:val="186B7801"/>
    <w:rsid w:val="18704D1E"/>
    <w:rsid w:val="187212AC"/>
    <w:rsid w:val="18727A3C"/>
    <w:rsid w:val="18742AA3"/>
    <w:rsid w:val="18755E11"/>
    <w:rsid w:val="18775734"/>
    <w:rsid w:val="1879590B"/>
    <w:rsid w:val="187C72DE"/>
    <w:rsid w:val="188548A3"/>
    <w:rsid w:val="1886217F"/>
    <w:rsid w:val="188A0ED1"/>
    <w:rsid w:val="188D530B"/>
    <w:rsid w:val="189439DF"/>
    <w:rsid w:val="18947263"/>
    <w:rsid w:val="189755DE"/>
    <w:rsid w:val="189E42B2"/>
    <w:rsid w:val="189F55F4"/>
    <w:rsid w:val="18A31E81"/>
    <w:rsid w:val="18A409E9"/>
    <w:rsid w:val="18A553C0"/>
    <w:rsid w:val="18A554D7"/>
    <w:rsid w:val="18AB3604"/>
    <w:rsid w:val="18B33533"/>
    <w:rsid w:val="18B41708"/>
    <w:rsid w:val="18B51996"/>
    <w:rsid w:val="18B56E8F"/>
    <w:rsid w:val="18C13037"/>
    <w:rsid w:val="18C57FB6"/>
    <w:rsid w:val="18C745FF"/>
    <w:rsid w:val="18D37869"/>
    <w:rsid w:val="18D57CCC"/>
    <w:rsid w:val="18D93928"/>
    <w:rsid w:val="18DA710E"/>
    <w:rsid w:val="18DC506A"/>
    <w:rsid w:val="18DD190E"/>
    <w:rsid w:val="18E0605D"/>
    <w:rsid w:val="18E769D6"/>
    <w:rsid w:val="18EB077B"/>
    <w:rsid w:val="18EB43EE"/>
    <w:rsid w:val="18F56002"/>
    <w:rsid w:val="18F614CF"/>
    <w:rsid w:val="18F64158"/>
    <w:rsid w:val="18F920C6"/>
    <w:rsid w:val="18FC712B"/>
    <w:rsid w:val="19003542"/>
    <w:rsid w:val="19004393"/>
    <w:rsid w:val="19007C2D"/>
    <w:rsid w:val="19024013"/>
    <w:rsid w:val="1902490C"/>
    <w:rsid w:val="19090E1F"/>
    <w:rsid w:val="19091071"/>
    <w:rsid w:val="190A730A"/>
    <w:rsid w:val="190C6631"/>
    <w:rsid w:val="19170735"/>
    <w:rsid w:val="191D7DDA"/>
    <w:rsid w:val="191F56A4"/>
    <w:rsid w:val="192007F5"/>
    <w:rsid w:val="1922234A"/>
    <w:rsid w:val="19226114"/>
    <w:rsid w:val="1924569B"/>
    <w:rsid w:val="192C06DB"/>
    <w:rsid w:val="193163BA"/>
    <w:rsid w:val="19324DE3"/>
    <w:rsid w:val="19394701"/>
    <w:rsid w:val="193A1C3F"/>
    <w:rsid w:val="193A3EAF"/>
    <w:rsid w:val="193E6107"/>
    <w:rsid w:val="194038E8"/>
    <w:rsid w:val="194921E0"/>
    <w:rsid w:val="194C6A11"/>
    <w:rsid w:val="195137DF"/>
    <w:rsid w:val="19541F2E"/>
    <w:rsid w:val="19547469"/>
    <w:rsid w:val="19574DA2"/>
    <w:rsid w:val="19584A22"/>
    <w:rsid w:val="195855B0"/>
    <w:rsid w:val="195E6503"/>
    <w:rsid w:val="195F4FDE"/>
    <w:rsid w:val="1968220F"/>
    <w:rsid w:val="196D1144"/>
    <w:rsid w:val="19763385"/>
    <w:rsid w:val="19784F40"/>
    <w:rsid w:val="197874D5"/>
    <w:rsid w:val="197D0C00"/>
    <w:rsid w:val="197E34C2"/>
    <w:rsid w:val="19835253"/>
    <w:rsid w:val="198D247F"/>
    <w:rsid w:val="198D747A"/>
    <w:rsid w:val="19936D29"/>
    <w:rsid w:val="19950CC6"/>
    <w:rsid w:val="19955600"/>
    <w:rsid w:val="19990D19"/>
    <w:rsid w:val="19A81DE4"/>
    <w:rsid w:val="19AD57B1"/>
    <w:rsid w:val="19AF39BE"/>
    <w:rsid w:val="19AF5431"/>
    <w:rsid w:val="19B45406"/>
    <w:rsid w:val="19B57EAD"/>
    <w:rsid w:val="19B94A48"/>
    <w:rsid w:val="19BA37C2"/>
    <w:rsid w:val="19BA448F"/>
    <w:rsid w:val="19BD04F5"/>
    <w:rsid w:val="19BF0925"/>
    <w:rsid w:val="19C06100"/>
    <w:rsid w:val="19C30EBE"/>
    <w:rsid w:val="19C41B53"/>
    <w:rsid w:val="19C534C4"/>
    <w:rsid w:val="19CB0A7C"/>
    <w:rsid w:val="19DD135F"/>
    <w:rsid w:val="19E96131"/>
    <w:rsid w:val="19EA1CC6"/>
    <w:rsid w:val="19F2778E"/>
    <w:rsid w:val="1A0960AB"/>
    <w:rsid w:val="1A0F3BC1"/>
    <w:rsid w:val="1A1010DC"/>
    <w:rsid w:val="1A10614E"/>
    <w:rsid w:val="1A182AB8"/>
    <w:rsid w:val="1A1C4410"/>
    <w:rsid w:val="1A1E1AD9"/>
    <w:rsid w:val="1A1E5E9E"/>
    <w:rsid w:val="1A1F5BB8"/>
    <w:rsid w:val="1A21737F"/>
    <w:rsid w:val="1A2313BD"/>
    <w:rsid w:val="1A2C00CA"/>
    <w:rsid w:val="1A302507"/>
    <w:rsid w:val="1A361A33"/>
    <w:rsid w:val="1A365288"/>
    <w:rsid w:val="1A3A1D53"/>
    <w:rsid w:val="1A3C5720"/>
    <w:rsid w:val="1A421DB2"/>
    <w:rsid w:val="1A454232"/>
    <w:rsid w:val="1A45786F"/>
    <w:rsid w:val="1A49454E"/>
    <w:rsid w:val="1A4C25A8"/>
    <w:rsid w:val="1A4D3E52"/>
    <w:rsid w:val="1A4D415B"/>
    <w:rsid w:val="1A507357"/>
    <w:rsid w:val="1A522BA0"/>
    <w:rsid w:val="1A56430D"/>
    <w:rsid w:val="1A626914"/>
    <w:rsid w:val="1A671397"/>
    <w:rsid w:val="1A6D08F0"/>
    <w:rsid w:val="1A6F719F"/>
    <w:rsid w:val="1A722F70"/>
    <w:rsid w:val="1A737ADD"/>
    <w:rsid w:val="1A7957D2"/>
    <w:rsid w:val="1A844678"/>
    <w:rsid w:val="1A8B71AC"/>
    <w:rsid w:val="1A8E03BC"/>
    <w:rsid w:val="1A902BCD"/>
    <w:rsid w:val="1A961293"/>
    <w:rsid w:val="1A966436"/>
    <w:rsid w:val="1A9861A8"/>
    <w:rsid w:val="1A9C7638"/>
    <w:rsid w:val="1AA2005D"/>
    <w:rsid w:val="1AA23D13"/>
    <w:rsid w:val="1AA33EBD"/>
    <w:rsid w:val="1AAC345E"/>
    <w:rsid w:val="1AB0563F"/>
    <w:rsid w:val="1AB822D6"/>
    <w:rsid w:val="1ABA23DB"/>
    <w:rsid w:val="1ABB5FF9"/>
    <w:rsid w:val="1ABF1A34"/>
    <w:rsid w:val="1AC07134"/>
    <w:rsid w:val="1AC62C5C"/>
    <w:rsid w:val="1AC8397F"/>
    <w:rsid w:val="1ACD1288"/>
    <w:rsid w:val="1ACD7E07"/>
    <w:rsid w:val="1AD1139A"/>
    <w:rsid w:val="1ADA1605"/>
    <w:rsid w:val="1ADB2B17"/>
    <w:rsid w:val="1ADE3924"/>
    <w:rsid w:val="1AE315A1"/>
    <w:rsid w:val="1AE43162"/>
    <w:rsid w:val="1AE81CB5"/>
    <w:rsid w:val="1AEC57C5"/>
    <w:rsid w:val="1AEF57A0"/>
    <w:rsid w:val="1AF04E92"/>
    <w:rsid w:val="1AF30046"/>
    <w:rsid w:val="1AF501BA"/>
    <w:rsid w:val="1AF561DA"/>
    <w:rsid w:val="1AF57CC6"/>
    <w:rsid w:val="1AF64422"/>
    <w:rsid w:val="1AF70175"/>
    <w:rsid w:val="1AFC17CA"/>
    <w:rsid w:val="1AFF6057"/>
    <w:rsid w:val="1B0A43E8"/>
    <w:rsid w:val="1B142779"/>
    <w:rsid w:val="1B1F47F5"/>
    <w:rsid w:val="1B1F4E49"/>
    <w:rsid w:val="1B341E22"/>
    <w:rsid w:val="1B370E23"/>
    <w:rsid w:val="1B37398D"/>
    <w:rsid w:val="1B3E7C34"/>
    <w:rsid w:val="1B3F26C4"/>
    <w:rsid w:val="1B402661"/>
    <w:rsid w:val="1B4A0A55"/>
    <w:rsid w:val="1B4B06D5"/>
    <w:rsid w:val="1B566A66"/>
    <w:rsid w:val="1B5D2C32"/>
    <w:rsid w:val="1B604DF7"/>
    <w:rsid w:val="1B61067A"/>
    <w:rsid w:val="1B65205E"/>
    <w:rsid w:val="1B660AF8"/>
    <w:rsid w:val="1B684B08"/>
    <w:rsid w:val="1B6D0A8B"/>
    <w:rsid w:val="1B6D304B"/>
    <w:rsid w:val="1B6F0508"/>
    <w:rsid w:val="1B7444D0"/>
    <w:rsid w:val="1B764D9C"/>
    <w:rsid w:val="1B790F4A"/>
    <w:rsid w:val="1B7E5604"/>
    <w:rsid w:val="1B8074EE"/>
    <w:rsid w:val="1B822DAD"/>
    <w:rsid w:val="1B89527F"/>
    <w:rsid w:val="1B8B1502"/>
    <w:rsid w:val="1B8C7A03"/>
    <w:rsid w:val="1B8F4006"/>
    <w:rsid w:val="1B901E94"/>
    <w:rsid w:val="1B9035E5"/>
    <w:rsid w:val="1B990C4F"/>
    <w:rsid w:val="1BA210E4"/>
    <w:rsid w:val="1BA243BB"/>
    <w:rsid w:val="1BA8306E"/>
    <w:rsid w:val="1BAD037D"/>
    <w:rsid w:val="1BAD7475"/>
    <w:rsid w:val="1BAE19C6"/>
    <w:rsid w:val="1BAF416F"/>
    <w:rsid w:val="1BB40099"/>
    <w:rsid w:val="1BB75806"/>
    <w:rsid w:val="1BB81089"/>
    <w:rsid w:val="1BBD5D8F"/>
    <w:rsid w:val="1BC17D1E"/>
    <w:rsid w:val="1BC2741A"/>
    <w:rsid w:val="1BC42AB6"/>
    <w:rsid w:val="1BCA4B9B"/>
    <w:rsid w:val="1BCB4BA3"/>
    <w:rsid w:val="1BCC1DC6"/>
    <w:rsid w:val="1BCC749E"/>
    <w:rsid w:val="1BCD57AB"/>
    <w:rsid w:val="1BCE7A9A"/>
    <w:rsid w:val="1BD378D8"/>
    <w:rsid w:val="1BD46DDD"/>
    <w:rsid w:val="1BD80B53"/>
    <w:rsid w:val="1BD937BC"/>
    <w:rsid w:val="1BDB1BC0"/>
    <w:rsid w:val="1BE75DB1"/>
    <w:rsid w:val="1BEE0712"/>
    <w:rsid w:val="1BEE41E1"/>
    <w:rsid w:val="1BEE7EDE"/>
    <w:rsid w:val="1C037E84"/>
    <w:rsid w:val="1C05288A"/>
    <w:rsid w:val="1C0E1A98"/>
    <w:rsid w:val="1C145629"/>
    <w:rsid w:val="1C155249"/>
    <w:rsid w:val="1C2361BA"/>
    <w:rsid w:val="1C2369AA"/>
    <w:rsid w:val="1C27638C"/>
    <w:rsid w:val="1C2D1AF7"/>
    <w:rsid w:val="1C2E454B"/>
    <w:rsid w:val="1C302EED"/>
    <w:rsid w:val="1C3041CB"/>
    <w:rsid w:val="1C316EC3"/>
    <w:rsid w:val="1C350B62"/>
    <w:rsid w:val="1C366244"/>
    <w:rsid w:val="1C373677"/>
    <w:rsid w:val="1C375EB8"/>
    <w:rsid w:val="1C393D8D"/>
    <w:rsid w:val="1C3C3877"/>
    <w:rsid w:val="1C3D1375"/>
    <w:rsid w:val="1C441279"/>
    <w:rsid w:val="1C4508ED"/>
    <w:rsid w:val="1C48653C"/>
    <w:rsid w:val="1C486D1B"/>
    <w:rsid w:val="1C496EFF"/>
    <w:rsid w:val="1C4A12CD"/>
    <w:rsid w:val="1C4C75BF"/>
    <w:rsid w:val="1C556EB9"/>
    <w:rsid w:val="1C5C346A"/>
    <w:rsid w:val="1C5D3C4D"/>
    <w:rsid w:val="1C605BA0"/>
    <w:rsid w:val="1C634989"/>
    <w:rsid w:val="1C635A73"/>
    <w:rsid w:val="1C68176F"/>
    <w:rsid w:val="1C685FE2"/>
    <w:rsid w:val="1C700838"/>
    <w:rsid w:val="1C70392E"/>
    <w:rsid w:val="1C70458E"/>
    <w:rsid w:val="1C7748C4"/>
    <w:rsid w:val="1C790AA7"/>
    <w:rsid w:val="1C793E64"/>
    <w:rsid w:val="1C7C08BD"/>
    <w:rsid w:val="1C7C6B59"/>
    <w:rsid w:val="1C7F5BF8"/>
    <w:rsid w:val="1C82598F"/>
    <w:rsid w:val="1C854F5A"/>
    <w:rsid w:val="1C862FB8"/>
    <w:rsid w:val="1C8B5A5F"/>
    <w:rsid w:val="1C8C622F"/>
    <w:rsid w:val="1C963134"/>
    <w:rsid w:val="1C9B104F"/>
    <w:rsid w:val="1C9B12FC"/>
    <w:rsid w:val="1CA12EDD"/>
    <w:rsid w:val="1CA62F10"/>
    <w:rsid w:val="1CA6768D"/>
    <w:rsid w:val="1CB112A1"/>
    <w:rsid w:val="1CBB7632"/>
    <w:rsid w:val="1CC47DA2"/>
    <w:rsid w:val="1CC5137E"/>
    <w:rsid w:val="1CC659C3"/>
    <w:rsid w:val="1CCB22FC"/>
    <w:rsid w:val="1CD0006A"/>
    <w:rsid w:val="1CD31A0F"/>
    <w:rsid w:val="1CD579E7"/>
    <w:rsid w:val="1CD62D4D"/>
    <w:rsid w:val="1CDA52B5"/>
    <w:rsid w:val="1CDB0F4D"/>
    <w:rsid w:val="1CDB5968"/>
    <w:rsid w:val="1CDD55E8"/>
    <w:rsid w:val="1CE04414"/>
    <w:rsid w:val="1CE13C5C"/>
    <w:rsid w:val="1CE852D5"/>
    <w:rsid w:val="1CEC49CE"/>
    <w:rsid w:val="1CEE5822"/>
    <w:rsid w:val="1CEF37EE"/>
    <w:rsid w:val="1CFA4CDD"/>
    <w:rsid w:val="1CFD2714"/>
    <w:rsid w:val="1CFD391F"/>
    <w:rsid w:val="1CFD3CBF"/>
    <w:rsid w:val="1D055FB0"/>
    <w:rsid w:val="1D064E77"/>
    <w:rsid w:val="1D081CB0"/>
    <w:rsid w:val="1D0D567D"/>
    <w:rsid w:val="1D120041"/>
    <w:rsid w:val="1D136735"/>
    <w:rsid w:val="1D160CF0"/>
    <w:rsid w:val="1D1B65D4"/>
    <w:rsid w:val="1D1E6052"/>
    <w:rsid w:val="1D240624"/>
    <w:rsid w:val="1D264343"/>
    <w:rsid w:val="1D2712CF"/>
    <w:rsid w:val="1D291FA4"/>
    <w:rsid w:val="1D2A1E6A"/>
    <w:rsid w:val="1D2A295E"/>
    <w:rsid w:val="1D392D3B"/>
    <w:rsid w:val="1D3A6632"/>
    <w:rsid w:val="1D40552C"/>
    <w:rsid w:val="1D447A12"/>
    <w:rsid w:val="1D447C93"/>
    <w:rsid w:val="1D452E8B"/>
    <w:rsid w:val="1D540AAA"/>
    <w:rsid w:val="1D58444A"/>
    <w:rsid w:val="1D5E36F8"/>
    <w:rsid w:val="1D627164"/>
    <w:rsid w:val="1D6778A1"/>
    <w:rsid w:val="1D6E5EEA"/>
    <w:rsid w:val="1D6E6D92"/>
    <w:rsid w:val="1D6F0059"/>
    <w:rsid w:val="1D713A74"/>
    <w:rsid w:val="1D715C43"/>
    <w:rsid w:val="1D746DE1"/>
    <w:rsid w:val="1D756A60"/>
    <w:rsid w:val="1D781102"/>
    <w:rsid w:val="1D7C0A17"/>
    <w:rsid w:val="1D7E214B"/>
    <w:rsid w:val="1D7E2FDC"/>
    <w:rsid w:val="1D821E12"/>
    <w:rsid w:val="1D835B91"/>
    <w:rsid w:val="1D883D71"/>
    <w:rsid w:val="1D8F13BF"/>
    <w:rsid w:val="1DA03128"/>
    <w:rsid w:val="1DA12787"/>
    <w:rsid w:val="1DA20E6A"/>
    <w:rsid w:val="1DA43C61"/>
    <w:rsid w:val="1DA72809"/>
    <w:rsid w:val="1DAB4D3C"/>
    <w:rsid w:val="1DB21AA4"/>
    <w:rsid w:val="1DB26E14"/>
    <w:rsid w:val="1DB530CD"/>
    <w:rsid w:val="1DB72A9A"/>
    <w:rsid w:val="1DBD6170"/>
    <w:rsid w:val="1DCF4E12"/>
    <w:rsid w:val="1DD60ADD"/>
    <w:rsid w:val="1DDA2008"/>
    <w:rsid w:val="1DDD7C7B"/>
    <w:rsid w:val="1DE13B91"/>
    <w:rsid w:val="1DE17414"/>
    <w:rsid w:val="1DE61EC4"/>
    <w:rsid w:val="1DEC1F22"/>
    <w:rsid w:val="1DF10653"/>
    <w:rsid w:val="1DF31D00"/>
    <w:rsid w:val="1DF63B37"/>
    <w:rsid w:val="1DFA4C1E"/>
    <w:rsid w:val="1DFB050A"/>
    <w:rsid w:val="1DFB0F20"/>
    <w:rsid w:val="1DFB43F5"/>
    <w:rsid w:val="1E081A21"/>
    <w:rsid w:val="1E087851"/>
    <w:rsid w:val="1E0C3ADC"/>
    <w:rsid w:val="1E161E6D"/>
    <w:rsid w:val="1E18213F"/>
    <w:rsid w:val="1E1D292F"/>
    <w:rsid w:val="1E25159F"/>
    <w:rsid w:val="1E257260"/>
    <w:rsid w:val="1E2A7980"/>
    <w:rsid w:val="1E2B7E67"/>
    <w:rsid w:val="1E3241FD"/>
    <w:rsid w:val="1E3845A0"/>
    <w:rsid w:val="1E422931"/>
    <w:rsid w:val="1E482BB5"/>
    <w:rsid w:val="1E4A684B"/>
    <w:rsid w:val="1E572E53"/>
    <w:rsid w:val="1E5828D6"/>
    <w:rsid w:val="1E58711F"/>
    <w:rsid w:val="1E587BF2"/>
    <w:rsid w:val="1E59740E"/>
    <w:rsid w:val="1E5B2ED9"/>
    <w:rsid w:val="1E5E6F10"/>
    <w:rsid w:val="1E5F1E10"/>
    <w:rsid w:val="1E661888"/>
    <w:rsid w:val="1E6D287C"/>
    <w:rsid w:val="1E712FAF"/>
    <w:rsid w:val="1E780C0D"/>
    <w:rsid w:val="1E7864E7"/>
    <w:rsid w:val="1E7A4FC1"/>
    <w:rsid w:val="1E827F6E"/>
    <w:rsid w:val="1E8565D5"/>
    <w:rsid w:val="1E89081E"/>
    <w:rsid w:val="1E8F0832"/>
    <w:rsid w:val="1E8F4FAF"/>
    <w:rsid w:val="1E993340"/>
    <w:rsid w:val="1E996BC3"/>
    <w:rsid w:val="1EA14203"/>
    <w:rsid w:val="1EA43527"/>
    <w:rsid w:val="1EA44F54"/>
    <w:rsid w:val="1EAA7BBB"/>
    <w:rsid w:val="1EAC7CB4"/>
    <w:rsid w:val="1EAD49B0"/>
    <w:rsid w:val="1EB722E3"/>
    <w:rsid w:val="1EBA506A"/>
    <w:rsid w:val="1EBB6935"/>
    <w:rsid w:val="1EC52312"/>
    <w:rsid w:val="1ECE25D0"/>
    <w:rsid w:val="1ED11C24"/>
    <w:rsid w:val="1ED84A80"/>
    <w:rsid w:val="1EDA7336"/>
    <w:rsid w:val="1EDB762C"/>
    <w:rsid w:val="1EE5088A"/>
    <w:rsid w:val="1EE559BD"/>
    <w:rsid w:val="1EE61241"/>
    <w:rsid w:val="1EE61C9C"/>
    <w:rsid w:val="1EE65BB5"/>
    <w:rsid w:val="1EEB5DE8"/>
    <w:rsid w:val="1EF04151"/>
    <w:rsid w:val="1EF31115"/>
    <w:rsid w:val="1EF614DB"/>
    <w:rsid w:val="1EF66C1A"/>
    <w:rsid w:val="1EF91F12"/>
    <w:rsid w:val="1F031E85"/>
    <w:rsid w:val="1F0466FB"/>
    <w:rsid w:val="1F05039E"/>
    <w:rsid w:val="1F053CF4"/>
    <w:rsid w:val="1F073974"/>
    <w:rsid w:val="1F083E23"/>
    <w:rsid w:val="1F0B5E30"/>
    <w:rsid w:val="1F111D05"/>
    <w:rsid w:val="1F1415C2"/>
    <w:rsid w:val="1F156D90"/>
    <w:rsid w:val="1F1C0096"/>
    <w:rsid w:val="1F1D2101"/>
    <w:rsid w:val="1F21797B"/>
    <w:rsid w:val="1F234B74"/>
    <w:rsid w:val="1F2A3EE4"/>
    <w:rsid w:val="1F30388A"/>
    <w:rsid w:val="1F307B23"/>
    <w:rsid w:val="1F3478D0"/>
    <w:rsid w:val="1F365513"/>
    <w:rsid w:val="1F36698A"/>
    <w:rsid w:val="1F3758BD"/>
    <w:rsid w:val="1F3B7B64"/>
    <w:rsid w:val="1F3D7B38"/>
    <w:rsid w:val="1F410DEC"/>
    <w:rsid w:val="1F450772"/>
    <w:rsid w:val="1F456153"/>
    <w:rsid w:val="1F477FE0"/>
    <w:rsid w:val="1F4858D1"/>
    <w:rsid w:val="1F516372"/>
    <w:rsid w:val="1F561386"/>
    <w:rsid w:val="1F5973FA"/>
    <w:rsid w:val="1F5C052B"/>
    <w:rsid w:val="1F5C6107"/>
    <w:rsid w:val="1F5E4382"/>
    <w:rsid w:val="1F5F421F"/>
    <w:rsid w:val="1F63628C"/>
    <w:rsid w:val="1F6443AE"/>
    <w:rsid w:val="1F6628BD"/>
    <w:rsid w:val="1F6707C5"/>
    <w:rsid w:val="1F682713"/>
    <w:rsid w:val="1F6964DA"/>
    <w:rsid w:val="1F6B606B"/>
    <w:rsid w:val="1F6C14EF"/>
    <w:rsid w:val="1F722C84"/>
    <w:rsid w:val="1F787EAB"/>
    <w:rsid w:val="1F814DD8"/>
    <w:rsid w:val="1F841F82"/>
    <w:rsid w:val="1F845806"/>
    <w:rsid w:val="1F880A4A"/>
    <w:rsid w:val="1F8B6D14"/>
    <w:rsid w:val="1F8E4BE3"/>
    <w:rsid w:val="1F8F7160"/>
    <w:rsid w:val="1F9303E2"/>
    <w:rsid w:val="1F936DDB"/>
    <w:rsid w:val="1F941779"/>
    <w:rsid w:val="1F955044"/>
    <w:rsid w:val="1F96192D"/>
    <w:rsid w:val="1F9C7AC0"/>
    <w:rsid w:val="1FA63830"/>
    <w:rsid w:val="1FB060A0"/>
    <w:rsid w:val="1FB1505A"/>
    <w:rsid w:val="1FB27ECB"/>
    <w:rsid w:val="1FB31766"/>
    <w:rsid w:val="1FB44D91"/>
    <w:rsid w:val="1FC03F59"/>
    <w:rsid w:val="1FCD52E8"/>
    <w:rsid w:val="1FD074AF"/>
    <w:rsid w:val="1FD14CF0"/>
    <w:rsid w:val="1FD2378F"/>
    <w:rsid w:val="1FD430C8"/>
    <w:rsid w:val="1FE723A3"/>
    <w:rsid w:val="1FE76EEE"/>
    <w:rsid w:val="1FE872EE"/>
    <w:rsid w:val="1FE87366"/>
    <w:rsid w:val="1FEA77EA"/>
    <w:rsid w:val="1FEC122D"/>
    <w:rsid w:val="1FEE5D7D"/>
    <w:rsid w:val="1FF11942"/>
    <w:rsid w:val="1FF36418"/>
    <w:rsid w:val="1FF62406"/>
    <w:rsid w:val="1FF65A06"/>
    <w:rsid w:val="1FF75BDC"/>
    <w:rsid w:val="1FFF39AF"/>
    <w:rsid w:val="20096EBF"/>
    <w:rsid w:val="200A5B20"/>
    <w:rsid w:val="2010153C"/>
    <w:rsid w:val="20180A30"/>
    <w:rsid w:val="20186461"/>
    <w:rsid w:val="201B4A6C"/>
    <w:rsid w:val="20201EC2"/>
    <w:rsid w:val="202279C4"/>
    <w:rsid w:val="202414AD"/>
    <w:rsid w:val="202915D2"/>
    <w:rsid w:val="20294272"/>
    <w:rsid w:val="202B2927"/>
    <w:rsid w:val="20361E67"/>
    <w:rsid w:val="20383F62"/>
    <w:rsid w:val="2043513D"/>
    <w:rsid w:val="204B71D7"/>
    <w:rsid w:val="204C14F0"/>
    <w:rsid w:val="204C6209"/>
    <w:rsid w:val="20582761"/>
    <w:rsid w:val="20584279"/>
    <w:rsid w:val="205E18C3"/>
    <w:rsid w:val="205E7715"/>
    <w:rsid w:val="20621614"/>
    <w:rsid w:val="206544A7"/>
    <w:rsid w:val="20667D09"/>
    <w:rsid w:val="206C4540"/>
    <w:rsid w:val="206E5A5C"/>
    <w:rsid w:val="2073233C"/>
    <w:rsid w:val="20734AA9"/>
    <w:rsid w:val="20740AD7"/>
    <w:rsid w:val="207679A2"/>
    <w:rsid w:val="20874632"/>
    <w:rsid w:val="20893301"/>
    <w:rsid w:val="208A3288"/>
    <w:rsid w:val="208A7541"/>
    <w:rsid w:val="208C2876"/>
    <w:rsid w:val="2090173B"/>
    <w:rsid w:val="209232B3"/>
    <w:rsid w:val="20970C07"/>
    <w:rsid w:val="209D2322"/>
    <w:rsid w:val="20A310B2"/>
    <w:rsid w:val="20A82BC2"/>
    <w:rsid w:val="20AD2736"/>
    <w:rsid w:val="20B96BBD"/>
    <w:rsid w:val="20BC5287"/>
    <w:rsid w:val="20C11410"/>
    <w:rsid w:val="20C264A9"/>
    <w:rsid w:val="20C27B8C"/>
    <w:rsid w:val="20C34F4E"/>
    <w:rsid w:val="20C84600"/>
    <w:rsid w:val="20CE32DF"/>
    <w:rsid w:val="20D10D32"/>
    <w:rsid w:val="20D12947"/>
    <w:rsid w:val="20D81670"/>
    <w:rsid w:val="20D97B33"/>
    <w:rsid w:val="20DF3FE1"/>
    <w:rsid w:val="20E92483"/>
    <w:rsid w:val="20F007FF"/>
    <w:rsid w:val="20F02BC8"/>
    <w:rsid w:val="20F3433F"/>
    <w:rsid w:val="20F47740"/>
    <w:rsid w:val="20F52B5C"/>
    <w:rsid w:val="20F879A7"/>
    <w:rsid w:val="21022746"/>
    <w:rsid w:val="210459B8"/>
    <w:rsid w:val="21113E63"/>
    <w:rsid w:val="21163BAD"/>
    <w:rsid w:val="211A20DA"/>
    <w:rsid w:val="211B08B4"/>
    <w:rsid w:val="211B3DA0"/>
    <w:rsid w:val="212B2F12"/>
    <w:rsid w:val="212D0871"/>
    <w:rsid w:val="21337543"/>
    <w:rsid w:val="21390343"/>
    <w:rsid w:val="21393D1A"/>
    <w:rsid w:val="213C36B6"/>
    <w:rsid w:val="213C56F4"/>
    <w:rsid w:val="21404389"/>
    <w:rsid w:val="21452025"/>
    <w:rsid w:val="21496D38"/>
    <w:rsid w:val="214C7A7C"/>
    <w:rsid w:val="214E566A"/>
    <w:rsid w:val="21510035"/>
    <w:rsid w:val="21511470"/>
    <w:rsid w:val="2156593D"/>
    <w:rsid w:val="215B63C6"/>
    <w:rsid w:val="215C0DCE"/>
    <w:rsid w:val="2160333C"/>
    <w:rsid w:val="21613B53"/>
    <w:rsid w:val="21667FDB"/>
    <w:rsid w:val="216C2A5D"/>
    <w:rsid w:val="216E3B46"/>
    <w:rsid w:val="21713DF0"/>
    <w:rsid w:val="2171636C"/>
    <w:rsid w:val="217952CD"/>
    <w:rsid w:val="217B46FD"/>
    <w:rsid w:val="21825914"/>
    <w:rsid w:val="21833372"/>
    <w:rsid w:val="21862A8E"/>
    <w:rsid w:val="21875FDA"/>
    <w:rsid w:val="218926BE"/>
    <w:rsid w:val="218B45A6"/>
    <w:rsid w:val="218C1D13"/>
    <w:rsid w:val="218E6724"/>
    <w:rsid w:val="21910DE9"/>
    <w:rsid w:val="21915BA2"/>
    <w:rsid w:val="21920A05"/>
    <w:rsid w:val="21965696"/>
    <w:rsid w:val="21966142"/>
    <w:rsid w:val="21A007ED"/>
    <w:rsid w:val="21A40FE7"/>
    <w:rsid w:val="21A42648"/>
    <w:rsid w:val="21A528C6"/>
    <w:rsid w:val="21A56FE5"/>
    <w:rsid w:val="21A60CA8"/>
    <w:rsid w:val="21A839BA"/>
    <w:rsid w:val="21AA2388"/>
    <w:rsid w:val="21AD294D"/>
    <w:rsid w:val="21B26DD5"/>
    <w:rsid w:val="21B31D3B"/>
    <w:rsid w:val="21B62111"/>
    <w:rsid w:val="21BB761A"/>
    <w:rsid w:val="21BD2EBF"/>
    <w:rsid w:val="21C1390C"/>
    <w:rsid w:val="21C734F7"/>
    <w:rsid w:val="21C76D7B"/>
    <w:rsid w:val="21CA1C53"/>
    <w:rsid w:val="21CC3DA9"/>
    <w:rsid w:val="21CE2B4B"/>
    <w:rsid w:val="21D2510C"/>
    <w:rsid w:val="21D26B07"/>
    <w:rsid w:val="21D30912"/>
    <w:rsid w:val="21DD349D"/>
    <w:rsid w:val="21DE311D"/>
    <w:rsid w:val="21E222A2"/>
    <w:rsid w:val="21E6657A"/>
    <w:rsid w:val="21EA6D4F"/>
    <w:rsid w:val="21EC34AE"/>
    <w:rsid w:val="21F2071C"/>
    <w:rsid w:val="21F345C6"/>
    <w:rsid w:val="21F52029"/>
    <w:rsid w:val="21FE1453"/>
    <w:rsid w:val="22076021"/>
    <w:rsid w:val="22093CD0"/>
    <w:rsid w:val="220977E4"/>
    <w:rsid w:val="220D1995"/>
    <w:rsid w:val="221120A1"/>
    <w:rsid w:val="221230BB"/>
    <w:rsid w:val="221B5875"/>
    <w:rsid w:val="221E77C8"/>
    <w:rsid w:val="22290A02"/>
    <w:rsid w:val="22295B1A"/>
    <w:rsid w:val="222F0A65"/>
    <w:rsid w:val="22330F09"/>
    <w:rsid w:val="22333D66"/>
    <w:rsid w:val="22333EAB"/>
    <w:rsid w:val="22353B2B"/>
    <w:rsid w:val="22355742"/>
    <w:rsid w:val="2237314D"/>
    <w:rsid w:val="223A0609"/>
    <w:rsid w:val="224004A8"/>
    <w:rsid w:val="22403B0F"/>
    <w:rsid w:val="22422435"/>
    <w:rsid w:val="22430254"/>
    <w:rsid w:val="22451844"/>
    <w:rsid w:val="224533F7"/>
    <w:rsid w:val="2249481A"/>
    <w:rsid w:val="22496B58"/>
    <w:rsid w:val="224A024D"/>
    <w:rsid w:val="224F7627"/>
    <w:rsid w:val="22532C4E"/>
    <w:rsid w:val="22536AC3"/>
    <w:rsid w:val="22545B38"/>
    <w:rsid w:val="22551E62"/>
    <w:rsid w:val="225F01F3"/>
    <w:rsid w:val="22607D01"/>
    <w:rsid w:val="22611F63"/>
    <w:rsid w:val="22631D43"/>
    <w:rsid w:val="2264094F"/>
    <w:rsid w:val="22655053"/>
    <w:rsid w:val="226763EE"/>
    <w:rsid w:val="226A1E07"/>
    <w:rsid w:val="226A6584"/>
    <w:rsid w:val="227246F0"/>
    <w:rsid w:val="22750198"/>
    <w:rsid w:val="22756009"/>
    <w:rsid w:val="22794119"/>
    <w:rsid w:val="227A5372"/>
    <w:rsid w:val="227D5D92"/>
    <w:rsid w:val="227F6529"/>
    <w:rsid w:val="22805048"/>
    <w:rsid w:val="2280640B"/>
    <w:rsid w:val="22807156"/>
    <w:rsid w:val="22824A69"/>
    <w:rsid w:val="228429B1"/>
    <w:rsid w:val="22860C16"/>
    <w:rsid w:val="228A48BA"/>
    <w:rsid w:val="228B7D11"/>
    <w:rsid w:val="228C453A"/>
    <w:rsid w:val="228D35F1"/>
    <w:rsid w:val="2290765A"/>
    <w:rsid w:val="22937A00"/>
    <w:rsid w:val="22937C9C"/>
    <w:rsid w:val="22946C5B"/>
    <w:rsid w:val="22953BDA"/>
    <w:rsid w:val="229D133B"/>
    <w:rsid w:val="22A10C5C"/>
    <w:rsid w:val="22A10DA9"/>
    <w:rsid w:val="22A424B3"/>
    <w:rsid w:val="22A7652B"/>
    <w:rsid w:val="22AC2870"/>
    <w:rsid w:val="22BC2B0B"/>
    <w:rsid w:val="22BC39E3"/>
    <w:rsid w:val="22C076B3"/>
    <w:rsid w:val="22C16F92"/>
    <w:rsid w:val="22C30F5F"/>
    <w:rsid w:val="22C55CDB"/>
    <w:rsid w:val="22CA57A2"/>
    <w:rsid w:val="22CB3C9F"/>
    <w:rsid w:val="22CB5324"/>
    <w:rsid w:val="22CB5C63"/>
    <w:rsid w:val="22CC1627"/>
    <w:rsid w:val="22D17166"/>
    <w:rsid w:val="22DE5B45"/>
    <w:rsid w:val="22DF33B4"/>
    <w:rsid w:val="22E24F49"/>
    <w:rsid w:val="22E4051E"/>
    <w:rsid w:val="22E51D6D"/>
    <w:rsid w:val="22EA0FED"/>
    <w:rsid w:val="22ED18C2"/>
    <w:rsid w:val="22ED32DA"/>
    <w:rsid w:val="22F30384"/>
    <w:rsid w:val="22F31D57"/>
    <w:rsid w:val="22F8166B"/>
    <w:rsid w:val="22FC7FD1"/>
    <w:rsid w:val="2302327F"/>
    <w:rsid w:val="230279FC"/>
    <w:rsid w:val="230419BF"/>
    <w:rsid w:val="23061F94"/>
    <w:rsid w:val="230B05A8"/>
    <w:rsid w:val="230B2614"/>
    <w:rsid w:val="230D1610"/>
    <w:rsid w:val="230E6FAF"/>
    <w:rsid w:val="23114DB1"/>
    <w:rsid w:val="2315459A"/>
    <w:rsid w:val="231646D2"/>
    <w:rsid w:val="231E715D"/>
    <w:rsid w:val="23211434"/>
    <w:rsid w:val="23213EA1"/>
    <w:rsid w:val="23217016"/>
    <w:rsid w:val="23220C17"/>
    <w:rsid w:val="23225D32"/>
    <w:rsid w:val="23273161"/>
    <w:rsid w:val="23290BCB"/>
    <w:rsid w:val="232C0D41"/>
    <w:rsid w:val="232D1AA3"/>
    <w:rsid w:val="23350B04"/>
    <w:rsid w:val="23384CC7"/>
    <w:rsid w:val="23385C12"/>
    <w:rsid w:val="23392FF5"/>
    <w:rsid w:val="23395957"/>
    <w:rsid w:val="233A2848"/>
    <w:rsid w:val="23437A88"/>
    <w:rsid w:val="23443CE8"/>
    <w:rsid w:val="234E207A"/>
    <w:rsid w:val="234F06FC"/>
    <w:rsid w:val="23572B79"/>
    <w:rsid w:val="23593C8E"/>
    <w:rsid w:val="235C2805"/>
    <w:rsid w:val="23600CEA"/>
    <w:rsid w:val="23606CE1"/>
    <w:rsid w:val="2369260B"/>
    <w:rsid w:val="236E4370"/>
    <w:rsid w:val="236F27CE"/>
    <w:rsid w:val="237051CE"/>
    <w:rsid w:val="23776E1D"/>
    <w:rsid w:val="237A3B44"/>
    <w:rsid w:val="237E5F85"/>
    <w:rsid w:val="2388732E"/>
    <w:rsid w:val="23891417"/>
    <w:rsid w:val="2397432A"/>
    <w:rsid w:val="23985FD7"/>
    <w:rsid w:val="23995D35"/>
    <w:rsid w:val="239F2EFF"/>
    <w:rsid w:val="239F41F0"/>
    <w:rsid w:val="23A52A88"/>
    <w:rsid w:val="23A62A28"/>
    <w:rsid w:val="23A93F51"/>
    <w:rsid w:val="23AC45B8"/>
    <w:rsid w:val="23AF0434"/>
    <w:rsid w:val="23B23567"/>
    <w:rsid w:val="23B245A0"/>
    <w:rsid w:val="23BB66B2"/>
    <w:rsid w:val="23C80EDF"/>
    <w:rsid w:val="23D07225"/>
    <w:rsid w:val="23D33455"/>
    <w:rsid w:val="23D6056F"/>
    <w:rsid w:val="23DC5161"/>
    <w:rsid w:val="23DC571D"/>
    <w:rsid w:val="23DD1207"/>
    <w:rsid w:val="23DD717F"/>
    <w:rsid w:val="23E208BD"/>
    <w:rsid w:val="23E36E55"/>
    <w:rsid w:val="23E501F5"/>
    <w:rsid w:val="23E634F2"/>
    <w:rsid w:val="23E66EF8"/>
    <w:rsid w:val="23E76D75"/>
    <w:rsid w:val="23EF426A"/>
    <w:rsid w:val="23F13686"/>
    <w:rsid w:val="23F15106"/>
    <w:rsid w:val="23F41E93"/>
    <w:rsid w:val="23F74F53"/>
    <w:rsid w:val="23FA62EC"/>
    <w:rsid w:val="23FC3497"/>
    <w:rsid w:val="2402185A"/>
    <w:rsid w:val="24063410"/>
    <w:rsid w:val="240750AB"/>
    <w:rsid w:val="240958BB"/>
    <w:rsid w:val="240B1BD6"/>
    <w:rsid w:val="2411343C"/>
    <w:rsid w:val="2411448D"/>
    <w:rsid w:val="2412314F"/>
    <w:rsid w:val="24174B94"/>
    <w:rsid w:val="242204B0"/>
    <w:rsid w:val="24231075"/>
    <w:rsid w:val="242346CD"/>
    <w:rsid w:val="242877DE"/>
    <w:rsid w:val="242915B3"/>
    <w:rsid w:val="242E5F1F"/>
    <w:rsid w:val="24322EE0"/>
    <w:rsid w:val="24335B6F"/>
    <w:rsid w:val="243D3F00"/>
    <w:rsid w:val="243D7784"/>
    <w:rsid w:val="243E1078"/>
    <w:rsid w:val="24444A6E"/>
    <w:rsid w:val="24477962"/>
    <w:rsid w:val="24492787"/>
    <w:rsid w:val="244F68D3"/>
    <w:rsid w:val="24533EA6"/>
    <w:rsid w:val="24552865"/>
    <w:rsid w:val="24553776"/>
    <w:rsid w:val="245C5FE8"/>
    <w:rsid w:val="245D2237"/>
    <w:rsid w:val="24636239"/>
    <w:rsid w:val="24683E4B"/>
    <w:rsid w:val="2468418B"/>
    <w:rsid w:val="246D315D"/>
    <w:rsid w:val="246E163D"/>
    <w:rsid w:val="24725451"/>
    <w:rsid w:val="247321DC"/>
    <w:rsid w:val="24792C67"/>
    <w:rsid w:val="247F01ED"/>
    <w:rsid w:val="24875789"/>
    <w:rsid w:val="2489657E"/>
    <w:rsid w:val="24896F9C"/>
    <w:rsid w:val="249152E3"/>
    <w:rsid w:val="24940192"/>
    <w:rsid w:val="2494490F"/>
    <w:rsid w:val="2495123A"/>
    <w:rsid w:val="2497265B"/>
    <w:rsid w:val="249C557D"/>
    <w:rsid w:val="24A12933"/>
    <w:rsid w:val="24B063B6"/>
    <w:rsid w:val="24B42C46"/>
    <w:rsid w:val="24B57F51"/>
    <w:rsid w:val="24C272B5"/>
    <w:rsid w:val="24C43167"/>
    <w:rsid w:val="24C607E8"/>
    <w:rsid w:val="24C94759"/>
    <w:rsid w:val="24C96531"/>
    <w:rsid w:val="24CA31A9"/>
    <w:rsid w:val="24CF2C2C"/>
    <w:rsid w:val="24D95706"/>
    <w:rsid w:val="24DC4B11"/>
    <w:rsid w:val="24DE49C2"/>
    <w:rsid w:val="24DF2F27"/>
    <w:rsid w:val="24E06F8D"/>
    <w:rsid w:val="24EB0BA1"/>
    <w:rsid w:val="24EB531E"/>
    <w:rsid w:val="24ED119F"/>
    <w:rsid w:val="24F569BB"/>
    <w:rsid w:val="24F56F32"/>
    <w:rsid w:val="24F703F7"/>
    <w:rsid w:val="24F70F7D"/>
    <w:rsid w:val="24F71519"/>
    <w:rsid w:val="250052C3"/>
    <w:rsid w:val="250267EC"/>
    <w:rsid w:val="25040B8F"/>
    <w:rsid w:val="25095AC6"/>
    <w:rsid w:val="250A4BE0"/>
    <w:rsid w:val="250B3654"/>
    <w:rsid w:val="25113E0C"/>
    <w:rsid w:val="25222E6C"/>
    <w:rsid w:val="252A05A7"/>
    <w:rsid w:val="253117D0"/>
    <w:rsid w:val="25314154"/>
    <w:rsid w:val="2537799C"/>
    <w:rsid w:val="25383FF1"/>
    <w:rsid w:val="25397AAA"/>
    <w:rsid w:val="253D7392"/>
    <w:rsid w:val="25415D2D"/>
    <w:rsid w:val="254215B0"/>
    <w:rsid w:val="2544170E"/>
    <w:rsid w:val="2544470B"/>
    <w:rsid w:val="254B7B2B"/>
    <w:rsid w:val="25567310"/>
    <w:rsid w:val="255D363B"/>
    <w:rsid w:val="25617E57"/>
    <w:rsid w:val="25633CE3"/>
    <w:rsid w:val="256A4602"/>
    <w:rsid w:val="256B3045"/>
    <w:rsid w:val="256E2074"/>
    <w:rsid w:val="256E3C5F"/>
    <w:rsid w:val="256E7CC8"/>
    <w:rsid w:val="25713342"/>
    <w:rsid w:val="25716946"/>
    <w:rsid w:val="25745EC6"/>
    <w:rsid w:val="25780405"/>
    <w:rsid w:val="257A2CC0"/>
    <w:rsid w:val="257D085D"/>
    <w:rsid w:val="25832019"/>
    <w:rsid w:val="258461CC"/>
    <w:rsid w:val="258A45EF"/>
    <w:rsid w:val="259068C5"/>
    <w:rsid w:val="25976952"/>
    <w:rsid w:val="25A30350"/>
    <w:rsid w:val="25A34ACC"/>
    <w:rsid w:val="25AA0511"/>
    <w:rsid w:val="25AE5568"/>
    <w:rsid w:val="25AE66E1"/>
    <w:rsid w:val="25AF4D9E"/>
    <w:rsid w:val="25B11FA1"/>
    <w:rsid w:val="25B2636C"/>
    <w:rsid w:val="25B84A72"/>
    <w:rsid w:val="25B94ACA"/>
    <w:rsid w:val="25BD49D1"/>
    <w:rsid w:val="25BE50DD"/>
    <w:rsid w:val="25C30157"/>
    <w:rsid w:val="25C85CF7"/>
    <w:rsid w:val="25CF0E14"/>
    <w:rsid w:val="25D636A5"/>
    <w:rsid w:val="25D971A5"/>
    <w:rsid w:val="25DA2A28"/>
    <w:rsid w:val="25E40DB9"/>
    <w:rsid w:val="25E66296"/>
    <w:rsid w:val="25E67934"/>
    <w:rsid w:val="25ED51B2"/>
    <w:rsid w:val="25EF714A"/>
    <w:rsid w:val="25F3213F"/>
    <w:rsid w:val="260470EF"/>
    <w:rsid w:val="260676FF"/>
    <w:rsid w:val="260917C6"/>
    <w:rsid w:val="260E461D"/>
    <w:rsid w:val="260F5480"/>
    <w:rsid w:val="26105100"/>
    <w:rsid w:val="26110CEF"/>
    <w:rsid w:val="261237A8"/>
    <w:rsid w:val="26152BBC"/>
    <w:rsid w:val="261C55E3"/>
    <w:rsid w:val="261E7E24"/>
    <w:rsid w:val="261F6D59"/>
    <w:rsid w:val="2629221D"/>
    <w:rsid w:val="2631148D"/>
    <w:rsid w:val="26354B5B"/>
    <w:rsid w:val="2638562B"/>
    <w:rsid w:val="263D4CD4"/>
    <w:rsid w:val="263F34A8"/>
    <w:rsid w:val="264417B8"/>
    <w:rsid w:val="264A4C92"/>
    <w:rsid w:val="264B1FC8"/>
    <w:rsid w:val="26505EEA"/>
    <w:rsid w:val="266275B6"/>
    <w:rsid w:val="26652B3E"/>
    <w:rsid w:val="266A1901"/>
    <w:rsid w:val="266E7AE6"/>
    <w:rsid w:val="2670087B"/>
    <w:rsid w:val="2670179D"/>
    <w:rsid w:val="26727A5E"/>
    <w:rsid w:val="267B0909"/>
    <w:rsid w:val="267C2231"/>
    <w:rsid w:val="26873E45"/>
    <w:rsid w:val="269221D6"/>
    <w:rsid w:val="26966971"/>
    <w:rsid w:val="269C0568"/>
    <w:rsid w:val="269F7899"/>
    <w:rsid w:val="26A14DC2"/>
    <w:rsid w:val="26A768F9"/>
    <w:rsid w:val="26AC43B4"/>
    <w:rsid w:val="26B234BE"/>
    <w:rsid w:val="26B97B10"/>
    <w:rsid w:val="26BA78F4"/>
    <w:rsid w:val="26BB12F2"/>
    <w:rsid w:val="26C016D5"/>
    <w:rsid w:val="26C64BD6"/>
    <w:rsid w:val="26C80CE8"/>
    <w:rsid w:val="26C848AF"/>
    <w:rsid w:val="26C974E4"/>
    <w:rsid w:val="26D62358"/>
    <w:rsid w:val="26DA2D79"/>
    <w:rsid w:val="26DA3D9D"/>
    <w:rsid w:val="26DD65F7"/>
    <w:rsid w:val="26DE0FD1"/>
    <w:rsid w:val="26DE4854"/>
    <w:rsid w:val="26DF03B4"/>
    <w:rsid w:val="26E201D9"/>
    <w:rsid w:val="26E320E4"/>
    <w:rsid w:val="26E4194D"/>
    <w:rsid w:val="26E5319B"/>
    <w:rsid w:val="26EA7597"/>
    <w:rsid w:val="26EB042A"/>
    <w:rsid w:val="26EC1C26"/>
    <w:rsid w:val="26EF2977"/>
    <w:rsid w:val="26F137C1"/>
    <w:rsid w:val="26F30F76"/>
    <w:rsid w:val="26F64F8E"/>
    <w:rsid w:val="26F77752"/>
    <w:rsid w:val="26FC6620"/>
    <w:rsid w:val="26FF6F87"/>
    <w:rsid w:val="27007C09"/>
    <w:rsid w:val="27030D5B"/>
    <w:rsid w:val="270B0839"/>
    <w:rsid w:val="271436A9"/>
    <w:rsid w:val="27153EB2"/>
    <w:rsid w:val="27156F2D"/>
    <w:rsid w:val="271863E2"/>
    <w:rsid w:val="271A547B"/>
    <w:rsid w:val="27222784"/>
    <w:rsid w:val="27260AD1"/>
    <w:rsid w:val="272A364F"/>
    <w:rsid w:val="272E0394"/>
    <w:rsid w:val="273375FF"/>
    <w:rsid w:val="27366BF6"/>
    <w:rsid w:val="2737696C"/>
    <w:rsid w:val="27376C5E"/>
    <w:rsid w:val="2738346D"/>
    <w:rsid w:val="27434EEA"/>
    <w:rsid w:val="274703D8"/>
    <w:rsid w:val="275163B0"/>
    <w:rsid w:val="27521C22"/>
    <w:rsid w:val="275304C1"/>
    <w:rsid w:val="27547D16"/>
    <w:rsid w:val="27551DFC"/>
    <w:rsid w:val="27567996"/>
    <w:rsid w:val="275B28C6"/>
    <w:rsid w:val="275E1F46"/>
    <w:rsid w:val="27615D27"/>
    <w:rsid w:val="276421F1"/>
    <w:rsid w:val="276516A3"/>
    <w:rsid w:val="27666041"/>
    <w:rsid w:val="27691928"/>
    <w:rsid w:val="276B11B2"/>
    <w:rsid w:val="276B2371"/>
    <w:rsid w:val="276B793B"/>
    <w:rsid w:val="27732C8D"/>
    <w:rsid w:val="27762449"/>
    <w:rsid w:val="27862FF4"/>
    <w:rsid w:val="27893486"/>
    <w:rsid w:val="278B23EE"/>
    <w:rsid w:val="27906BD5"/>
    <w:rsid w:val="27A12394"/>
    <w:rsid w:val="27A401A2"/>
    <w:rsid w:val="27AB0725"/>
    <w:rsid w:val="27AB3D93"/>
    <w:rsid w:val="27AD737C"/>
    <w:rsid w:val="27B107B0"/>
    <w:rsid w:val="27B17D40"/>
    <w:rsid w:val="27B40743"/>
    <w:rsid w:val="27B663CB"/>
    <w:rsid w:val="27C02737"/>
    <w:rsid w:val="27C13E2B"/>
    <w:rsid w:val="27C45957"/>
    <w:rsid w:val="27CB0A5C"/>
    <w:rsid w:val="27CB6E3A"/>
    <w:rsid w:val="27CE7229"/>
    <w:rsid w:val="27D550EB"/>
    <w:rsid w:val="27D74A6C"/>
    <w:rsid w:val="27E32A7D"/>
    <w:rsid w:val="27E67880"/>
    <w:rsid w:val="27F26051"/>
    <w:rsid w:val="27F44041"/>
    <w:rsid w:val="27F51C21"/>
    <w:rsid w:val="27FA16B6"/>
    <w:rsid w:val="28022636"/>
    <w:rsid w:val="28053B0B"/>
    <w:rsid w:val="2809307E"/>
    <w:rsid w:val="280E7144"/>
    <w:rsid w:val="28180374"/>
    <w:rsid w:val="282370EA"/>
    <w:rsid w:val="28356D6C"/>
    <w:rsid w:val="28371C9C"/>
    <w:rsid w:val="283B0EBC"/>
    <w:rsid w:val="283B3125"/>
    <w:rsid w:val="284035F2"/>
    <w:rsid w:val="284123CD"/>
    <w:rsid w:val="2845181D"/>
    <w:rsid w:val="28504292"/>
    <w:rsid w:val="285A17C2"/>
    <w:rsid w:val="285C7F19"/>
    <w:rsid w:val="28656260"/>
    <w:rsid w:val="28716ED4"/>
    <w:rsid w:val="28786038"/>
    <w:rsid w:val="287938F6"/>
    <w:rsid w:val="28794D49"/>
    <w:rsid w:val="287F4417"/>
    <w:rsid w:val="28826109"/>
    <w:rsid w:val="28845788"/>
    <w:rsid w:val="28855E8A"/>
    <w:rsid w:val="288860CE"/>
    <w:rsid w:val="28893B4B"/>
    <w:rsid w:val="288A1B8A"/>
    <w:rsid w:val="28911FC6"/>
    <w:rsid w:val="28913E9A"/>
    <w:rsid w:val="289320B7"/>
    <w:rsid w:val="28951B41"/>
    <w:rsid w:val="28951C55"/>
    <w:rsid w:val="289732EC"/>
    <w:rsid w:val="289C4BF1"/>
    <w:rsid w:val="289C74AE"/>
    <w:rsid w:val="28A51F73"/>
    <w:rsid w:val="28A605BD"/>
    <w:rsid w:val="28A676AC"/>
    <w:rsid w:val="28AF692A"/>
    <w:rsid w:val="28B1694E"/>
    <w:rsid w:val="28B41440"/>
    <w:rsid w:val="28B96E1C"/>
    <w:rsid w:val="28BA7382"/>
    <w:rsid w:val="28BC0562"/>
    <w:rsid w:val="28BC6B3E"/>
    <w:rsid w:val="28BE3059"/>
    <w:rsid w:val="28C4521D"/>
    <w:rsid w:val="28C84AB5"/>
    <w:rsid w:val="28D05432"/>
    <w:rsid w:val="28D10507"/>
    <w:rsid w:val="28D14C84"/>
    <w:rsid w:val="28D40F39"/>
    <w:rsid w:val="28D42381"/>
    <w:rsid w:val="28DB53F4"/>
    <w:rsid w:val="28E976B6"/>
    <w:rsid w:val="28EA01BC"/>
    <w:rsid w:val="28F159FD"/>
    <w:rsid w:val="28F57F65"/>
    <w:rsid w:val="28FD5C97"/>
    <w:rsid w:val="28FF7D52"/>
    <w:rsid w:val="290433ED"/>
    <w:rsid w:val="2907735C"/>
    <w:rsid w:val="29106D38"/>
    <w:rsid w:val="29120F71"/>
    <w:rsid w:val="29185599"/>
    <w:rsid w:val="29185917"/>
    <w:rsid w:val="291B210A"/>
    <w:rsid w:val="291B7BC4"/>
    <w:rsid w:val="291D7302"/>
    <w:rsid w:val="292176F1"/>
    <w:rsid w:val="29274D12"/>
    <w:rsid w:val="29294C87"/>
    <w:rsid w:val="29295689"/>
    <w:rsid w:val="293A2C81"/>
    <w:rsid w:val="293D5638"/>
    <w:rsid w:val="293E52B8"/>
    <w:rsid w:val="293E673F"/>
    <w:rsid w:val="2942080D"/>
    <w:rsid w:val="29493649"/>
    <w:rsid w:val="294F0A50"/>
    <w:rsid w:val="294F645F"/>
    <w:rsid w:val="295419DA"/>
    <w:rsid w:val="29562511"/>
    <w:rsid w:val="29591B52"/>
    <w:rsid w:val="29617E99"/>
    <w:rsid w:val="29621415"/>
    <w:rsid w:val="296351E2"/>
    <w:rsid w:val="296577A3"/>
    <w:rsid w:val="2969197F"/>
    <w:rsid w:val="296A2D9A"/>
    <w:rsid w:val="296A6378"/>
    <w:rsid w:val="296D69D8"/>
    <w:rsid w:val="29711F16"/>
    <w:rsid w:val="297167CD"/>
    <w:rsid w:val="29747D10"/>
    <w:rsid w:val="2977553F"/>
    <w:rsid w:val="297E60A1"/>
    <w:rsid w:val="298109FA"/>
    <w:rsid w:val="29817B0A"/>
    <w:rsid w:val="29976E72"/>
    <w:rsid w:val="299D1247"/>
    <w:rsid w:val="29A327D8"/>
    <w:rsid w:val="29A41E67"/>
    <w:rsid w:val="29A71A4B"/>
    <w:rsid w:val="29AA2222"/>
    <w:rsid w:val="29AA5774"/>
    <w:rsid w:val="29AB63C9"/>
    <w:rsid w:val="29AE7493"/>
    <w:rsid w:val="29B5077A"/>
    <w:rsid w:val="29B53FFD"/>
    <w:rsid w:val="29C0238E"/>
    <w:rsid w:val="29C1188B"/>
    <w:rsid w:val="29CA071F"/>
    <w:rsid w:val="29CB6554"/>
    <w:rsid w:val="29D121D7"/>
    <w:rsid w:val="29D56AB0"/>
    <w:rsid w:val="29DB2854"/>
    <w:rsid w:val="29E866FD"/>
    <w:rsid w:val="29EC66D5"/>
    <w:rsid w:val="29ED5216"/>
    <w:rsid w:val="29F00ABE"/>
    <w:rsid w:val="29F3304F"/>
    <w:rsid w:val="29F57205"/>
    <w:rsid w:val="29F74A66"/>
    <w:rsid w:val="29F9147F"/>
    <w:rsid w:val="29F966F8"/>
    <w:rsid w:val="2A016B53"/>
    <w:rsid w:val="2A061630"/>
    <w:rsid w:val="2A0C1188"/>
    <w:rsid w:val="2A0E3B72"/>
    <w:rsid w:val="2A165639"/>
    <w:rsid w:val="2A172D9D"/>
    <w:rsid w:val="2A18054E"/>
    <w:rsid w:val="2A1B6ED3"/>
    <w:rsid w:val="2A1B7225"/>
    <w:rsid w:val="2A227C01"/>
    <w:rsid w:val="2A231E0F"/>
    <w:rsid w:val="2A294B64"/>
    <w:rsid w:val="2A301E3F"/>
    <w:rsid w:val="2A34149E"/>
    <w:rsid w:val="2A3854D0"/>
    <w:rsid w:val="2A4259C3"/>
    <w:rsid w:val="2A4370E4"/>
    <w:rsid w:val="2A494E97"/>
    <w:rsid w:val="2A4D5475"/>
    <w:rsid w:val="2A583806"/>
    <w:rsid w:val="2A5C3471"/>
    <w:rsid w:val="2A5D7C8E"/>
    <w:rsid w:val="2A5E2BC1"/>
    <w:rsid w:val="2A602700"/>
    <w:rsid w:val="2A6254EB"/>
    <w:rsid w:val="2A63541A"/>
    <w:rsid w:val="2A6B3832"/>
    <w:rsid w:val="2A6D37AC"/>
    <w:rsid w:val="2A7443C6"/>
    <w:rsid w:val="2A781B3D"/>
    <w:rsid w:val="2A794B53"/>
    <w:rsid w:val="2A7A32C1"/>
    <w:rsid w:val="2A7E3F26"/>
    <w:rsid w:val="2A820BAB"/>
    <w:rsid w:val="2A827ECE"/>
    <w:rsid w:val="2A8E547C"/>
    <w:rsid w:val="2A8F5EDF"/>
    <w:rsid w:val="2A91032F"/>
    <w:rsid w:val="2A91629A"/>
    <w:rsid w:val="2A994270"/>
    <w:rsid w:val="2A9A6739"/>
    <w:rsid w:val="2A9C4433"/>
    <w:rsid w:val="2AA42601"/>
    <w:rsid w:val="2AA45E84"/>
    <w:rsid w:val="2AA92E33"/>
    <w:rsid w:val="2AAA21B1"/>
    <w:rsid w:val="2AAC4B5F"/>
    <w:rsid w:val="2AAE1D2A"/>
    <w:rsid w:val="2AAF4215"/>
    <w:rsid w:val="2AB32D3A"/>
    <w:rsid w:val="2AB820A7"/>
    <w:rsid w:val="2ABC7588"/>
    <w:rsid w:val="2ABE2202"/>
    <w:rsid w:val="2AC446EC"/>
    <w:rsid w:val="2AC75F98"/>
    <w:rsid w:val="2AC86CF1"/>
    <w:rsid w:val="2ACF254B"/>
    <w:rsid w:val="2AD31750"/>
    <w:rsid w:val="2AD43067"/>
    <w:rsid w:val="2AD47774"/>
    <w:rsid w:val="2ADB055C"/>
    <w:rsid w:val="2AE42EAE"/>
    <w:rsid w:val="2AE568ED"/>
    <w:rsid w:val="2AE63B13"/>
    <w:rsid w:val="2AEB0F0C"/>
    <w:rsid w:val="2AED0946"/>
    <w:rsid w:val="2AED4ED9"/>
    <w:rsid w:val="2AF00502"/>
    <w:rsid w:val="2AF04C7E"/>
    <w:rsid w:val="2AF11413"/>
    <w:rsid w:val="2AF63846"/>
    <w:rsid w:val="2AF77556"/>
    <w:rsid w:val="2AFB6893"/>
    <w:rsid w:val="2B046861"/>
    <w:rsid w:val="2B054C24"/>
    <w:rsid w:val="2B0D030A"/>
    <w:rsid w:val="2B0E61BE"/>
    <w:rsid w:val="2B0E6D3D"/>
    <w:rsid w:val="2B0F291D"/>
    <w:rsid w:val="2B2C682E"/>
    <w:rsid w:val="2B2E6B6A"/>
    <w:rsid w:val="2B2F7BFA"/>
    <w:rsid w:val="2B3454A8"/>
    <w:rsid w:val="2B3505C1"/>
    <w:rsid w:val="2B437E9B"/>
    <w:rsid w:val="2B4530E2"/>
    <w:rsid w:val="2B470F10"/>
    <w:rsid w:val="2B4950A9"/>
    <w:rsid w:val="2B4C0B44"/>
    <w:rsid w:val="2B4E7F60"/>
    <w:rsid w:val="2B4F2ED5"/>
    <w:rsid w:val="2B504D1D"/>
    <w:rsid w:val="2B5272A1"/>
    <w:rsid w:val="2B541AFA"/>
    <w:rsid w:val="2B5438DC"/>
    <w:rsid w:val="2B56587E"/>
    <w:rsid w:val="2B6739C3"/>
    <w:rsid w:val="2B6A1B7F"/>
    <w:rsid w:val="2B6F6CA1"/>
    <w:rsid w:val="2B732514"/>
    <w:rsid w:val="2B770D53"/>
    <w:rsid w:val="2B7877DC"/>
    <w:rsid w:val="2B7B354D"/>
    <w:rsid w:val="2B7B423C"/>
    <w:rsid w:val="2B7C4083"/>
    <w:rsid w:val="2B7D3AAF"/>
    <w:rsid w:val="2B7E081F"/>
    <w:rsid w:val="2B841D92"/>
    <w:rsid w:val="2B892366"/>
    <w:rsid w:val="2B94641F"/>
    <w:rsid w:val="2B9D5243"/>
    <w:rsid w:val="2B9D609C"/>
    <w:rsid w:val="2BA1284B"/>
    <w:rsid w:val="2BA87CB0"/>
    <w:rsid w:val="2BA96FAD"/>
    <w:rsid w:val="2BAE1BA0"/>
    <w:rsid w:val="2BB17D03"/>
    <w:rsid w:val="2BB44777"/>
    <w:rsid w:val="2BB83315"/>
    <w:rsid w:val="2BBA2C04"/>
    <w:rsid w:val="2BBD43D2"/>
    <w:rsid w:val="2BBF28ED"/>
    <w:rsid w:val="2BC07653"/>
    <w:rsid w:val="2BD40774"/>
    <w:rsid w:val="2BD45407"/>
    <w:rsid w:val="2BDC17F3"/>
    <w:rsid w:val="2BDF2388"/>
    <w:rsid w:val="2BDF3A67"/>
    <w:rsid w:val="2BE47B85"/>
    <w:rsid w:val="2BEE5DA4"/>
    <w:rsid w:val="2BF0337A"/>
    <w:rsid w:val="2BF46AAA"/>
    <w:rsid w:val="2BFA6A19"/>
    <w:rsid w:val="2BFB3251"/>
    <w:rsid w:val="2BFB4E90"/>
    <w:rsid w:val="2BFD736F"/>
    <w:rsid w:val="2BFE1B8D"/>
    <w:rsid w:val="2BFF06BF"/>
    <w:rsid w:val="2BFF4E3C"/>
    <w:rsid w:val="2C077966"/>
    <w:rsid w:val="2C0915AA"/>
    <w:rsid w:val="2C0E6283"/>
    <w:rsid w:val="2C1318E9"/>
    <w:rsid w:val="2C132CFC"/>
    <w:rsid w:val="2C154F49"/>
    <w:rsid w:val="2C164A61"/>
    <w:rsid w:val="2C177964"/>
    <w:rsid w:val="2C2072A9"/>
    <w:rsid w:val="2C211535"/>
    <w:rsid w:val="2C250160"/>
    <w:rsid w:val="2C260850"/>
    <w:rsid w:val="2C270D59"/>
    <w:rsid w:val="2C2871DC"/>
    <w:rsid w:val="2C2B1183"/>
    <w:rsid w:val="2C2D075D"/>
    <w:rsid w:val="2C357514"/>
    <w:rsid w:val="2C362D97"/>
    <w:rsid w:val="2C3B6A14"/>
    <w:rsid w:val="2C3C1B09"/>
    <w:rsid w:val="2C3D1D1E"/>
    <w:rsid w:val="2C471803"/>
    <w:rsid w:val="2C4D2AFA"/>
    <w:rsid w:val="2C4D7E50"/>
    <w:rsid w:val="2C506124"/>
    <w:rsid w:val="2C55584A"/>
    <w:rsid w:val="2C595404"/>
    <w:rsid w:val="2C5A2C43"/>
    <w:rsid w:val="2C5C4C49"/>
    <w:rsid w:val="2C64075B"/>
    <w:rsid w:val="2C653842"/>
    <w:rsid w:val="2C670022"/>
    <w:rsid w:val="2C692ABE"/>
    <w:rsid w:val="2C6C546F"/>
    <w:rsid w:val="2C773801"/>
    <w:rsid w:val="2C8C7F23"/>
    <w:rsid w:val="2C8D37A6"/>
    <w:rsid w:val="2C905C91"/>
    <w:rsid w:val="2C971B37"/>
    <w:rsid w:val="2C9859C5"/>
    <w:rsid w:val="2C9B3866"/>
    <w:rsid w:val="2C9C30A5"/>
    <w:rsid w:val="2C9D6FBA"/>
    <w:rsid w:val="2CA15505"/>
    <w:rsid w:val="2CA92052"/>
    <w:rsid w:val="2CAC6259"/>
    <w:rsid w:val="2CAE5ED9"/>
    <w:rsid w:val="2CBB0458"/>
    <w:rsid w:val="2CBD12E7"/>
    <w:rsid w:val="2CC34087"/>
    <w:rsid w:val="2CCD4CC0"/>
    <w:rsid w:val="2CCE420F"/>
    <w:rsid w:val="2CD1537A"/>
    <w:rsid w:val="2CD34C6C"/>
    <w:rsid w:val="2CD63007"/>
    <w:rsid w:val="2CDA72C6"/>
    <w:rsid w:val="2CDB223C"/>
    <w:rsid w:val="2CDD6A28"/>
    <w:rsid w:val="2CDE4D50"/>
    <w:rsid w:val="2CE132A0"/>
    <w:rsid w:val="2CE30931"/>
    <w:rsid w:val="2CE71507"/>
    <w:rsid w:val="2CE84494"/>
    <w:rsid w:val="2CE865CB"/>
    <w:rsid w:val="2CEB036F"/>
    <w:rsid w:val="2CEE513C"/>
    <w:rsid w:val="2CF426FD"/>
    <w:rsid w:val="2CF808D7"/>
    <w:rsid w:val="2CF931CD"/>
    <w:rsid w:val="2CFB14F2"/>
    <w:rsid w:val="2CFD4D5E"/>
    <w:rsid w:val="2CFE3EAF"/>
    <w:rsid w:val="2D016A1F"/>
    <w:rsid w:val="2D030FE7"/>
    <w:rsid w:val="2D0568E8"/>
    <w:rsid w:val="2D0644D9"/>
    <w:rsid w:val="2D064820"/>
    <w:rsid w:val="2D0E3DAA"/>
    <w:rsid w:val="2D0F4C79"/>
    <w:rsid w:val="2D126B82"/>
    <w:rsid w:val="2D155EBB"/>
    <w:rsid w:val="2D180248"/>
    <w:rsid w:val="2D1A688D"/>
    <w:rsid w:val="2D1B41A0"/>
    <w:rsid w:val="2D1C6299"/>
    <w:rsid w:val="2D212835"/>
    <w:rsid w:val="2D280F15"/>
    <w:rsid w:val="2D334616"/>
    <w:rsid w:val="2D345A70"/>
    <w:rsid w:val="2D3928D1"/>
    <w:rsid w:val="2D3A1340"/>
    <w:rsid w:val="2D3A4BC3"/>
    <w:rsid w:val="2D432087"/>
    <w:rsid w:val="2D452F54"/>
    <w:rsid w:val="2D4F12E5"/>
    <w:rsid w:val="2D511966"/>
    <w:rsid w:val="2D526117"/>
    <w:rsid w:val="2D534D43"/>
    <w:rsid w:val="2D5903B7"/>
    <w:rsid w:val="2D591F5D"/>
    <w:rsid w:val="2D5A7676"/>
    <w:rsid w:val="2D654EA1"/>
    <w:rsid w:val="2D6D0F4C"/>
    <w:rsid w:val="2D6E4D4C"/>
    <w:rsid w:val="2D703A18"/>
    <w:rsid w:val="2D71729C"/>
    <w:rsid w:val="2D76726D"/>
    <w:rsid w:val="2D786092"/>
    <w:rsid w:val="2D7B562D"/>
    <w:rsid w:val="2D7D3B5B"/>
    <w:rsid w:val="2D7E18DB"/>
    <w:rsid w:val="2D7E66F1"/>
    <w:rsid w:val="2D8251D0"/>
    <w:rsid w:val="2D853774"/>
    <w:rsid w:val="2D854741"/>
    <w:rsid w:val="2D8639BE"/>
    <w:rsid w:val="2D8755B3"/>
    <w:rsid w:val="2D8C5CAC"/>
    <w:rsid w:val="2D8F3FF0"/>
    <w:rsid w:val="2D8F50A4"/>
    <w:rsid w:val="2D901D4F"/>
    <w:rsid w:val="2D913A3F"/>
    <w:rsid w:val="2D9A743B"/>
    <w:rsid w:val="2DA42D33"/>
    <w:rsid w:val="2DA61CF4"/>
    <w:rsid w:val="2DA64E82"/>
    <w:rsid w:val="2DB27D05"/>
    <w:rsid w:val="2DB874AC"/>
    <w:rsid w:val="2DC74427"/>
    <w:rsid w:val="2DC91BA2"/>
    <w:rsid w:val="2DC935EC"/>
    <w:rsid w:val="2DCA68F9"/>
    <w:rsid w:val="2DCC3AE5"/>
    <w:rsid w:val="2DD009B0"/>
    <w:rsid w:val="2DD01C84"/>
    <w:rsid w:val="2DD227B8"/>
    <w:rsid w:val="2DD527D5"/>
    <w:rsid w:val="2DDC6529"/>
    <w:rsid w:val="2DDE1D3E"/>
    <w:rsid w:val="2DE065B5"/>
    <w:rsid w:val="2DE5506B"/>
    <w:rsid w:val="2DF01A22"/>
    <w:rsid w:val="2DF102DD"/>
    <w:rsid w:val="2DF767F5"/>
    <w:rsid w:val="2DF961FC"/>
    <w:rsid w:val="2E0223CE"/>
    <w:rsid w:val="2E051546"/>
    <w:rsid w:val="2E051F58"/>
    <w:rsid w:val="2E090714"/>
    <w:rsid w:val="2E0A49D6"/>
    <w:rsid w:val="2E101972"/>
    <w:rsid w:val="2E106380"/>
    <w:rsid w:val="2E1E06B9"/>
    <w:rsid w:val="2E1E4E36"/>
    <w:rsid w:val="2E233D5D"/>
    <w:rsid w:val="2E267A64"/>
    <w:rsid w:val="2E276881"/>
    <w:rsid w:val="2E2831C7"/>
    <w:rsid w:val="2E2D2974"/>
    <w:rsid w:val="2E2F0AFB"/>
    <w:rsid w:val="2E2F17E3"/>
    <w:rsid w:val="2E333410"/>
    <w:rsid w:val="2E374A3F"/>
    <w:rsid w:val="2E384526"/>
    <w:rsid w:val="2E393BBD"/>
    <w:rsid w:val="2E4010CF"/>
    <w:rsid w:val="2E402DEC"/>
    <w:rsid w:val="2E4318A6"/>
    <w:rsid w:val="2E43243D"/>
    <w:rsid w:val="2E462F0A"/>
    <w:rsid w:val="2E4C6ECB"/>
    <w:rsid w:val="2E58184B"/>
    <w:rsid w:val="2E601123"/>
    <w:rsid w:val="2E6101A9"/>
    <w:rsid w:val="2E647B59"/>
    <w:rsid w:val="2E675374"/>
    <w:rsid w:val="2E684265"/>
    <w:rsid w:val="2E6A74B4"/>
    <w:rsid w:val="2E6F0090"/>
    <w:rsid w:val="2E741A9E"/>
    <w:rsid w:val="2E7F3BD6"/>
    <w:rsid w:val="2E7F3E6E"/>
    <w:rsid w:val="2E807459"/>
    <w:rsid w:val="2E8373AD"/>
    <w:rsid w:val="2E8962E6"/>
    <w:rsid w:val="2E8A5FDE"/>
    <w:rsid w:val="2E8E7E9E"/>
    <w:rsid w:val="2E902D82"/>
    <w:rsid w:val="2E9050F4"/>
    <w:rsid w:val="2E95591B"/>
    <w:rsid w:val="2E9637FB"/>
    <w:rsid w:val="2E993A04"/>
    <w:rsid w:val="2E9A7393"/>
    <w:rsid w:val="2E9C2D03"/>
    <w:rsid w:val="2EA11B8C"/>
    <w:rsid w:val="2EA23A11"/>
    <w:rsid w:val="2EA32358"/>
    <w:rsid w:val="2EA340B4"/>
    <w:rsid w:val="2EA50F50"/>
    <w:rsid w:val="2EAF5AF2"/>
    <w:rsid w:val="2EAF6067"/>
    <w:rsid w:val="2EB977B6"/>
    <w:rsid w:val="2EC17EC2"/>
    <w:rsid w:val="2EC35226"/>
    <w:rsid w:val="2ECB7CCF"/>
    <w:rsid w:val="2ED369F4"/>
    <w:rsid w:val="2ED645E4"/>
    <w:rsid w:val="2ED678D9"/>
    <w:rsid w:val="2EDB6434"/>
    <w:rsid w:val="2EEA4A8D"/>
    <w:rsid w:val="2EED420A"/>
    <w:rsid w:val="2EF06BB9"/>
    <w:rsid w:val="2EF35D6B"/>
    <w:rsid w:val="2EF40A6E"/>
    <w:rsid w:val="2EF41FF9"/>
    <w:rsid w:val="2EF66CF7"/>
    <w:rsid w:val="2EF75793"/>
    <w:rsid w:val="2EF804F7"/>
    <w:rsid w:val="2EF8259B"/>
    <w:rsid w:val="2EFA57CD"/>
    <w:rsid w:val="2EFE64E9"/>
    <w:rsid w:val="2EFF5A34"/>
    <w:rsid w:val="2F0415D5"/>
    <w:rsid w:val="2F0D2540"/>
    <w:rsid w:val="2F1040D5"/>
    <w:rsid w:val="2F123238"/>
    <w:rsid w:val="2F1808D1"/>
    <w:rsid w:val="2F1A3A16"/>
    <w:rsid w:val="2F1A7474"/>
    <w:rsid w:val="2F2227AA"/>
    <w:rsid w:val="2F226C62"/>
    <w:rsid w:val="2F2C11F4"/>
    <w:rsid w:val="2F2D3602"/>
    <w:rsid w:val="2F2D4FF3"/>
    <w:rsid w:val="2F3228BC"/>
    <w:rsid w:val="2F347AB3"/>
    <w:rsid w:val="2F361FF9"/>
    <w:rsid w:val="2F372061"/>
    <w:rsid w:val="2F382DC4"/>
    <w:rsid w:val="2F386C07"/>
    <w:rsid w:val="2F3A266D"/>
    <w:rsid w:val="2F3A527B"/>
    <w:rsid w:val="2F3B63E8"/>
    <w:rsid w:val="2F424F98"/>
    <w:rsid w:val="2F440784"/>
    <w:rsid w:val="2F467379"/>
    <w:rsid w:val="2F540DBC"/>
    <w:rsid w:val="2F601055"/>
    <w:rsid w:val="2F6105D9"/>
    <w:rsid w:val="2F6301F6"/>
    <w:rsid w:val="2F642F4F"/>
    <w:rsid w:val="2F685536"/>
    <w:rsid w:val="2F6C7725"/>
    <w:rsid w:val="2F6E12E0"/>
    <w:rsid w:val="2F706B34"/>
    <w:rsid w:val="2F713E8F"/>
    <w:rsid w:val="2F797671"/>
    <w:rsid w:val="2F810850"/>
    <w:rsid w:val="2F835A02"/>
    <w:rsid w:val="2F843CC3"/>
    <w:rsid w:val="2F8B2551"/>
    <w:rsid w:val="2F8F0F81"/>
    <w:rsid w:val="2F915042"/>
    <w:rsid w:val="2F934365"/>
    <w:rsid w:val="2F94151F"/>
    <w:rsid w:val="2F964F84"/>
    <w:rsid w:val="2FA43EC4"/>
    <w:rsid w:val="2FA53010"/>
    <w:rsid w:val="2FA56305"/>
    <w:rsid w:val="2FA6735D"/>
    <w:rsid w:val="2FA801C0"/>
    <w:rsid w:val="2FA839D8"/>
    <w:rsid w:val="2FA8690E"/>
    <w:rsid w:val="2FA961AB"/>
    <w:rsid w:val="2FAC7965"/>
    <w:rsid w:val="2FAF7487"/>
    <w:rsid w:val="2FB01D49"/>
    <w:rsid w:val="2FB5673C"/>
    <w:rsid w:val="2FBA00DA"/>
    <w:rsid w:val="2FC51CEF"/>
    <w:rsid w:val="2FC675C5"/>
    <w:rsid w:val="2FCC5A28"/>
    <w:rsid w:val="2FCD159E"/>
    <w:rsid w:val="2FCD1F6D"/>
    <w:rsid w:val="2FCD7458"/>
    <w:rsid w:val="2FD03ECC"/>
    <w:rsid w:val="2FD47DF7"/>
    <w:rsid w:val="2FD725D5"/>
    <w:rsid w:val="2FD81838"/>
    <w:rsid w:val="2FDA6411"/>
    <w:rsid w:val="2FDC6090"/>
    <w:rsid w:val="2FE31F44"/>
    <w:rsid w:val="2FE756D1"/>
    <w:rsid w:val="2FF16036"/>
    <w:rsid w:val="2FF642A1"/>
    <w:rsid w:val="2FF72667"/>
    <w:rsid w:val="2FFA6238"/>
    <w:rsid w:val="2FFC43C7"/>
    <w:rsid w:val="2FFE14AB"/>
    <w:rsid w:val="2FFF637A"/>
    <w:rsid w:val="30002505"/>
    <w:rsid w:val="30032B13"/>
    <w:rsid w:val="30062758"/>
    <w:rsid w:val="300900D2"/>
    <w:rsid w:val="30097460"/>
    <w:rsid w:val="300D7EBC"/>
    <w:rsid w:val="30110AE9"/>
    <w:rsid w:val="30130D21"/>
    <w:rsid w:val="30165258"/>
    <w:rsid w:val="302C3C36"/>
    <w:rsid w:val="302E6A55"/>
    <w:rsid w:val="30336A9F"/>
    <w:rsid w:val="303D4E30"/>
    <w:rsid w:val="303E5A07"/>
    <w:rsid w:val="303F247E"/>
    <w:rsid w:val="304724EE"/>
    <w:rsid w:val="304A45F1"/>
    <w:rsid w:val="304E3F34"/>
    <w:rsid w:val="304E7F5C"/>
    <w:rsid w:val="304F0E33"/>
    <w:rsid w:val="30533818"/>
    <w:rsid w:val="30536A8E"/>
    <w:rsid w:val="305D6B4A"/>
    <w:rsid w:val="305F50A6"/>
    <w:rsid w:val="306070BE"/>
    <w:rsid w:val="30635600"/>
    <w:rsid w:val="30691B68"/>
    <w:rsid w:val="306F35A4"/>
    <w:rsid w:val="307616E9"/>
    <w:rsid w:val="307B000F"/>
    <w:rsid w:val="307D149D"/>
    <w:rsid w:val="307D210E"/>
    <w:rsid w:val="30872AC8"/>
    <w:rsid w:val="30906E87"/>
    <w:rsid w:val="30937E53"/>
    <w:rsid w:val="3094583F"/>
    <w:rsid w:val="30971799"/>
    <w:rsid w:val="309978F6"/>
    <w:rsid w:val="309A2A21"/>
    <w:rsid w:val="309D39A4"/>
    <w:rsid w:val="309F7453"/>
    <w:rsid w:val="30A3452A"/>
    <w:rsid w:val="30A35EE8"/>
    <w:rsid w:val="30A5056A"/>
    <w:rsid w:val="30A918D4"/>
    <w:rsid w:val="30AA30A7"/>
    <w:rsid w:val="30AA4C58"/>
    <w:rsid w:val="30AD7251"/>
    <w:rsid w:val="30B6643A"/>
    <w:rsid w:val="30B92788"/>
    <w:rsid w:val="30BB40CD"/>
    <w:rsid w:val="30BE4FF2"/>
    <w:rsid w:val="30C14E91"/>
    <w:rsid w:val="30C3694D"/>
    <w:rsid w:val="30C876E2"/>
    <w:rsid w:val="30CB7DF8"/>
    <w:rsid w:val="30CF6280"/>
    <w:rsid w:val="30D2151E"/>
    <w:rsid w:val="30D54406"/>
    <w:rsid w:val="30D77642"/>
    <w:rsid w:val="30D91DBD"/>
    <w:rsid w:val="30DD654D"/>
    <w:rsid w:val="30E439E4"/>
    <w:rsid w:val="30EB066C"/>
    <w:rsid w:val="30EB624E"/>
    <w:rsid w:val="30EF3F94"/>
    <w:rsid w:val="30F545DF"/>
    <w:rsid w:val="30F67E62"/>
    <w:rsid w:val="30F7682B"/>
    <w:rsid w:val="30F960DF"/>
    <w:rsid w:val="30F962A1"/>
    <w:rsid w:val="30FC57C7"/>
    <w:rsid w:val="30FD0421"/>
    <w:rsid w:val="310061F3"/>
    <w:rsid w:val="310E3BD8"/>
    <w:rsid w:val="310E74E8"/>
    <w:rsid w:val="3110058D"/>
    <w:rsid w:val="31135457"/>
    <w:rsid w:val="31152915"/>
    <w:rsid w:val="3116642E"/>
    <w:rsid w:val="3117383E"/>
    <w:rsid w:val="31184EE4"/>
    <w:rsid w:val="311F116B"/>
    <w:rsid w:val="31224738"/>
    <w:rsid w:val="313047C4"/>
    <w:rsid w:val="31350C4C"/>
    <w:rsid w:val="31360835"/>
    <w:rsid w:val="313708CB"/>
    <w:rsid w:val="31386196"/>
    <w:rsid w:val="313A50D3"/>
    <w:rsid w:val="314C0871"/>
    <w:rsid w:val="31550A3E"/>
    <w:rsid w:val="315D028E"/>
    <w:rsid w:val="316E496E"/>
    <w:rsid w:val="316F08FF"/>
    <w:rsid w:val="316F12F6"/>
    <w:rsid w:val="31745F10"/>
    <w:rsid w:val="317B1882"/>
    <w:rsid w:val="317C27C0"/>
    <w:rsid w:val="3183057A"/>
    <w:rsid w:val="31861D4A"/>
    <w:rsid w:val="318E12DA"/>
    <w:rsid w:val="31915719"/>
    <w:rsid w:val="319208E6"/>
    <w:rsid w:val="319375DC"/>
    <w:rsid w:val="31966FC8"/>
    <w:rsid w:val="3198766B"/>
    <w:rsid w:val="31A261F7"/>
    <w:rsid w:val="31A3127F"/>
    <w:rsid w:val="31A359FC"/>
    <w:rsid w:val="31AF4BDC"/>
    <w:rsid w:val="31B373DE"/>
    <w:rsid w:val="31B859A2"/>
    <w:rsid w:val="31BD595A"/>
    <w:rsid w:val="31C01299"/>
    <w:rsid w:val="31C224E3"/>
    <w:rsid w:val="31C4689E"/>
    <w:rsid w:val="31D131B1"/>
    <w:rsid w:val="31D24FAF"/>
    <w:rsid w:val="31D313C1"/>
    <w:rsid w:val="31D461CB"/>
    <w:rsid w:val="31D6130B"/>
    <w:rsid w:val="31D94D67"/>
    <w:rsid w:val="31DB77F4"/>
    <w:rsid w:val="31E41CE9"/>
    <w:rsid w:val="31E97034"/>
    <w:rsid w:val="31EE432D"/>
    <w:rsid w:val="31EE5D1E"/>
    <w:rsid w:val="31F51F83"/>
    <w:rsid w:val="31F9640B"/>
    <w:rsid w:val="32025966"/>
    <w:rsid w:val="320C72F5"/>
    <w:rsid w:val="320F63B0"/>
    <w:rsid w:val="32112FAA"/>
    <w:rsid w:val="32136105"/>
    <w:rsid w:val="32172781"/>
    <w:rsid w:val="321C5A6E"/>
    <w:rsid w:val="32201A4B"/>
    <w:rsid w:val="3221387D"/>
    <w:rsid w:val="32262752"/>
    <w:rsid w:val="322A0F0A"/>
    <w:rsid w:val="322C7916"/>
    <w:rsid w:val="322D5E7C"/>
    <w:rsid w:val="32300AE3"/>
    <w:rsid w:val="32352B2A"/>
    <w:rsid w:val="323D6795"/>
    <w:rsid w:val="323F7C74"/>
    <w:rsid w:val="3243100D"/>
    <w:rsid w:val="32433B6F"/>
    <w:rsid w:val="32460A89"/>
    <w:rsid w:val="32484CAD"/>
    <w:rsid w:val="324A5552"/>
    <w:rsid w:val="324B105B"/>
    <w:rsid w:val="324C59E5"/>
    <w:rsid w:val="324F4212"/>
    <w:rsid w:val="32506E1A"/>
    <w:rsid w:val="325532A1"/>
    <w:rsid w:val="32576DAB"/>
    <w:rsid w:val="325E1FE9"/>
    <w:rsid w:val="326508B8"/>
    <w:rsid w:val="32666DBF"/>
    <w:rsid w:val="326B2D4F"/>
    <w:rsid w:val="327120FD"/>
    <w:rsid w:val="32724DD0"/>
    <w:rsid w:val="32747A0C"/>
    <w:rsid w:val="327C3161"/>
    <w:rsid w:val="328149A3"/>
    <w:rsid w:val="328305A1"/>
    <w:rsid w:val="328714F2"/>
    <w:rsid w:val="32896667"/>
    <w:rsid w:val="328C597A"/>
    <w:rsid w:val="328D140E"/>
    <w:rsid w:val="32923106"/>
    <w:rsid w:val="32927883"/>
    <w:rsid w:val="32943192"/>
    <w:rsid w:val="32963D0B"/>
    <w:rsid w:val="329B1127"/>
    <w:rsid w:val="329C1497"/>
    <w:rsid w:val="329C70A7"/>
    <w:rsid w:val="32A04363"/>
    <w:rsid w:val="32A21307"/>
    <w:rsid w:val="32A2751F"/>
    <w:rsid w:val="32A36CF8"/>
    <w:rsid w:val="32A637C3"/>
    <w:rsid w:val="32AB2210"/>
    <w:rsid w:val="32B25BB9"/>
    <w:rsid w:val="32BB192E"/>
    <w:rsid w:val="32BC53E5"/>
    <w:rsid w:val="32C17CBF"/>
    <w:rsid w:val="32C246EB"/>
    <w:rsid w:val="32C655B4"/>
    <w:rsid w:val="32C75B5F"/>
    <w:rsid w:val="32C957DF"/>
    <w:rsid w:val="32CB07E6"/>
    <w:rsid w:val="32CB57BE"/>
    <w:rsid w:val="32D47796"/>
    <w:rsid w:val="32DE1F01"/>
    <w:rsid w:val="32E73820"/>
    <w:rsid w:val="32E80292"/>
    <w:rsid w:val="32E93B15"/>
    <w:rsid w:val="32E94445"/>
    <w:rsid w:val="32F83113"/>
    <w:rsid w:val="32FF4D8B"/>
    <w:rsid w:val="33011A69"/>
    <w:rsid w:val="3305005D"/>
    <w:rsid w:val="330543B6"/>
    <w:rsid w:val="33055DAA"/>
    <w:rsid w:val="330752D5"/>
    <w:rsid w:val="330F59ED"/>
    <w:rsid w:val="33100956"/>
    <w:rsid w:val="33100D42"/>
    <w:rsid w:val="331142DB"/>
    <w:rsid w:val="3313500E"/>
    <w:rsid w:val="331C677F"/>
    <w:rsid w:val="331F4732"/>
    <w:rsid w:val="331F61ED"/>
    <w:rsid w:val="33244797"/>
    <w:rsid w:val="332A457E"/>
    <w:rsid w:val="332A52E9"/>
    <w:rsid w:val="332B790A"/>
    <w:rsid w:val="332C4665"/>
    <w:rsid w:val="33362A19"/>
    <w:rsid w:val="333F0CA1"/>
    <w:rsid w:val="33410219"/>
    <w:rsid w:val="334E0C6A"/>
    <w:rsid w:val="335072D3"/>
    <w:rsid w:val="33521F74"/>
    <w:rsid w:val="335B4E71"/>
    <w:rsid w:val="33616C57"/>
    <w:rsid w:val="33676BE8"/>
    <w:rsid w:val="336B4FE8"/>
    <w:rsid w:val="336C3BFA"/>
    <w:rsid w:val="336F26D3"/>
    <w:rsid w:val="337155D1"/>
    <w:rsid w:val="3374083D"/>
    <w:rsid w:val="3376255B"/>
    <w:rsid w:val="33766BFC"/>
    <w:rsid w:val="337753F2"/>
    <w:rsid w:val="33807856"/>
    <w:rsid w:val="3386714C"/>
    <w:rsid w:val="338B331E"/>
    <w:rsid w:val="338D68D4"/>
    <w:rsid w:val="339616AF"/>
    <w:rsid w:val="33964F33"/>
    <w:rsid w:val="33A014A7"/>
    <w:rsid w:val="33A132C4"/>
    <w:rsid w:val="33A96F76"/>
    <w:rsid w:val="33AA3261"/>
    <w:rsid w:val="33AB3695"/>
    <w:rsid w:val="33B679E6"/>
    <w:rsid w:val="33BB5097"/>
    <w:rsid w:val="33C259F7"/>
    <w:rsid w:val="33C42C13"/>
    <w:rsid w:val="33CA4643"/>
    <w:rsid w:val="33CB5E7D"/>
    <w:rsid w:val="33D23D23"/>
    <w:rsid w:val="33DC136A"/>
    <w:rsid w:val="33E23D2D"/>
    <w:rsid w:val="33EE1530"/>
    <w:rsid w:val="33F228EE"/>
    <w:rsid w:val="33F73CD2"/>
    <w:rsid w:val="34063737"/>
    <w:rsid w:val="34066A78"/>
    <w:rsid w:val="34067069"/>
    <w:rsid w:val="34067B15"/>
    <w:rsid w:val="340B25F3"/>
    <w:rsid w:val="340D03F4"/>
    <w:rsid w:val="340E0074"/>
    <w:rsid w:val="340F666C"/>
    <w:rsid w:val="3419008A"/>
    <w:rsid w:val="34196405"/>
    <w:rsid w:val="341B4A17"/>
    <w:rsid w:val="341B518C"/>
    <w:rsid w:val="3420339F"/>
    <w:rsid w:val="3423601B"/>
    <w:rsid w:val="34250697"/>
    <w:rsid w:val="34272FA0"/>
    <w:rsid w:val="342A745F"/>
    <w:rsid w:val="342E45B4"/>
    <w:rsid w:val="342E63AB"/>
    <w:rsid w:val="34321F87"/>
    <w:rsid w:val="34326EAB"/>
    <w:rsid w:val="34370EC1"/>
    <w:rsid w:val="34385E72"/>
    <w:rsid w:val="343C0075"/>
    <w:rsid w:val="34410298"/>
    <w:rsid w:val="34432ACD"/>
    <w:rsid w:val="34470715"/>
    <w:rsid w:val="344843C8"/>
    <w:rsid w:val="344965DF"/>
    <w:rsid w:val="345420AB"/>
    <w:rsid w:val="34630E03"/>
    <w:rsid w:val="34650A83"/>
    <w:rsid w:val="3467046B"/>
    <w:rsid w:val="346F6E14"/>
    <w:rsid w:val="34700DD0"/>
    <w:rsid w:val="347A51A5"/>
    <w:rsid w:val="34800716"/>
    <w:rsid w:val="34817A6C"/>
    <w:rsid w:val="34856DB9"/>
    <w:rsid w:val="3486068A"/>
    <w:rsid w:val="348727FE"/>
    <w:rsid w:val="34895B74"/>
    <w:rsid w:val="348A3241"/>
    <w:rsid w:val="348D317A"/>
    <w:rsid w:val="348E37BD"/>
    <w:rsid w:val="348F514A"/>
    <w:rsid w:val="349172CB"/>
    <w:rsid w:val="34945722"/>
    <w:rsid w:val="34963420"/>
    <w:rsid w:val="349A34DB"/>
    <w:rsid w:val="349D4154"/>
    <w:rsid w:val="349E665E"/>
    <w:rsid w:val="34A621C1"/>
    <w:rsid w:val="34A71EC2"/>
    <w:rsid w:val="34B0488C"/>
    <w:rsid w:val="34B35ACA"/>
    <w:rsid w:val="34BC1492"/>
    <w:rsid w:val="34CA7575"/>
    <w:rsid w:val="34CD41FF"/>
    <w:rsid w:val="34D05ACE"/>
    <w:rsid w:val="34D15BB4"/>
    <w:rsid w:val="34D35962"/>
    <w:rsid w:val="34DA17CB"/>
    <w:rsid w:val="34DC77C8"/>
    <w:rsid w:val="34E451BE"/>
    <w:rsid w:val="34E65B59"/>
    <w:rsid w:val="34EE0591"/>
    <w:rsid w:val="34F1307D"/>
    <w:rsid w:val="34F13EEA"/>
    <w:rsid w:val="34F23B6A"/>
    <w:rsid w:val="34F5144B"/>
    <w:rsid w:val="34F73DA5"/>
    <w:rsid w:val="34F776BD"/>
    <w:rsid w:val="34F921FF"/>
    <w:rsid w:val="3500602E"/>
    <w:rsid w:val="3506686F"/>
    <w:rsid w:val="3507028C"/>
    <w:rsid w:val="3511301D"/>
    <w:rsid w:val="35121EA0"/>
    <w:rsid w:val="351471EE"/>
    <w:rsid w:val="351D0231"/>
    <w:rsid w:val="351E2C7D"/>
    <w:rsid w:val="35224016"/>
    <w:rsid w:val="352572A0"/>
    <w:rsid w:val="35274FFD"/>
    <w:rsid w:val="352765C3"/>
    <w:rsid w:val="35293EDF"/>
    <w:rsid w:val="35324954"/>
    <w:rsid w:val="35370773"/>
    <w:rsid w:val="35380D01"/>
    <w:rsid w:val="35396AEA"/>
    <w:rsid w:val="353D6568"/>
    <w:rsid w:val="354748F9"/>
    <w:rsid w:val="355077E9"/>
    <w:rsid w:val="3554290A"/>
    <w:rsid w:val="35562DF8"/>
    <w:rsid w:val="355B45E7"/>
    <w:rsid w:val="355E0C9B"/>
    <w:rsid w:val="355F6215"/>
    <w:rsid w:val="35606D1E"/>
    <w:rsid w:val="35663E86"/>
    <w:rsid w:val="35710143"/>
    <w:rsid w:val="357242B6"/>
    <w:rsid w:val="35775868"/>
    <w:rsid w:val="35780FDE"/>
    <w:rsid w:val="357D07D3"/>
    <w:rsid w:val="357E6FD1"/>
    <w:rsid w:val="358328DC"/>
    <w:rsid w:val="358763D3"/>
    <w:rsid w:val="35912255"/>
    <w:rsid w:val="35913A18"/>
    <w:rsid w:val="35946F77"/>
    <w:rsid w:val="359A5A6A"/>
    <w:rsid w:val="359E5308"/>
    <w:rsid w:val="35A22B71"/>
    <w:rsid w:val="35A4505D"/>
    <w:rsid w:val="35A6792E"/>
    <w:rsid w:val="35AA3319"/>
    <w:rsid w:val="35AF2850"/>
    <w:rsid w:val="35B01C7C"/>
    <w:rsid w:val="35B21E2A"/>
    <w:rsid w:val="35B2694A"/>
    <w:rsid w:val="35BB0E3E"/>
    <w:rsid w:val="35BD4D66"/>
    <w:rsid w:val="35C032BE"/>
    <w:rsid w:val="35C85B68"/>
    <w:rsid w:val="35D579E0"/>
    <w:rsid w:val="35DB0460"/>
    <w:rsid w:val="35DF5ABD"/>
    <w:rsid w:val="35E05D71"/>
    <w:rsid w:val="35E10D82"/>
    <w:rsid w:val="35EF4834"/>
    <w:rsid w:val="35F55D16"/>
    <w:rsid w:val="35F93263"/>
    <w:rsid w:val="35FB3F9B"/>
    <w:rsid w:val="35FD0EDD"/>
    <w:rsid w:val="3600713C"/>
    <w:rsid w:val="36027447"/>
    <w:rsid w:val="360E74F8"/>
    <w:rsid w:val="360F461D"/>
    <w:rsid w:val="36167A24"/>
    <w:rsid w:val="36173CCD"/>
    <w:rsid w:val="36191E58"/>
    <w:rsid w:val="361D793A"/>
    <w:rsid w:val="36234B93"/>
    <w:rsid w:val="3627770E"/>
    <w:rsid w:val="362C03EF"/>
    <w:rsid w:val="362D1F71"/>
    <w:rsid w:val="363354ED"/>
    <w:rsid w:val="363518F3"/>
    <w:rsid w:val="36366780"/>
    <w:rsid w:val="36386400"/>
    <w:rsid w:val="36392905"/>
    <w:rsid w:val="36442DCA"/>
    <w:rsid w:val="36443767"/>
    <w:rsid w:val="36446142"/>
    <w:rsid w:val="36463D0C"/>
    <w:rsid w:val="364831B6"/>
    <w:rsid w:val="364C2F6F"/>
    <w:rsid w:val="364D63A5"/>
    <w:rsid w:val="36523D84"/>
    <w:rsid w:val="36570225"/>
    <w:rsid w:val="365D232A"/>
    <w:rsid w:val="365D68D7"/>
    <w:rsid w:val="3661217C"/>
    <w:rsid w:val="36632192"/>
    <w:rsid w:val="36687231"/>
    <w:rsid w:val="366C11DA"/>
    <w:rsid w:val="366C6904"/>
    <w:rsid w:val="366D0E58"/>
    <w:rsid w:val="366D46DB"/>
    <w:rsid w:val="367134E1"/>
    <w:rsid w:val="367253C2"/>
    <w:rsid w:val="36740517"/>
    <w:rsid w:val="367C57B5"/>
    <w:rsid w:val="36820DFD"/>
    <w:rsid w:val="368C4C5D"/>
    <w:rsid w:val="368C51A8"/>
    <w:rsid w:val="368E2978"/>
    <w:rsid w:val="36903146"/>
    <w:rsid w:val="3699519F"/>
    <w:rsid w:val="36A43530"/>
    <w:rsid w:val="36A46DB4"/>
    <w:rsid w:val="36A57D7D"/>
    <w:rsid w:val="36AC7A6D"/>
    <w:rsid w:val="36B77D07"/>
    <w:rsid w:val="36C04651"/>
    <w:rsid w:val="36C252BE"/>
    <w:rsid w:val="36C333F4"/>
    <w:rsid w:val="36C84394"/>
    <w:rsid w:val="36CD3E36"/>
    <w:rsid w:val="36D3462E"/>
    <w:rsid w:val="36D66D60"/>
    <w:rsid w:val="36E47B9D"/>
    <w:rsid w:val="36E5781D"/>
    <w:rsid w:val="36E83285"/>
    <w:rsid w:val="36EA7AE0"/>
    <w:rsid w:val="36F05BAE"/>
    <w:rsid w:val="36F65620"/>
    <w:rsid w:val="36FA584F"/>
    <w:rsid w:val="36FB3F3F"/>
    <w:rsid w:val="36FE3D0C"/>
    <w:rsid w:val="36FE5BC6"/>
    <w:rsid w:val="37006C54"/>
    <w:rsid w:val="3701625C"/>
    <w:rsid w:val="370252F8"/>
    <w:rsid w:val="370522D0"/>
    <w:rsid w:val="37055B53"/>
    <w:rsid w:val="37075AFC"/>
    <w:rsid w:val="37083929"/>
    <w:rsid w:val="371D59DE"/>
    <w:rsid w:val="372063C7"/>
    <w:rsid w:val="37253E8A"/>
    <w:rsid w:val="37290825"/>
    <w:rsid w:val="372E3E9E"/>
    <w:rsid w:val="37315D04"/>
    <w:rsid w:val="37327BF0"/>
    <w:rsid w:val="373341E1"/>
    <w:rsid w:val="37376A77"/>
    <w:rsid w:val="37385CA7"/>
    <w:rsid w:val="373B05AC"/>
    <w:rsid w:val="373B05D6"/>
    <w:rsid w:val="373C022C"/>
    <w:rsid w:val="374A3B31"/>
    <w:rsid w:val="374D4C84"/>
    <w:rsid w:val="3751494E"/>
    <w:rsid w:val="375201D1"/>
    <w:rsid w:val="375451E9"/>
    <w:rsid w:val="37563B10"/>
    <w:rsid w:val="37587D59"/>
    <w:rsid w:val="375C4DF5"/>
    <w:rsid w:val="375C6562"/>
    <w:rsid w:val="375D243E"/>
    <w:rsid w:val="376748F3"/>
    <w:rsid w:val="3768299E"/>
    <w:rsid w:val="37712C84"/>
    <w:rsid w:val="37752110"/>
    <w:rsid w:val="378013B0"/>
    <w:rsid w:val="37910FBB"/>
    <w:rsid w:val="379240D3"/>
    <w:rsid w:val="379419BE"/>
    <w:rsid w:val="379463C7"/>
    <w:rsid w:val="379A4D5C"/>
    <w:rsid w:val="379D6FCC"/>
    <w:rsid w:val="37A63980"/>
    <w:rsid w:val="37A80BE0"/>
    <w:rsid w:val="37A8535D"/>
    <w:rsid w:val="37A92A75"/>
    <w:rsid w:val="37AE33AB"/>
    <w:rsid w:val="37B03DE9"/>
    <w:rsid w:val="37B24800"/>
    <w:rsid w:val="37B36F71"/>
    <w:rsid w:val="37B40D3F"/>
    <w:rsid w:val="37B66F4E"/>
    <w:rsid w:val="37B85359"/>
    <w:rsid w:val="37C036A0"/>
    <w:rsid w:val="37C17446"/>
    <w:rsid w:val="37C83693"/>
    <w:rsid w:val="37CA3313"/>
    <w:rsid w:val="37CA3A85"/>
    <w:rsid w:val="37CD4314"/>
    <w:rsid w:val="37D0499D"/>
    <w:rsid w:val="37D85E27"/>
    <w:rsid w:val="37DC1B12"/>
    <w:rsid w:val="37DE5077"/>
    <w:rsid w:val="37E15E2C"/>
    <w:rsid w:val="37E27C87"/>
    <w:rsid w:val="37E31B55"/>
    <w:rsid w:val="37EA1649"/>
    <w:rsid w:val="37EB7B3F"/>
    <w:rsid w:val="37F354B3"/>
    <w:rsid w:val="37F479DA"/>
    <w:rsid w:val="37F73BE4"/>
    <w:rsid w:val="37F861AA"/>
    <w:rsid w:val="38075631"/>
    <w:rsid w:val="380940FC"/>
    <w:rsid w:val="380B556F"/>
    <w:rsid w:val="380E46A6"/>
    <w:rsid w:val="380F06C5"/>
    <w:rsid w:val="380F2A9D"/>
    <w:rsid w:val="380F3995"/>
    <w:rsid w:val="38114B6F"/>
    <w:rsid w:val="38176D9A"/>
    <w:rsid w:val="3818061B"/>
    <w:rsid w:val="381C789A"/>
    <w:rsid w:val="381F40A2"/>
    <w:rsid w:val="38234568"/>
    <w:rsid w:val="38234EE4"/>
    <w:rsid w:val="382523EF"/>
    <w:rsid w:val="38254440"/>
    <w:rsid w:val="382B20B3"/>
    <w:rsid w:val="382F44F2"/>
    <w:rsid w:val="384B03E9"/>
    <w:rsid w:val="384D2E3D"/>
    <w:rsid w:val="38534CB0"/>
    <w:rsid w:val="38564A61"/>
    <w:rsid w:val="38590719"/>
    <w:rsid w:val="385E237B"/>
    <w:rsid w:val="3860038E"/>
    <w:rsid w:val="38604B0B"/>
    <w:rsid w:val="38651E49"/>
    <w:rsid w:val="386540E6"/>
    <w:rsid w:val="386B4F3E"/>
    <w:rsid w:val="386C6192"/>
    <w:rsid w:val="38764AB1"/>
    <w:rsid w:val="3877032B"/>
    <w:rsid w:val="38774730"/>
    <w:rsid w:val="387959D9"/>
    <w:rsid w:val="387C14B1"/>
    <w:rsid w:val="387D2EE1"/>
    <w:rsid w:val="387D5D44"/>
    <w:rsid w:val="38822AC1"/>
    <w:rsid w:val="388A3294"/>
    <w:rsid w:val="388B358C"/>
    <w:rsid w:val="388C0E52"/>
    <w:rsid w:val="389265DF"/>
    <w:rsid w:val="3899556B"/>
    <w:rsid w:val="3899736E"/>
    <w:rsid w:val="389C3AE5"/>
    <w:rsid w:val="38A1172B"/>
    <w:rsid w:val="38A20DF8"/>
    <w:rsid w:val="38A34E62"/>
    <w:rsid w:val="38A72D01"/>
    <w:rsid w:val="38B2501B"/>
    <w:rsid w:val="38B5553F"/>
    <w:rsid w:val="38B84E54"/>
    <w:rsid w:val="38BC65C7"/>
    <w:rsid w:val="38C2712E"/>
    <w:rsid w:val="38C63620"/>
    <w:rsid w:val="38C638D9"/>
    <w:rsid w:val="38CC54BF"/>
    <w:rsid w:val="38CD51C5"/>
    <w:rsid w:val="38CE47A0"/>
    <w:rsid w:val="38D02F96"/>
    <w:rsid w:val="38D34580"/>
    <w:rsid w:val="38D5745B"/>
    <w:rsid w:val="38D834D0"/>
    <w:rsid w:val="38D838C5"/>
    <w:rsid w:val="38D91C00"/>
    <w:rsid w:val="38DB4207"/>
    <w:rsid w:val="38DB7683"/>
    <w:rsid w:val="38E12C8E"/>
    <w:rsid w:val="38E2185F"/>
    <w:rsid w:val="38E31861"/>
    <w:rsid w:val="38E601EA"/>
    <w:rsid w:val="38E61ED3"/>
    <w:rsid w:val="38E8400E"/>
    <w:rsid w:val="38EE6FD2"/>
    <w:rsid w:val="38F23435"/>
    <w:rsid w:val="38F56527"/>
    <w:rsid w:val="38FF0935"/>
    <w:rsid w:val="39061E98"/>
    <w:rsid w:val="39072AEB"/>
    <w:rsid w:val="390753AD"/>
    <w:rsid w:val="390A0FF9"/>
    <w:rsid w:val="390C1ABB"/>
    <w:rsid w:val="390C2DAF"/>
    <w:rsid w:val="390C3E2A"/>
    <w:rsid w:val="390E00C7"/>
    <w:rsid w:val="390E5F29"/>
    <w:rsid w:val="39185CF2"/>
    <w:rsid w:val="391A32EF"/>
    <w:rsid w:val="39255B4E"/>
    <w:rsid w:val="392578E9"/>
    <w:rsid w:val="392744DA"/>
    <w:rsid w:val="392A3BC0"/>
    <w:rsid w:val="392D63BC"/>
    <w:rsid w:val="393121A8"/>
    <w:rsid w:val="39315EF0"/>
    <w:rsid w:val="39350868"/>
    <w:rsid w:val="393944CD"/>
    <w:rsid w:val="393B54D8"/>
    <w:rsid w:val="39440601"/>
    <w:rsid w:val="3949535D"/>
    <w:rsid w:val="394E2233"/>
    <w:rsid w:val="394F2215"/>
    <w:rsid w:val="395069C7"/>
    <w:rsid w:val="395123E3"/>
    <w:rsid w:val="39523BB7"/>
    <w:rsid w:val="39547C92"/>
    <w:rsid w:val="395F52F6"/>
    <w:rsid w:val="39601FCB"/>
    <w:rsid w:val="396544B4"/>
    <w:rsid w:val="396669E9"/>
    <w:rsid w:val="39670D0C"/>
    <w:rsid w:val="39691D6E"/>
    <w:rsid w:val="39700465"/>
    <w:rsid w:val="39706F67"/>
    <w:rsid w:val="39762C45"/>
    <w:rsid w:val="39765050"/>
    <w:rsid w:val="397B655D"/>
    <w:rsid w:val="397D17E6"/>
    <w:rsid w:val="39820760"/>
    <w:rsid w:val="39882DF5"/>
    <w:rsid w:val="398B61A7"/>
    <w:rsid w:val="39902C7F"/>
    <w:rsid w:val="39924099"/>
    <w:rsid w:val="399668A5"/>
    <w:rsid w:val="399B1010"/>
    <w:rsid w:val="399B4893"/>
    <w:rsid w:val="399B5EE0"/>
    <w:rsid w:val="39A607FB"/>
    <w:rsid w:val="39A62C24"/>
    <w:rsid w:val="39AC14DC"/>
    <w:rsid w:val="39AC6DB8"/>
    <w:rsid w:val="39AD08EF"/>
    <w:rsid w:val="39B10FB5"/>
    <w:rsid w:val="39B36A84"/>
    <w:rsid w:val="39B551ED"/>
    <w:rsid w:val="39BB2F51"/>
    <w:rsid w:val="39C75357"/>
    <w:rsid w:val="39CC62B8"/>
    <w:rsid w:val="39CE1972"/>
    <w:rsid w:val="39D236E8"/>
    <w:rsid w:val="39D43236"/>
    <w:rsid w:val="39D43382"/>
    <w:rsid w:val="39D80E75"/>
    <w:rsid w:val="39E46E64"/>
    <w:rsid w:val="39E51494"/>
    <w:rsid w:val="39E7368D"/>
    <w:rsid w:val="39EA24AC"/>
    <w:rsid w:val="39F252A2"/>
    <w:rsid w:val="39F35953"/>
    <w:rsid w:val="39F606B3"/>
    <w:rsid w:val="39F840E8"/>
    <w:rsid w:val="39FB2497"/>
    <w:rsid w:val="39FC31E2"/>
    <w:rsid w:val="3A053065"/>
    <w:rsid w:val="3A0719C4"/>
    <w:rsid w:val="3A1204A1"/>
    <w:rsid w:val="3A127D55"/>
    <w:rsid w:val="3A1379D5"/>
    <w:rsid w:val="3A154B56"/>
    <w:rsid w:val="3A1831C8"/>
    <w:rsid w:val="3A1B67E7"/>
    <w:rsid w:val="3A217D35"/>
    <w:rsid w:val="3A221E2F"/>
    <w:rsid w:val="3A230F6F"/>
    <w:rsid w:val="3A2B493E"/>
    <w:rsid w:val="3A346B2C"/>
    <w:rsid w:val="3A3968AD"/>
    <w:rsid w:val="3A3A263C"/>
    <w:rsid w:val="3A3E409C"/>
    <w:rsid w:val="3A3F285A"/>
    <w:rsid w:val="3A492EE4"/>
    <w:rsid w:val="3A49315D"/>
    <w:rsid w:val="3A4F0436"/>
    <w:rsid w:val="3A512889"/>
    <w:rsid w:val="3A515FFA"/>
    <w:rsid w:val="3A5329E2"/>
    <w:rsid w:val="3A537A35"/>
    <w:rsid w:val="3A5A0322"/>
    <w:rsid w:val="3A5E23D3"/>
    <w:rsid w:val="3A5F46C8"/>
    <w:rsid w:val="3A660BFD"/>
    <w:rsid w:val="3A67112B"/>
    <w:rsid w:val="3A690764"/>
    <w:rsid w:val="3A7326F1"/>
    <w:rsid w:val="3A756774"/>
    <w:rsid w:val="3A7B2990"/>
    <w:rsid w:val="3A7F09EA"/>
    <w:rsid w:val="3A800389"/>
    <w:rsid w:val="3A8B6DD9"/>
    <w:rsid w:val="3A8C78FD"/>
    <w:rsid w:val="3A8F5A03"/>
    <w:rsid w:val="3A955800"/>
    <w:rsid w:val="3A9959F8"/>
    <w:rsid w:val="3A9F535A"/>
    <w:rsid w:val="3AA12ABC"/>
    <w:rsid w:val="3AA161E5"/>
    <w:rsid w:val="3AA46556"/>
    <w:rsid w:val="3AAC0C06"/>
    <w:rsid w:val="3AAC4B58"/>
    <w:rsid w:val="3AAE0871"/>
    <w:rsid w:val="3AB47046"/>
    <w:rsid w:val="3AB934BA"/>
    <w:rsid w:val="3ABB4A98"/>
    <w:rsid w:val="3ABF0B76"/>
    <w:rsid w:val="3ABF1172"/>
    <w:rsid w:val="3AC366C3"/>
    <w:rsid w:val="3AC3760E"/>
    <w:rsid w:val="3ACB1A7F"/>
    <w:rsid w:val="3AD60D98"/>
    <w:rsid w:val="3AD65514"/>
    <w:rsid w:val="3AE120AD"/>
    <w:rsid w:val="3AE138A5"/>
    <w:rsid w:val="3AE17129"/>
    <w:rsid w:val="3AE532CF"/>
    <w:rsid w:val="3AED028D"/>
    <w:rsid w:val="3AF6384B"/>
    <w:rsid w:val="3AF811CC"/>
    <w:rsid w:val="3AFB3AFA"/>
    <w:rsid w:val="3AFD4B0E"/>
    <w:rsid w:val="3B045974"/>
    <w:rsid w:val="3B15284D"/>
    <w:rsid w:val="3B181801"/>
    <w:rsid w:val="3B1828CE"/>
    <w:rsid w:val="3B1C2AD4"/>
    <w:rsid w:val="3B1C77B9"/>
    <w:rsid w:val="3B2D5F23"/>
    <w:rsid w:val="3B2D6BA9"/>
    <w:rsid w:val="3B2F4BA1"/>
    <w:rsid w:val="3B3054D4"/>
    <w:rsid w:val="3B36375E"/>
    <w:rsid w:val="3B3742B4"/>
    <w:rsid w:val="3B396766"/>
    <w:rsid w:val="3B3C308E"/>
    <w:rsid w:val="3B3C3415"/>
    <w:rsid w:val="3B4413D5"/>
    <w:rsid w:val="3B461577"/>
    <w:rsid w:val="3B4624B9"/>
    <w:rsid w:val="3B470BCD"/>
    <w:rsid w:val="3B4A69C9"/>
    <w:rsid w:val="3B4E3ED9"/>
    <w:rsid w:val="3B504A00"/>
    <w:rsid w:val="3B527D17"/>
    <w:rsid w:val="3B54214F"/>
    <w:rsid w:val="3B601261"/>
    <w:rsid w:val="3B601D69"/>
    <w:rsid w:val="3B605CFC"/>
    <w:rsid w:val="3B610921"/>
    <w:rsid w:val="3B6405FB"/>
    <w:rsid w:val="3B692B31"/>
    <w:rsid w:val="3B6C3EB3"/>
    <w:rsid w:val="3B6E698C"/>
    <w:rsid w:val="3B724733"/>
    <w:rsid w:val="3B761B56"/>
    <w:rsid w:val="3B7905A1"/>
    <w:rsid w:val="3B7C2623"/>
    <w:rsid w:val="3B80172C"/>
    <w:rsid w:val="3B827AFB"/>
    <w:rsid w:val="3B846932"/>
    <w:rsid w:val="3B854273"/>
    <w:rsid w:val="3B887DC8"/>
    <w:rsid w:val="3B8E0546"/>
    <w:rsid w:val="3B8E4CC3"/>
    <w:rsid w:val="3B900C03"/>
    <w:rsid w:val="3B942EFA"/>
    <w:rsid w:val="3B967189"/>
    <w:rsid w:val="3B9968D7"/>
    <w:rsid w:val="3B9977D9"/>
    <w:rsid w:val="3BA548E8"/>
    <w:rsid w:val="3BA63CDF"/>
    <w:rsid w:val="3BB02C79"/>
    <w:rsid w:val="3BB54C26"/>
    <w:rsid w:val="3BBA100A"/>
    <w:rsid w:val="3BBA5F7E"/>
    <w:rsid w:val="3BC36ED8"/>
    <w:rsid w:val="3BC52C1E"/>
    <w:rsid w:val="3BC5739B"/>
    <w:rsid w:val="3BC602A7"/>
    <w:rsid w:val="3BC753A6"/>
    <w:rsid w:val="3BCC4556"/>
    <w:rsid w:val="3BD230B1"/>
    <w:rsid w:val="3BD61AA3"/>
    <w:rsid w:val="3BD77763"/>
    <w:rsid w:val="3BDF54E6"/>
    <w:rsid w:val="3BE13B62"/>
    <w:rsid w:val="3BE556D1"/>
    <w:rsid w:val="3BE6592A"/>
    <w:rsid w:val="3BE92B6C"/>
    <w:rsid w:val="3BEB5F2D"/>
    <w:rsid w:val="3BF42E05"/>
    <w:rsid w:val="3BF96855"/>
    <w:rsid w:val="3BFA7726"/>
    <w:rsid w:val="3BFD3363"/>
    <w:rsid w:val="3C043852"/>
    <w:rsid w:val="3C063688"/>
    <w:rsid w:val="3C096DA6"/>
    <w:rsid w:val="3C111A19"/>
    <w:rsid w:val="3C18118C"/>
    <w:rsid w:val="3C1C7DAA"/>
    <w:rsid w:val="3C2619BE"/>
    <w:rsid w:val="3C313EEC"/>
    <w:rsid w:val="3C35208B"/>
    <w:rsid w:val="3C395EF7"/>
    <w:rsid w:val="3C3D06E1"/>
    <w:rsid w:val="3C453FAD"/>
    <w:rsid w:val="3C464C8B"/>
    <w:rsid w:val="3C480592"/>
    <w:rsid w:val="3C48535E"/>
    <w:rsid w:val="3C4A2042"/>
    <w:rsid w:val="3C4E1EDE"/>
    <w:rsid w:val="3C4E4D6E"/>
    <w:rsid w:val="3C505710"/>
    <w:rsid w:val="3C54265F"/>
    <w:rsid w:val="3C5574FA"/>
    <w:rsid w:val="3C5D4096"/>
    <w:rsid w:val="3C6229DF"/>
    <w:rsid w:val="3C670058"/>
    <w:rsid w:val="3C682428"/>
    <w:rsid w:val="3C6E7BB4"/>
    <w:rsid w:val="3C7A51AB"/>
    <w:rsid w:val="3C7D23CD"/>
    <w:rsid w:val="3C852678"/>
    <w:rsid w:val="3C8D3DD5"/>
    <w:rsid w:val="3C926AEF"/>
    <w:rsid w:val="3C931C64"/>
    <w:rsid w:val="3C9421CA"/>
    <w:rsid w:val="3C991BC9"/>
    <w:rsid w:val="3C9C352D"/>
    <w:rsid w:val="3C9F4B00"/>
    <w:rsid w:val="3CA34B91"/>
    <w:rsid w:val="3CA43BDC"/>
    <w:rsid w:val="3CA96714"/>
    <w:rsid w:val="3CAE0AF0"/>
    <w:rsid w:val="3CB27163"/>
    <w:rsid w:val="3CB44AA5"/>
    <w:rsid w:val="3CB57C77"/>
    <w:rsid w:val="3CB65759"/>
    <w:rsid w:val="3CBA3057"/>
    <w:rsid w:val="3CBD70D8"/>
    <w:rsid w:val="3CC22D6C"/>
    <w:rsid w:val="3CC3178E"/>
    <w:rsid w:val="3CC94A4B"/>
    <w:rsid w:val="3CCA7E7E"/>
    <w:rsid w:val="3CCC5A08"/>
    <w:rsid w:val="3CCE6552"/>
    <w:rsid w:val="3CD023D1"/>
    <w:rsid w:val="3CD62518"/>
    <w:rsid w:val="3CEB717E"/>
    <w:rsid w:val="3CF541C7"/>
    <w:rsid w:val="3CF5550F"/>
    <w:rsid w:val="3CF60458"/>
    <w:rsid w:val="3CF60CAD"/>
    <w:rsid w:val="3CF63D0A"/>
    <w:rsid w:val="3CFF7238"/>
    <w:rsid w:val="3D002F53"/>
    <w:rsid w:val="3D007123"/>
    <w:rsid w:val="3D0B54B4"/>
    <w:rsid w:val="3D0F2F43"/>
    <w:rsid w:val="3D124D7F"/>
    <w:rsid w:val="3D136FC7"/>
    <w:rsid w:val="3D153845"/>
    <w:rsid w:val="3D163802"/>
    <w:rsid w:val="3D186640"/>
    <w:rsid w:val="3D192E54"/>
    <w:rsid w:val="3D1F6CD6"/>
    <w:rsid w:val="3D201BD6"/>
    <w:rsid w:val="3D205459"/>
    <w:rsid w:val="3D207BA9"/>
    <w:rsid w:val="3D247CA8"/>
    <w:rsid w:val="3D2B0AD7"/>
    <w:rsid w:val="3D2B37EA"/>
    <w:rsid w:val="3D2F43EF"/>
    <w:rsid w:val="3D305478"/>
    <w:rsid w:val="3D3301CE"/>
    <w:rsid w:val="3D351B7B"/>
    <w:rsid w:val="3D3679ED"/>
    <w:rsid w:val="3D3D559C"/>
    <w:rsid w:val="3D407F0C"/>
    <w:rsid w:val="3D434BEC"/>
    <w:rsid w:val="3D4555E8"/>
    <w:rsid w:val="3D4A69A7"/>
    <w:rsid w:val="3D4C259C"/>
    <w:rsid w:val="3D4D75A9"/>
    <w:rsid w:val="3D524314"/>
    <w:rsid w:val="3D596B41"/>
    <w:rsid w:val="3D5E4F88"/>
    <w:rsid w:val="3D61263F"/>
    <w:rsid w:val="3D6424AA"/>
    <w:rsid w:val="3D680201"/>
    <w:rsid w:val="3D6A68C9"/>
    <w:rsid w:val="3D6C0A6D"/>
    <w:rsid w:val="3D6C4254"/>
    <w:rsid w:val="3D6F4C79"/>
    <w:rsid w:val="3D71682E"/>
    <w:rsid w:val="3D801E74"/>
    <w:rsid w:val="3D8C258A"/>
    <w:rsid w:val="3D94517A"/>
    <w:rsid w:val="3D9A04AF"/>
    <w:rsid w:val="3D9D2E14"/>
    <w:rsid w:val="3D9D5D1F"/>
    <w:rsid w:val="3DA3692C"/>
    <w:rsid w:val="3DA72863"/>
    <w:rsid w:val="3DAD2DD0"/>
    <w:rsid w:val="3DAD4CBD"/>
    <w:rsid w:val="3DAF18D4"/>
    <w:rsid w:val="3DAF28FC"/>
    <w:rsid w:val="3DB95EC6"/>
    <w:rsid w:val="3DBA0855"/>
    <w:rsid w:val="3DBF3721"/>
    <w:rsid w:val="3DC34C62"/>
    <w:rsid w:val="3DC61AFD"/>
    <w:rsid w:val="3DC8395E"/>
    <w:rsid w:val="3DCD0478"/>
    <w:rsid w:val="3DCD2FF3"/>
    <w:rsid w:val="3DCF2C73"/>
    <w:rsid w:val="3DCF4FC5"/>
    <w:rsid w:val="3DD07D6B"/>
    <w:rsid w:val="3DD808D8"/>
    <w:rsid w:val="3DD963F9"/>
    <w:rsid w:val="3DE37EC9"/>
    <w:rsid w:val="3DE71DF7"/>
    <w:rsid w:val="3DEF1A38"/>
    <w:rsid w:val="3DF649E3"/>
    <w:rsid w:val="3E01134A"/>
    <w:rsid w:val="3E043D07"/>
    <w:rsid w:val="3E0456CC"/>
    <w:rsid w:val="3E064B9C"/>
    <w:rsid w:val="3E0F0CDE"/>
    <w:rsid w:val="3E1713D6"/>
    <w:rsid w:val="3E1A5671"/>
    <w:rsid w:val="3E1D39DC"/>
    <w:rsid w:val="3E210854"/>
    <w:rsid w:val="3E2A3DE3"/>
    <w:rsid w:val="3E301186"/>
    <w:rsid w:val="3E301A13"/>
    <w:rsid w:val="3E303A1F"/>
    <w:rsid w:val="3E321814"/>
    <w:rsid w:val="3E345A9D"/>
    <w:rsid w:val="3E3679FF"/>
    <w:rsid w:val="3E3A4503"/>
    <w:rsid w:val="3E41455E"/>
    <w:rsid w:val="3E430382"/>
    <w:rsid w:val="3E457154"/>
    <w:rsid w:val="3E4619B8"/>
    <w:rsid w:val="3E534551"/>
    <w:rsid w:val="3E54301B"/>
    <w:rsid w:val="3E585DFA"/>
    <w:rsid w:val="3E5B60DB"/>
    <w:rsid w:val="3E5E26FD"/>
    <w:rsid w:val="3E6227FE"/>
    <w:rsid w:val="3E625A54"/>
    <w:rsid w:val="3E647873"/>
    <w:rsid w:val="3E65446C"/>
    <w:rsid w:val="3E667CEF"/>
    <w:rsid w:val="3E6E7C95"/>
    <w:rsid w:val="3E706080"/>
    <w:rsid w:val="3E730BBA"/>
    <w:rsid w:val="3E750CCC"/>
    <w:rsid w:val="3E76595F"/>
    <w:rsid w:val="3E767AC5"/>
    <w:rsid w:val="3E7B6F01"/>
    <w:rsid w:val="3E830090"/>
    <w:rsid w:val="3E843743"/>
    <w:rsid w:val="3E8947F5"/>
    <w:rsid w:val="3E8A00C1"/>
    <w:rsid w:val="3E8B4D59"/>
    <w:rsid w:val="3E8B79BA"/>
    <w:rsid w:val="3E8C68AA"/>
    <w:rsid w:val="3E8F13F5"/>
    <w:rsid w:val="3E955890"/>
    <w:rsid w:val="3E97110B"/>
    <w:rsid w:val="3E973828"/>
    <w:rsid w:val="3E98302F"/>
    <w:rsid w:val="3EA70758"/>
    <w:rsid w:val="3EA92357"/>
    <w:rsid w:val="3EAA3114"/>
    <w:rsid w:val="3EB9707D"/>
    <w:rsid w:val="3EBA0FE6"/>
    <w:rsid w:val="3EBF06EA"/>
    <w:rsid w:val="3EC26248"/>
    <w:rsid w:val="3EC34027"/>
    <w:rsid w:val="3EC82457"/>
    <w:rsid w:val="3ED02A2D"/>
    <w:rsid w:val="3ED24E20"/>
    <w:rsid w:val="3ED3056A"/>
    <w:rsid w:val="3ED34AA0"/>
    <w:rsid w:val="3EDC7A25"/>
    <w:rsid w:val="3EDE2E31"/>
    <w:rsid w:val="3EE811C2"/>
    <w:rsid w:val="3EEC5735"/>
    <w:rsid w:val="3EF01F15"/>
    <w:rsid w:val="3EF32DD6"/>
    <w:rsid w:val="3EFB1464"/>
    <w:rsid w:val="3EFB5B62"/>
    <w:rsid w:val="3EFD5E26"/>
    <w:rsid w:val="3F095EA7"/>
    <w:rsid w:val="3F0B743B"/>
    <w:rsid w:val="3F0D20B8"/>
    <w:rsid w:val="3F0F3FBA"/>
    <w:rsid w:val="3F135889"/>
    <w:rsid w:val="3F1579D2"/>
    <w:rsid w:val="3F1652D8"/>
    <w:rsid w:val="3F186AD7"/>
    <w:rsid w:val="3F1D46D3"/>
    <w:rsid w:val="3F203F0B"/>
    <w:rsid w:val="3F223207"/>
    <w:rsid w:val="3F250887"/>
    <w:rsid w:val="3F28582E"/>
    <w:rsid w:val="3F2C2A62"/>
    <w:rsid w:val="3F2F08C2"/>
    <w:rsid w:val="3F30773D"/>
    <w:rsid w:val="3F34383F"/>
    <w:rsid w:val="3F3E429E"/>
    <w:rsid w:val="3F453306"/>
    <w:rsid w:val="3F4A37E5"/>
    <w:rsid w:val="3F4A7F61"/>
    <w:rsid w:val="3F4C2BD5"/>
    <w:rsid w:val="3F50036D"/>
    <w:rsid w:val="3F551B76"/>
    <w:rsid w:val="3F57010E"/>
    <w:rsid w:val="3F5C2AD1"/>
    <w:rsid w:val="3F5F7F07"/>
    <w:rsid w:val="3F62465E"/>
    <w:rsid w:val="3F654DAF"/>
    <w:rsid w:val="3F6822E1"/>
    <w:rsid w:val="3F6B4127"/>
    <w:rsid w:val="3F6B5F18"/>
    <w:rsid w:val="3F6E6BB0"/>
    <w:rsid w:val="3F6F17E8"/>
    <w:rsid w:val="3F7442C6"/>
    <w:rsid w:val="3F805704"/>
    <w:rsid w:val="3F815EBD"/>
    <w:rsid w:val="3F836A7D"/>
    <w:rsid w:val="3F867DC6"/>
    <w:rsid w:val="3F886A3E"/>
    <w:rsid w:val="3F8963AF"/>
    <w:rsid w:val="3F8B0F07"/>
    <w:rsid w:val="3F8B424E"/>
    <w:rsid w:val="3F8D1079"/>
    <w:rsid w:val="3F8E63CF"/>
    <w:rsid w:val="3F902B34"/>
    <w:rsid w:val="3F9625DF"/>
    <w:rsid w:val="3F9D5A87"/>
    <w:rsid w:val="3FA1014E"/>
    <w:rsid w:val="3FA141F3"/>
    <w:rsid w:val="3FAB2584"/>
    <w:rsid w:val="3FAF29B5"/>
    <w:rsid w:val="3FB709C4"/>
    <w:rsid w:val="3FBC43E2"/>
    <w:rsid w:val="3FBF4793"/>
    <w:rsid w:val="3FC06CA7"/>
    <w:rsid w:val="3FC26926"/>
    <w:rsid w:val="3FC55519"/>
    <w:rsid w:val="3FC9475C"/>
    <w:rsid w:val="3FCB0047"/>
    <w:rsid w:val="3FD020C9"/>
    <w:rsid w:val="3FD56AA6"/>
    <w:rsid w:val="3FD768CC"/>
    <w:rsid w:val="3FDF57F9"/>
    <w:rsid w:val="3FE24C5D"/>
    <w:rsid w:val="3FE43104"/>
    <w:rsid w:val="3FEB399F"/>
    <w:rsid w:val="3FF54D36"/>
    <w:rsid w:val="40003D44"/>
    <w:rsid w:val="40004F17"/>
    <w:rsid w:val="400159AA"/>
    <w:rsid w:val="40070029"/>
    <w:rsid w:val="40072878"/>
    <w:rsid w:val="400A2BDB"/>
    <w:rsid w:val="400D1324"/>
    <w:rsid w:val="400D3304"/>
    <w:rsid w:val="4015150C"/>
    <w:rsid w:val="40162027"/>
    <w:rsid w:val="401776B5"/>
    <w:rsid w:val="401E123E"/>
    <w:rsid w:val="401F2BAF"/>
    <w:rsid w:val="40203073"/>
    <w:rsid w:val="40215505"/>
    <w:rsid w:val="402356C6"/>
    <w:rsid w:val="402763F2"/>
    <w:rsid w:val="402E3A57"/>
    <w:rsid w:val="402E72DA"/>
    <w:rsid w:val="403124C5"/>
    <w:rsid w:val="40327E11"/>
    <w:rsid w:val="4034501D"/>
    <w:rsid w:val="4036519D"/>
    <w:rsid w:val="403906F3"/>
    <w:rsid w:val="4039566C"/>
    <w:rsid w:val="404339FD"/>
    <w:rsid w:val="40441C78"/>
    <w:rsid w:val="4046042E"/>
    <w:rsid w:val="404B688F"/>
    <w:rsid w:val="4055619E"/>
    <w:rsid w:val="40566EFB"/>
    <w:rsid w:val="40631D33"/>
    <w:rsid w:val="40645593"/>
    <w:rsid w:val="406B38BC"/>
    <w:rsid w:val="406C1459"/>
    <w:rsid w:val="406F6758"/>
    <w:rsid w:val="406F7D44"/>
    <w:rsid w:val="4073461A"/>
    <w:rsid w:val="40751F15"/>
    <w:rsid w:val="407752F1"/>
    <w:rsid w:val="40791A77"/>
    <w:rsid w:val="407C0AFF"/>
    <w:rsid w:val="4084664A"/>
    <w:rsid w:val="40854466"/>
    <w:rsid w:val="40884D82"/>
    <w:rsid w:val="408D05E2"/>
    <w:rsid w:val="408F607A"/>
    <w:rsid w:val="40940107"/>
    <w:rsid w:val="40943D3C"/>
    <w:rsid w:val="409A440B"/>
    <w:rsid w:val="409A63CA"/>
    <w:rsid w:val="409B5D3E"/>
    <w:rsid w:val="409F173B"/>
    <w:rsid w:val="40A67141"/>
    <w:rsid w:val="40AA46DB"/>
    <w:rsid w:val="40AD3F8F"/>
    <w:rsid w:val="40AE79D1"/>
    <w:rsid w:val="40BA0F09"/>
    <w:rsid w:val="40BA2742"/>
    <w:rsid w:val="40BC03BD"/>
    <w:rsid w:val="40BD4551"/>
    <w:rsid w:val="40BD4CEF"/>
    <w:rsid w:val="40BE4855"/>
    <w:rsid w:val="40BF3D5A"/>
    <w:rsid w:val="40C02FE5"/>
    <w:rsid w:val="40C513D8"/>
    <w:rsid w:val="40C537EB"/>
    <w:rsid w:val="40C60753"/>
    <w:rsid w:val="40C628D0"/>
    <w:rsid w:val="40D057D1"/>
    <w:rsid w:val="40DB4E75"/>
    <w:rsid w:val="40DC06F8"/>
    <w:rsid w:val="40DC650B"/>
    <w:rsid w:val="40DF621A"/>
    <w:rsid w:val="40E25492"/>
    <w:rsid w:val="40E263E6"/>
    <w:rsid w:val="40E349AA"/>
    <w:rsid w:val="40E36214"/>
    <w:rsid w:val="40E63206"/>
    <w:rsid w:val="40E66A89"/>
    <w:rsid w:val="40E87CDF"/>
    <w:rsid w:val="40E90E4E"/>
    <w:rsid w:val="40EB2337"/>
    <w:rsid w:val="40F045A5"/>
    <w:rsid w:val="40F469F7"/>
    <w:rsid w:val="40F771E7"/>
    <w:rsid w:val="40FB31AB"/>
    <w:rsid w:val="40FF186B"/>
    <w:rsid w:val="4102539C"/>
    <w:rsid w:val="41031933"/>
    <w:rsid w:val="410B07F9"/>
    <w:rsid w:val="410D3532"/>
    <w:rsid w:val="41116DD2"/>
    <w:rsid w:val="41130AB8"/>
    <w:rsid w:val="41141533"/>
    <w:rsid w:val="41173ABF"/>
    <w:rsid w:val="41173DC7"/>
    <w:rsid w:val="411B0E6C"/>
    <w:rsid w:val="411F7FB5"/>
    <w:rsid w:val="41231D6F"/>
    <w:rsid w:val="41272167"/>
    <w:rsid w:val="41277044"/>
    <w:rsid w:val="41277F2E"/>
    <w:rsid w:val="41282157"/>
    <w:rsid w:val="41285BE6"/>
    <w:rsid w:val="412874F2"/>
    <w:rsid w:val="41321107"/>
    <w:rsid w:val="41325883"/>
    <w:rsid w:val="41325F04"/>
    <w:rsid w:val="413B1710"/>
    <w:rsid w:val="413C780C"/>
    <w:rsid w:val="413D3C14"/>
    <w:rsid w:val="413D7498"/>
    <w:rsid w:val="41400329"/>
    <w:rsid w:val="414270B8"/>
    <w:rsid w:val="4144662E"/>
    <w:rsid w:val="414E282B"/>
    <w:rsid w:val="41523299"/>
    <w:rsid w:val="41523BBA"/>
    <w:rsid w:val="4156315A"/>
    <w:rsid w:val="415B5929"/>
    <w:rsid w:val="415C4504"/>
    <w:rsid w:val="415E1BCB"/>
    <w:rsid w:val="415E7247"/>
    <w:rsid w:val="4160300B"/>
    <w:rsid w:val="416751FF"/>
    <w:rsid w:val="41697F5C"/>
    <w:rsid w:val="416A7B09"/>
    <w:rsid w:val="41744147"/>
    <w:rsid w:val="417E7F01"/>
    <w:rsid w:val="41840C58"/>
    <w:rsid w:val="41841FC3"/>
    <w:rsid w:val="418725F6"/>
    <w:rsid w:val="41891B15"/>
    <w:rsid w:val="418D7707"/>
    <w:rsid w:val="418E1DC0"/>
    <w:rsid w:val="41947EA6"/>
    <w:rsid w:val="41980E21"/>
    <w:rsid w:val="419E6238"/>
    <w:rsid w:val="41B254BD"/>
    <w:rsid w:val="41B525D9"/>
    <w:rsid w:val="41B966A7"/>
    <w:rsid w:val="41B97D0B"/>
    <w:rsid w:val="41BB2D74"/>
    <w:rsid w:val="41C0692E"/>
    <w:rsid w:val="41C97E93"/>
    <w:rsid w:val="41CA257F"/>
    <w:rsid w:val="41CB6659"/>
    <w:rsid w:val="41CC181E"/>
    <w:rsid w:val="41CC3EE9"/>
    <w:rsid w:val="41CE1354"/>
    <w:rsid w:val="41D0125C"/>
    <w:rsid w:val="41D50910"/>
    <w:rsid w:val="41E06CA1"/>
    <w:rsid w:val="41E238FA"/>
    <w:rsid w:val="41E45E8A"/>
    <w:rsid w:val="41E73D28"/>
    <w:rsid w:val="41E96915"/>
    <w:rsid w:val="41EA5032"/>
    <w:rsid w:val="41EB0E56"/>
    <w:rsid w:val="41F0488D"/>
    <w:rsid w:val="41F135D8"/>
    <w:rsid w:val="41F56C46"/>
    <w:rsid w:val="41F85F82"/>
    <w:rsid w:val="41FC07CF"/>
    <w:rsid w:val="41FC6023"/>
    <w:rsid w:val="41FF0100"/>
    <w:rsid w:val="41FF08DD"/>
    <w:rsid w:val="41FF189D"/>
    <w:rsid w:val="42004FD7"/>
    <w:rsid w:val="42014C57"/>
    <w:rsid w:val="42021BD1"/>
    <w:rsid w:val="42024878"/>
    <w:rsid w:val="4203064F"/>
    <w:rsid w:val="4203441A"/>
    <w:rsid w:val="42074392"/>
    <w:rsid w:val="420836AA"/>
    <w:rsid w:val="420C2FE8"/>
    <w:rsid w:val="420E1A05"/>
    <w:rsid w:val="42156963"/>
    <w:rsid w:val="42212F8E"/>
    <w:rsid w:val="4221770A"/>
    <w:rsid w:val="42261018"/>
    <w:rsid w:val="422638ED"/>
    <w:rsid w:val="422C131F"/>
    <w:rsid w:val="422F4A56"/>
    <w:rsid w:val="42387FA2"/>
    <w:rsid w:val="42415A41"/>
    <w:rsid w:val="42431111"/>
    <w:rsid w:val="424B28EA"/>
    <w:rsid w:val="424F7E7E"/>
    <w:rsid w:val="42575A6A"/>
    <w:rsid w:val="425F7A5E"/>
    <w:rsid w:val="426339F7"/>
    <w:rsid w:val="42651EA6"/>
    <w:rsid w:val="426A5A29"/>
    <w:rsid w:val="426B4F82"/>
    <w:rsid w:val="426B788B"/>
    <w:rsid w:val="426D1D88"/>
    <w:rsid w:val="426D77B6"/>
    <w:rsid w:val="42732AEB"/>
    <w:rsid w:val="42734C17"/>
    <w:rsid w:val="42770745"/>
    <w:rsid w:val="427C7CC3"/>
    <w:rsid w:val="42817D4E"/>
    <w:rsid w:val="428322EE"/>
    <w:rsid w:val="42832829"/>
    <w:rsid w:val="42881AA6"/>
    <w:rsid w:val="428D00BE"/>
    <w:rsid w:val="428F5D76"/>
    <w:rsid w:val="429479AA"/>
    <w:rsid w:val="42955226"/>
    <w:rsid w:val="42976AF5"/>
    <w:rsid w:val="4298644F"/>
    <w:rsid w:val="429960CF"/>
    <w:rsid w:val="429A59CD"/>
    <w:rsid w:val="429D6000"/>
    <w:rsid w:val="42AA4B80"/>
    <w:rsid w:val="42AF6075"/>
    <w:rsid w:val="42B42080"/>
    <w:rsid w:val="42B736BF"/>
    <w:rsid w:val="42B94406"/>
    <w:rsid w:val="42BC34EF"/>
    <w:rsid w:val="42BC43A5"/>
    <w:rsid w:val="42C037E6"/>
    <w:rsid w:val="42C17E10"/>
    <w:rsid w:val="42C42797"/>
    <w:rsid w:val="42C6199F"/>
    <w:rsid w:val="42C81111"/>
    <w:rsid w:val="42CA2873"/>
    <w:rsid w:val="42CF43AB"/>
    <w:rsid w:val="42D00E86"/>
    <w:rsid w:val="42D12625"/>
    <w:rsid w:val="42D27D70"/>
    <w:rsid w:val="42DB04A3"/>
    <w:rsid w:val="42E40ACD"/>
    <w:rsid w:val="42E87EAD"/>
    <w:rsid w:val="42E913BF"/>
    <w:rsid w:val="42E9429A"/>
    <w:rsid w:val="42F52802"/>
    <w:rsid w:val="42FB224A"/>
    <w:rsid w:val="42FB4E6F"/>
    <w:rsid w:val="42FE6DD4"/>
    <w:rsid w:val="43056A83"/>
    <w:rsid w:val="430B250C"/>
    <w:rsid w:val="43104E14"/>
    <w:rsid w:val="43106A29"/>
    <w:rsid w:val="431A38A5"/>
    <w:rsid w:val="43235A98"/>
    <w:rsid w:val="43251536"/>
    <w:rsid w:val="432575D3"/>
    <w:rsid w:val="432B41BF"/>
    <w:rsid w:val="432C006E"/>
    <w:rsid w:val="4330314B"/>
    <w:rsid w:val="433174FC"/>
    <w:rsid w:val="43323F32"/>
    <w:rsid w:val="43340868"/>
    <w:rsid w:val="43351B50"/>
    <w:rsid w:val="43377F87"/>
    <w:rsid w:val="4342797E"/>
    <w:rsid w:val="4344642B"/>
    <w:rsid w:val="4345179C"/>
    <w:rsid w:val="4345786D"/>
    <w:rsid w:val="434774ED"/>
    <w:rsid w:val="434C5A07"/>
    <w:rsid w:val="4352567B"/>
    <w:rsid w:val="4356214E"/>
    <w:rsid w:val="435B321F"/>
    <w:rsid w:val="435C3C0F"/>
    <w:rsid w:val="435F175B"/>
    <w:rsid w:val="4361049D"/>
    <w:rsid w:val="43661FA0"/>
    <w:rsid w:val="43675823"/>
    <w:rsid w:val="43713BB4"/>
    <w:rsid w:val="437364B1"/>
    <w:rsid w:val="43736916"/>
    <w:rsid w:val="43761E40"/>
    <w:rsid w:val="43782A6B"/>
    <w:rsid w:val="437A4D9C"/>
    <w:rsid w:val="437B7EEC"/>
    <w:rsid w:val="437C1F45"/>
    <w:rsid w:val="437E1965"/>
    <w:rsid w:val="43810DB2"/>
    <w:rsid w:val="438347F7"/>
    <w:rsid w:val="43855A8A"/>
    <w:rsid w:val="43873B5A"/>
    <w:rsid w:val="438C39F0"/>
    <w:rsid w:val="4397727C"/>
    <w:rsid w:val="439D56D9"/>
    <w:rsid w:val="43A72EB6"/>
    <w:rsid w:val="43AA0190"/>
    <w:rsid w:val="43AF3AE9"/>
    <w:rsid w:val="43B37EA1"/>
    <w:rsid w:val="43BD20DA"/>
    <w:rsid w:val="43BE6232"/>
    <w:rsid w:val="43BF5484"/>
    <w:rsid w:val="43C069C3"/>
    <w:rsid w:val="43C82A27"/>
    <w:rsid w:val="43C8676D"/>
    <w:rsid w:val="43C9171F"/>
    <w:rsid w:val="43C9668D"/>
    <w:rsid w:val="43D01203"/>
    <w:rsid w:val="43D309CD"/>
    <w:rsid w:val="43D322DB"/>
    <w:rsid w:val="43DA01D6"/>
    <w:rsid w:val="43E71FF3"/>
    <w:rsid w:val="43ED00BB"/>
    <w:rsid w:val="43F130A3"/>
    <w:rsid w:val="43F30C8A"/>
    <w:rsid w:val="43F37AA3"/>
    <w:rsid w:val="43F4090A"/>
    <w:rsid w:val="43F41BFD"/>
    <w:rsid w:val="43F503EE"/>
    <w:rsid w:val="43F91594"/>
    <w:rsid w:val="43FF6C9B"/>
    <w:rsid w:val="44003D74"/>
    <w:rsid w:val="44051939"/>
    <w:rsid w:val="44053094"/>
    <w:rsid w:val="4409502C"/>
    <w:rsid w:val="440A08B0"/>
    <w:rsid w:val="440A24DD"/>
    <w:rsid w:val="441157FB"/>
    <w:rsid w:val="441433BD"/>
    <w:rsid w:val="441D4202"/>
    <w:rsid w:val="441F4FD2"/>
    <w:rsid w:val="441F5DA9"/>
    <w:rsid w:val="4421784F"/>
    <w:rsid w:val="44293363"/>
    <w:rsid w:val="442B12E4"/>
    <w:rsid w:val="442D51DF"/>
    <w:rsid w:val="442D544E"/>
    <w:rsid w:val="442F5EC5"/>
    <w:rsid w:val="443127E2"/>
    <w:rsid w:val="44322733"/>
    <w:rsid w:val="44325330"/>
    <w:rsid w:val="443875C1"/>
    <w:rsid w:val="44390B29"/>
    <w:rsid w:val="443A5968"/>
    <w:rsid w:val="443E4E89"/>
    <w:rsid w:val="444249C4"/>
    <w:rsid w:val="44453B05"/>
    <w:rsid w:val="444D24EA"/>
    <w:rsid w:val="444D7109"/>
    <w:rsid w:val="444E0455"/>
    <w:rsid w:val="445063B6"/>
    <w:rsid w:val="445127FA"/>
    <w:rsid w:val="44583261"/>
    <w:rsid w:val="44590916"/>
    <w:rsid w:val="446012BE"/>
    <w:rsid w:val="44605A3B"/>
    <w:rsid w:val="44631AE8"/>
    <w:rsid w:val="44643416"/>
    <w:rsid w:val="446B3DCC"/>
    <w:rsid w:val="446B764F"/>
    <w:rsid w:val="446C617C"/>
    <w:rsid w:val="44727764"/>
    <w:rsid w:val="447A35BF"/>
    <w:rsid w:val="447D5F60"/>
    <w:rsid w:val="447D7569"/>
    <w:rsid w:val="44826404"/>
    <w:rsid w:val="44893031"/>
    <w:rsid w:val="44970113"/>
    <w:rsid w:val="449D4C40"/>
    <w:rsid w:val="449E2D2B"/>
    <w:rsid w:val="44A156C5"/>
    <w:rsid w:val="44A175CB"/>
    <w:rsid w:val="44A61F3D"/>
    <w:rsid w:val="44A82A79"/>
    <w:rsid w:val="44B63C09"/>
    <w:rsid w:val="44B71CCD"/>
    <w:rsid w:val="44B7644A"/>
    <w:rsid w:val="44BC7BDD"/>
    <w:rsid w:val="44C147DB"/>
    <w:rsid w:val="44C2005E"/>
    <w:rsid w:val="44C71FF4"/>
    <w:rsid w:val="44C75F7D"/>
    <w:rsid w:val="44CC63EF"/>
    <w:rsid w:val="44D13F5B"/>
    <w:rsid w:val="44D20396"/>
    <w:rsid w:val="44D7695A"/>
    <w:rsid w:val="44D84400"/>
    <w:rsid w:val="44DF3D38"/>
    <w:rsid w:val="44DF47FC"/>
    <w:rsid w:val="44E11965"/>
    <w:rsid w:val="44E13BBD"/>
    <w:rsid w:val="44E32791"/>
    <w:rsid w:val="44E66FCA"/>
    <w:rsid w:val="44E92F68"/>
    <w:rsid w:val="44E94B0F"/>
    <w:rsid w:val="44F04FED"/>
    <w:rsid w:val="44F26B80"/>
    <w:rsid w:val="44F92736"/>
    <w:rsid w:val="44FC1D5A"/>
    <w:rsid w:val="44FD3BC4"/>
    <w:rsid w:val="44FE3C90"/>
    <w:rsid w:val="45024F21"/>
    <w:rsid w:val="45082020"/>
    <w:rsid w:val="451612FC"/>
    <w:rsid w:val="451A0683"/>
    <w:rsid w:val="451A3DAF"/>
    <w:rsid w:val="451B6D6E"/>
    <w:rsid w:val="451C5147"/>
    <w:rsid w:val="452169AE"/>
    <w:rsid w:val="452A71F1"/>
    <w:rsid w:val="45333B35"/>
    <w:rsid w:val="453A31A0"/>
    <w:rsid w:val="453F6C1D"/>
    <w:rsid w:val="45412A81"/>
    <w:rsid w:val="45441531"/>
    <w:rsid w:val="454B08FA"/>
    <w:rsid w:val="454E475C"/>
    <w:rsid w:val="455169E3"/>
    <w:rsid w:val="45542FCB"/>
    <w:rsid w:val="45550AFB"/>
    <w:rsid w:val="45597D70"/>
    <w:rsid w:val="45603843"/>
    <w:rsid w:val="456315D9"/>
    <w:rsid w:val="45647867"/>
    <w:rsid w:val="456F5BF8"/>
    <w:rsid w:val="45761CF7"/>
    <w:rsid w:val="458178AB"/>
    <w:rsid w:val="45845B9E"/>
    <w:rsid w:val="4586581D"/>
    <w:rsid w:val="45876384"/>
    <w:rsid w:val="458F3957"/>
    <w:rsid w:val="45913BAE"/>
    <w:rsid w:val="45926E7B"/>
    <w:rsid w:val="45932935"/>
    <w:rsid w:val="45944754"/>
    <w:rsid w:val="45961D18"/>
    <w:rsid w:val="45967077"/>
    <w:rsid w:val="459B1F40"/>
    <w:rsid w:val="459B4964"/>
    <w:rsid w:val="459E5BC3"/>
    <w:rsid w:val="45A22A10"/>
    <w:rsid w:val="45A54510"/>
    <w:rsid w:val="45A602D1"/>
    <w:rsid w:val="45A63B54"/>
    <w:rsid w:val="45A937F7"/>
    <w:rsid w:val="45AA5BA7"/>
    <w:rsid w:val="45AE0CC9"/>
    <w:rsid w:val="45B0528E"/>
    <w:rsid w:val="45B11EE5"/>
    <w:rsid w:val="45B218EE"/>
    <w:rsid w:val="45B733FA"/>
    <w:rsid w:val="45B8275B"/>
    <w:rsid w:val="45B90C40"/>
    <w:rsid w:val="45B9427E"/>
    <w:rsid w:val="45BA4CD0"/>
    <w:rsid w:val="45BB0276"/>
    <w:rsid w:val="45BD04EE"/>
    <w:rsid w:val="45C92C69"/>
    <w:rsid w:val="45CE5E6A"/>
    <w:rsid w:val="45D547F7"/>
    <w:rsid w:val="45DD48D6"/>
    <w:rsid w:val="45DD622C"/>
    <w:rsid w:val="45E07F72"/>
    <w:rsid w:val="45E261A3"/>
    <w:rsid w:val="45E55814"/>
    <w:rsid w:val="45E60A23"/>
    <w:rsid w:val="45E9764F"/>
    <w:rsid w:val="45EC3A69"/>
    <w:rsid w:val="45ED64C7"/>
    <w:rsid w:val="45F1665A"/>
    <w:rsid w:val="45F2294E"/>
    <w:rsid w:val="45F51742"/>
    <w:rsid w:val="45F87A66"/>
    <w:rsid w:val="45F91F3C"/>
    <w:rsid w:val="45FC0CDF"/>
    <w:rsid w:val="45FE67F4"/>
    <w:rsid w:val="460143B7"/>
    <w:rsid w:val="46020732"/>
    <w:rsid w:val="46023BA9"/>
    <w:rsid w:val="46043FA1"/>
    <w:rsid w:val="46046A1E"/>
    <w:rsid w:val="46120C85"/>
    <w:rsid w:val="461241F4"/>
    <w:rsid w:val="46174BCD"/>
    <w:rsid w:val="46184DC8"/>
    <w:rsid w:val="461D7DAF"/>
    <w:rsid w:val="461E6C96"/>
    <w:rsid w:val="462239AF"/>
    <w:rsid w:val="462417D4"/>
    <w:rsid w:val="46284CDB"/>
    <w:rsid w:val="46295027"/>
    <w:rsid w:val="462961BE"/>
    <w:rsid w:val="462A2966"/>
    <w:rsid w:val="462F37A2"/>
    <w:rsid w:val="463333B8"/>
    <w:rsid w:val="463B7F1C"/>
    <w:rsid w:val="463C4EC5"/>
    <w:rsid w:val="463D459F"/>
    <w:rsid w:val="463E4FCC"/>
    <w:rsid w:val="463F244E"/>
    <w:rsid w:val="4642038E"/>
    <w:rsid w:val="46426555"/>
    <w:rsid w:val="46453037"/>
    <w:rsid w:val="464B56EA"/>
    <w:rsid w:val="464B70A7"/>
    <w:rsid w:val="465316EE"/>
    <w:rsid w:val="465346DC"/>
    <w:rsid w:val="465963BF"/>
    <w:rsid w:val="46600E75"/>
    <w:rsid w:val="46610F98"/>
    <w:rsid w:val="4662726C"/>
    <w:rsid w:val="4664524F"/>
    <w:rsid w:val="4666576D"/>
    <w:rsid w:val="46680F68"/>
    <w:rsid w:val="4668496A"/>
    <w:rsid w:val="466A52C0"/>
    <w:rsid w:val="466B7369"/>
    <w:rsid w:val="466E1E3D"/>
    <w:rsid w:val="466E2EF9"/>
    <w:rsid w:val="46711123"/>
    <w:rsid w:val="46711A69"/>
    <w:rsid w:val="4671201F"/>
    <w:rsid w:val="46713C09"/>
    <w:rsid w:val="46735B0C"/>
    <w:rsid w:val="46737A24"/>
    <w:rsid w:val="46752E8A"/>
    <w:rsid w:val="467576A4"/>
    <w:rsid w:val="467632A0"/>
    <w:rsid w:val="46795A51"/>
    <w:rsid w:val="4680729B"/>
    <w:rsid w:val="468278A9"/>
    <w:rsid w:val="46860DFE"/>
    <w:rsid w:val="468839D7"/>
    <w:rsid w:val="468A764A"/>
    <w:rsid w:val="468B592A"/>
    <w:rsid w:val="468F0ED5"/>
    <w:rsid w:val="46946618"/>
    <w:rsid w:val="469559DB"/>
    <w:rsid w:val="46A03050"/>
    <w:rsid w:val="46A13A5D"/>
    <w:rsid w:val="46A2199A"/>
    <w:rsid w:val="46A7376F"/>
    <w:rsid w:val="46A911EB"/>
    <w:rsid w:val="46AB21E0"/>
    <w:rsid w:val="46B046D8"/>
    <w:rsid w:val="46B12D2E"/>
    <w:rsid w:val="46B3480C"/>
    <w:rsid w:val="46B47353"/>
    <w:rsid w:val="46BB7425"/>
    <w:rsid w:val="46BC42E5"/>
    <w:rsid w:val="46BD4817"/>
    <w:rsid w:val="46BF20A2"/>
    <w:rsid w:val="46C3291B"/>
    <w:rsid w:val="46C40BC6"/>
    <w:rsid w:val="46C6543C"/>
    <w:rsid w:val="46CA0433"/>
    <w:rsid w:val="46CB003E"/>
    <w:rsid w:val="46CB0D1F"/>
    <w:rsid w:val="46CC00B3"/>
    <w:rsid w:val="46DB28CC"/>
    <w:rsid w:val="46E10058"/>
    <w:rsid w:val="46E6603F"/>
    <w:rsid w:val="46E676FA"/>
    <w:rsid w:val="46EB4A6D"/>
    <w:rsid w:val="46F21EC1"/>
    <w:rsid w:val="46F6574E"/>
    <w:rsid w:val="46FB3F31"/>
    <w:rsid w:val="46FD2AEA"/>
    <w:rsid w:val="47094F38"/>
    <w:rsid w:val="470C5105"/>
    <w:rsid w:val="471D4D02"/>
    <w:rsid w:val="47200B74"/>
    <w:rsid w:val="47220AC2"/>
    <w:rsid w:val="4725717D"/>
    <w:rsid w:val="472B112F"/>
    <w:rsid w:val="47310373"/>
    <w:rsid w:val="473751E4"/>
    <w:rsid w:val="473A6FF8"/>
    <w:rsid w:val="473F7BAA"/>
    <w:rsid w:val="4741374E"/>
    <w:rsid w:val="47415409"/>
    <w:rsid w:val="47431803"/>
    <w:rsid w:val="47431EC4"/>
    <w:rsid w:val="474958BC"/>
    <w:rsid w:val="474A5EF8"/>
    <w:rsid w:val="474C48CB"/>
    <w:rsid w:val="474F36C5"/>
    <w:rsid w:val="4753271E"/>
    <w:rsid w:val="4757351A"/>
    <w:rsid w:val="4759319A"/>
    <w:rsid w:val="475B0E48"/>
    <w:rsid w:val="4764152B"/>
    <w:rsid w:val="476E267B"/>
    <w:rsid w:val="477C436F"/>
    <w:rsid w:val="47816429"/>
    <w:rsid w:val="47843A48"/>
    <w:rsid w:val="47847862"/>
    <w:rsid w:val="4789483A"/>
    <w:rsid w:val="478A26A8"/>
    <w:rsid w:val="478E1476"/>
    <w:rsid w:val="479231D9"/>
    <w:rsid w:val="47936E19"/>
    <w:rsid w:val="479C1501"/>
    <w:rsid w:val="47A25BC1"/>
    <w:rsid w:val="47A45B98"/>
    <w:rsid w:val="47AE3F29"/>
    <w:rsid w:val="47B61CA0"/>
    <w:rsid w:val="47BA09C2"/>
    <w:rsid w:val="47BB1B93"/>
    <w:rsid w:val="47BB2F44"/>
    <w:rsid w:val="47BC1A02"/>
    <w:rsid w:val="47C502CB"/>
    <w:rsid w:val="47C52A82"/>
    <w:rsid w:val="47C630C3"/>
    <w:rsid w:val="47CB010C"/>
    <w:rsid w:val="47CD2511"/>
    <w:rsid w:val="47CF3333"/>
    <w:rsid w:val="47D437AC"/>
    <w:rsid w:val="47D762A7"/>
    <w:rsid w:val="47E002B4"/>
    <w:rsid w:val="47E51E85"/>
    <w:rsid w:val="47E5523D"/>
    <w:rsid w:val="47E56601"/>
    <w:rsid w:val="47E62AC9"/>
    <w:rsid w:val="47E71B90"/>
    <w:rsid w:val="47EA1E04"/>
    <w:rsid w:val="47EA4271"/>
    <w:rsid w:val="47EF4992"/>
    <w:rsid w:val="47F06BE9"/>
    <w:rsid w:val="47F115FC"/>
    <w:rsid w:val="47F7352B"/>
    <w:rsid w:val="47FC70BD"/>
    <w:rsid w:val="47FD176F"/>
    <w:rsid w:val="47FF672A"/>
    <w:rsid w:val="48054938"/>
    <w:rsid w:val="480A2EB8"/>
    <w:rsid w:val="480B0AF5"/>
    <w:rsid w:val="480B0BA1"/>
    <w:rsid w:val="480C1627"/>
    <w:rsid w:val="480C65BF"/>
    <w:rsid w:val="480E7A47"/>
    <w:rsid w:val="480F1B5E"/>
    <w:rsid w:val="48112458"/>
    <w:rsid w:val="48112949"/>
    <w:rsid w:val="48121964"/>
    <w:rsid w:val="48133DA7"/>
    <w:rsid w:val="481634F0"/>
    <w:rsid w:val="48164DD5"/>
    <w:rsid w:val="481C0CDA"/>
    <w:rsid w:val="482009BA"/>
    <w:rsid w:val="48262F4D"/>
    <w:rsid w:val="4826706B"/>
    <w:rsid w:val="4829109C"/>
    <w:rsid w:val="482B4930"/>
    <w:rsid w:val="482E41D9"/>
    <w:rsid w:val="48310C7F"/>
    <w:rsid w:val="48322AF3"/>
    <w:rsid w:val="48373FE1"/>
    <w:rsid w:val="48387FC5"/>
    <w:rsid w:val="483B638E"/>
    <w:rsid w:val="483C7010"/>
    <w:rsid w:val="483D77EA"/>
    <w:rsid w:val="483E165E"/>
    <w:rsid w:val="484006CB"/>
    <w:rsid w:val="48404231"/>
    <w:rsid w:val="484653A1"/>
    <w:rsid w:val="48516FB5"/>
    <w:rsid w:val="485C5346"/>
    <w:rsid w:val="485D4FC6"/>
    <w:rsid w:val="485E34DC"/>
    <w:rsid w:val="48627FF5"/>
    <w:rsid w:val="486420D7"/>
    <w:rsid w:val="48656FF7"/>
    <w:rsid w:val="48667D4C"/>
    <w:rsid w:val="486A75C4"/>
    <w:rsid w:val="486E5784"/>
    <w:rsid w:val="487455A5"/>
    <w:rsid w:val="487A4D36"/>
    <w:rsid w:val="487D7A79"/>
    <w:rsid w:val="487F2738"/>
    <w:rsid w:val="4888168E"/>
    <w:rsid w:val="48922F91"/>
    <w:rsid w:val="48927A1F"/>
    <w:rsid w:val="4895626C"/>
    <w:rsid w:val="489A4DCD"/>
    <w:rsid w:val="489D5DB0"/>
    <w:rsid w:val="48A27589"/>
    <w:rsid w:val="48A47860"/>
    <w:rsid w:val="48AD3238"/>
    <w:rsid w:val="48AD5549"/>
    <w:rsid w:val="48AE5824"/>
    <w:rsid w:val="48B127FD"/>
    <w:rsid w:val="48B137F5"/>
    <w:rsid w:val="48B25D55"/>
    <w:rsid w:val="48B459D5"/>
    <w:rsid w:val="48BE003B"/>
    <w:rsid w:val="48C02043"/>
    <w:rsid w:val="48C920F7"/>
    <w:rsid w:val="48CA7BDE"/>
    <w:rsid w:val="48D93B8F"/>
    <w:rsid w:val="48DF209C"/>
    <w:rsid w:val="48E17434"/>
    <w:rsid w:val="48E9042E"/>
    <w:rsid w:val="48EA3CB6"/>
    <w:rsid w:val="48F420E4"/>
    <w:rsid w:val="48F467BF"/>
    <w:rsid w:val="48FE7B85"/>
    <w:rsid w:val="49003892"/>
    <w:rsid w:val="49121A25"/>
    <w:rsid w:val="491352B1"/>
    <w:rsid w:val="49154775"/>
    <w:rsid w:val="49165729"/>
    <w:rsid w:val="491A5135"/>
    <w:rsid w:val="491E3E6E"/>
    <w:rsid w:val="491F625E"/>
    <w:rsid w:val="49246DEA"/>
    <w:rsid w:val="493011C9"/>
    <w:rsid w:val="49316623"/>
    <w:rsid w:val="49323AF4"/>
    <w:rsid w:val="493B49B5"/>
    <w:rsid w:val="493D1E8B"/>
    <w:rsid w:val="493F5798"/>
    <w:rsid w:val="49400E3C"/>
    <w:rsid w:val="49424B87"/>
    <w:rsid w:val="49481918"/>
    <w:rsid w:val="49493C99"/>
    <w:rsid w:val="494A71CD"/>
    <w:rsid w:val="49536ED6"/>
    <w:rsid w:val="495751DE"/>
    <w:rsid w:val="495B0AF5"/>
    <w:rsid w:val="496311BE"/>
    <w:rsid w:val="49635647"/>
    <w:rsid w:val="4966311B"/>
    <w:rsid w:val="4967442D"/>
    <w:rsid w:val="496D3EB9"/>
    <w:rsid w:val="496D42A5"/>
    <w:rsid w:val="4983420E"/>
    <w:rsid w:val="4983438E"/>
    <w:rsid w:val="498A35D0"/>
    <w:rsid w:val="498C0996"/>
    <w:rsid w:val="498C34BA"/>
    <w:rsid w:val="498E69E7"/>
    <w:rsid w:val="4993054F"/>
    <w:rsid w:val="4997184B"/>
    <w:rsid w:val="499D257D"/>
    <w:rsid w:val="49A17BDC"/>
    <w:rsid w:val="49A6385C"/>
    <w:rsid w:val="49A73524"/>
    <w:rsid w:val="49AA0D3F"/>
    <w:rsid w:val="49AD5BED"/>
    <w:rsid w:val="49AE5495"/>
    <w:rsid w:val="49AE591A"/>
    <w:rsid w:val="49B3625D"/>
    <w:rsid w:val="49B83F7E"/>
    <w:rsid w:val="49BD403E"/>
    <w:rsid w:val="49C35B92"/>
    <w:rsid w:val="49C362F1"/>
    <w:rsid w:val="49C5744F"/>
    <w:rsid w:val="49CA16E2"/>
    <w:rsid w:val="49CA548F"/>
    <w:rsid w:val="49CD3F23"/>
    <w:rsid w:val="49D822B4"/>
    <w:rsid w:val="49DC5C58"/>
    <w:rsid w:val="49DE0A10"/>
    <w:rsid w:val="49DF78D2"/>
    <w:rsid w:val="49EB064F"/>
    <w:rsid w:val="49EC0B96"/>
    <w:rsid w:val="49ED225A"/>
    <w:rsid w:val="49F07EFF"/>
    <w:rsid w:val="49F478B5"/>
    <w:rsid w:val="49F6420D"/>
    <w:rsid w:val="49F67742"/>
    <w:rsid w:val="49F805EB"/>
    <w:rsid w:val="49F951AF"/>
    <w:rsid w:val="49FA026B"/>
    <w:rsid w:val="49FE5904"/>
    <w:rsid w:val="4A0465FC"/>
    <w:rsid w:val="4A0B0D31"/>
    <w:rsid w:val="4A0F498D"/>
    <w:rsid w:val="4A1802D1"/>
    <w:rsid w:val="4A19153C"/>
    <w:rsid w:val="4A192D1E"/>
    <w:rsid w:val="4A1E0EF7"/>
    <w:rsid w:val="4A20788A"/>
    <w:rsid w:val="4A266BAF"/>
    <w:rsid w:val="4A2E6D00"/>
    <w:rsid w:val="4A30142C"/>
    <w:rsid w:val="4A3072EA"/>
    <w:rsid w:val="4A41686D"/>
    <w:rsid w:val="4A4B530C"/>
    <w:rsid w:val="4A4E078F"/>
    <w:rsid w:val="4A4F0FFA"/>
    <w:rsid w:val="4A537F4A"/>
    <w:rsid w:val="4A570F3A"/>
    <w:rsid w:val="4A585550"/>
    <w:rsid w:val="4A5B700A"/>
    <w:rsid w:val="4A5E2A5A"/>
    <w:rsid w:val="4A6135FC"/>
    <w:rsid w:val="4A676D13"/>
    <w:rsid w:val="4A70372C"/>
    <w:rsid w:val="4A77233E"/>
    <w:rsid w:val="4A786275"/>
    <w:rsid w:val="4A7B5341"/>
    <w:rsid w:val="4A7C3BA7"/>
    <w:rsid w:val="4A7C5F01"/>
    <w:rsid w:val="4A7D5A6E"/>
    <w:rsid w:val="4A7F1C78"/>
    <w:rsid w:val="4A8536D2"/>
    <w:rsid w:val="4A873D8C"/>
    <w:rsid w:val="4A895EE8"/>
    <w:rsid w:val="4AA21396"/>
    <w:rsid w:val="4AA2512F"/>
    <w:rsid w:val="4AA74586"/>
    <w:rsid w:val="4AAD1F48"/>
    <w:rsid w:val="4AB01811"/>
    <w:rsid w:val="4AB27A19"/>
    <w:rsid w:val="4AB27AC6"/>
    <w:rsid w:val="4AB44DF5"/>
    <w:rsid w:val="4AB70E5B"/>
    <w:rsid w:val="4AB80D26"/>
    <w:rsid w:val="4AB92448"/>
    <w:rsid w:val="4ABB38E6"/>
    <w:rsid w:val="4ABC313C"/>
    <w:rsid w:val="4AC25C1A"/>
    <w:rsid w:val="4AC4624C"/>
    <w:rsid w:val="4AC7413B"/>
    <w:rsid w:val="4AC74EDD"/>
    <w:rsid w:val="4AC779BE"/>
    <w:rsid w:val="4AD62199"/>
    <w:rsid w:val="4ADB7898"/>
    <w:rsid w:val="4ADC40E1"/>
    <w:rsid w:val="4ADF3AD3"/>
    <w:rsid w:val="4AE35667"/>
    <w:rsid w:val="4AF22BFA"/>
    <w:rsid w:val="4AF30483"/>
    <w:rsid w:val="4AFC6210"/>
    <w:rsid w:val="4AFE28C2"/>
    <w:rsid w:val="4B017228"/>
    <w:rsid w:val="4B023AE9"/>
    <w:rsid w:val="4B1367B9"/>
    <w:rsid w:val="4B152487"/>
    <w:rsid w:val="4B1703D8"/>
    <w:rsid w:val="4B185CA1"/>
    <w:rsid w:val="4B190430"/>
    <w:rsid w:val="4B1A3FE8"/>
    <w:rsid w:val="4B1E03CD"/>
    <w:rsid w:val="4B1E4B4A"/>
    <w:rsid w:val="4B217F9D"/>
    <w:rsid w:val="4B2448E2"/>
    <w:rsid w:val="4B253BDD"/>
    <w:rsid w:val="4B28675E"/>
    <w:rsid w:val="4B297409"/>
    <w:rsid w:val="4B2B44B9"/>
    <w:rsid w:val="4B2C0C6A"/>
    <w:rsid w:val="4B34391F"/>
    <w:rsid w:val="4B39028E"/>
    <w:rsid w:val="4B3F2B00"/>
    <w:rsid w:val="4B416437"/>
    <w:rsid w:val="4B4621D3"/>
    <w:rsid w:val="4B491EBE"/>
    <w:rsid w:val="4B4B0AAE"/>
    <w:rsid w:val="4B4E6531"/>
    <w:rsid w:val="4B552AA6"/>
    <w:rsid w:val="4B5631ED"/>
    <w:rsid w:val="4B581EB0"/>
    <w:rsid w:val="4B5B3770"/>
    <w:rsid w:val="4B5C408C"/>
    <w:rsid w:val="4B5D58E8"/>
    <w:rsid w:val="4B5F0E37"/>
    <w:rsid w:val="4B65172E"/>
    <w:rsid w:val="4B693227"/>
    <w:rsid w:val="4B6B386D"/>
    <w:rsid w:val="4B6E6554"/>
    <w:rsid w:val="4B744FB6"/>
    <w:rsid w:val="4B745559"/>
    <w:rsid w:val="4B7F716D"/>
    <w:rsid w:val="4B81787A"/>
    <w:rsid w:val="4B857541"/>
    <w:rsid w:val="4B8B517E"/>
    <w:rsid w:val="4B904AB8"/>
    <w:rsid w:val="4B914315"/>
    <w:rsid w:val="4B9966E6"/>
    <w:rsid w:val="4B9A21C0"/>
    <w:rsid w:val="4B9C2486"/>
    <w:rsid w:val="4B9F51CA"/>
    <w:rsid w:val="4BA66E26"/>
    <w:rsid w:val="4BAB34B4"/>
    <w:rsid w:val="4BAB7C31"/>
    <w:rsid w:val="4BB52448"/>
    <w:rsid w:val="4BB61845"/>
    <w:rsid w:val="4BBB22A9"/>
    <w:rsid w:val="4BBB249A"/>
    <w:rsid w:val="4BC07BD6"/>
    <w:rsid w:val="4BC804B8"/>
    <w:rsid w:val="4BCB5F67"/>
    <w:rsid w:val="4BCC401C"/>
    <w:rsid w:val="4BCC55B9"/>
    <w:rsid w:val="4BCD68F8"/>
    <w:rsid w:val="4BD0499E"/>
    <w:rsid w:val="4BD15625"/>
    <w:rsid w:val="4BD43B05"/>
    <w:rsid w:val="4BD8555B"/>
    <w:rsid w:val="4BDE3AF3"/>
    <w:rsid w:val="4BE25B8D"/>
    <w:rsid w:val="4BE92620"/>
    <w:rsid w:val="4BEC0840"/>
    <w:rsid w:val="4BF722AF"/>
    <w:rsid w:val="4BF95E6D"/>
    <w:rsid w:val="4BFD199D"/>
    <w:rsid w:val="4C020640"/>
    <w:rsid w:val="4C023EC3"/>
    <w:rsid w:val="4C074499"/>
    <w:rsid w:val="4C097FBD"/>
    <w:rsid w:val="4C1158BD"/>
    <w:rsid w:val="4C142E88"/>
    <w:rsid w:val="4C1676EB"/>
    <w:rsid w:val="4C167B54"/>
    <w:rsid w:val="4C1705E5"/>
    <w:rsid w:val="4C1D4081"/>
    <w:rsid w:val="4C2317DE"/>
    <w:rsid w:val="4C2A3529"/>
    <w:rsid w:val="4C2E4987"/>
    <w:rsid w:val="4C334CC4"/>
    <w:rsid w:val="4C360F71"/>
    <w:rsid w:val="4C376E5E"/>
    <w:rsid w:val="4C3B1B02"/>
    <w:rsid w:val="4C4320F1"/>
    <w:rsid w:val="4C4B7BAB"/>
    <w:rsid w:val="4C4E2CBD"/>
    <w:rsid w:val="4C5254A4"/>
    <w:rsid w:val="4C562F1A"/>
    <w:rsid w:val="4C58104F"/>
    <w:rsid w:val="4C5948D2"/>
    <w:rsid w:val="4C5D3883"/>
    <w:rsid w:val="4C6870EB"/>
    <w:rsid w:val="4C6D34FF"/>
    <w:rsid w:val="4C715F18"/>
    <w:rsid w:val="4C752143"/>
    <w:rsid w:val="4C760506"/>
    <w:rsid w:val="4C776570"/>
    <w:rsid w:val="4C7A7005"/>
    <w:rsid w:val="4C865221"/>
    <w:rsid w:val="4C8C7021"/>
    <w:rsid w:val="4C906FAA"/>
    <w:rsid w:val="4C963AB5"/>
    <w:rsid w:val="4CA53227"/>
    <w:rsid w:val="4CA92B2A"/>
    <w:rsid w:val="4CAB3AF4"/>
    <w:rsid w:val="4CAF1A5D"/>
    <w:rsid w:val="4CAF1CE7"/>
    <w:rsid w:val="4CB10B45"/>
    <w:rsid w:val="4CB30213"/>
    <w:rsid w:val="4CB571EA"/>
    <w:rsid w:val="4CB72279"/>
    <w:rsid w:val="4CBB0E07"/>
    <w:rsid w:val="4CBF4BA8"/>
    <w:rsid w:val="4CC03834"/>
    <w:rsid w:val="4CC0557B"/>
    <w:rsid w:val="4CC1454B"/>
    <w:rsid w:val="4CC51A03"/>
    <w:rsid w:val="4CC7016F"/>
    <w:rsid w:val="4CC86769"/>
    <w:rsid w:val="4CCA607B"/>
    <w:rsid w:val="4CCC4374"/>
    <w:rsid w:val="4CCF50F0"/>
    <w:rsid w:val="4CCF7D94"/>
    <w:rsid w:val="4CD05EA5"/>
    <w:rsid w:val="4CD17A13"/>
    <w:rsid w:val="4CD464B8"/>
    <w:rsid w:val="4CE0380A"/>
    <w:rsid w:val="4CEC35DC"/>
    <w:rsid w:val="4CEF54A3"/>
    <w:rsid w:val="4CF124C7"/>
    <w:rsid w:val="4CF15D4A"/>
    <w:rsid w:val="4CF557A8"/>
    <w:rsid w:val="4CFB3AD8"/>
    <w:rsid w:val="4CFB5888"/>
    <w:rsid w:val="4CFD5810"/>
    <w:rsid w:val="4D023546"/>
    <w:rsid w:val="4D066553"/>
    <w:rsid w:val="4D211A3F"/>
    <w:rsid w:val="4D224958"/>
    <w:rsid w:val="4D25680D"/>
    <w:rsid w:val="4D2607A2"/>
    <w:rsid w:val="4D275B2C"/>
    <w:rsid w:val="4D280422"/>
    <w:rsid w:val="4D2C331C"/>
    <w:rsid w:val="4D2C4CD9"/>
    <w:rsid w:val="4D2E027D"/>
    <w:rsid w:val="4D300ABB"/>
    <w:rsid w:val="4D3267B3"/>
    <w:rsid w:val="4D3932CD"/>
    <w:rsid w:val="4D397D26"/>
    <w:rsid w:val="4D3D03C8"/>
    <w:rsid w:val="4D3D4B44"/>
    <w:rsid w:val="4D4474EE"/>
    <w:rsid w:val="4D472ED5"/>
    <w:rsid w:val="4D482A72"/>
    <w:rsid w:val="4D4B328C"/>
    <w:rsid w:val="4D4F66B4"/>
    <w:rsid w:val="4D5A7FBD"/>
    <w:rsid w:val="4D5C25F4"/>
    <w:rsid w:val="4D5E2AFB"/>
    <w:rsid w:val="4D6919DC"/>
    <w:rsid w:val="4D6959E6"/>
    <w:rsid w:val="4D7054B2"/>
    <w:rsid w:val="4D711507"/>
    <w:rsid w:val="4D7A2004"/>
    <w:rsid w:val="4D7A45D1"/>
    <w:rsid w:val="4D7C326D"/>
    <w:rsid w:val="4D7E0E31"/>
    <w:rsid w:val="4D8B4139"/>
    <w:rsid w:val="4D8F790A"/>
    <w:rsid w:val="4D97675C"/>
    <w:rsid w:val="4D9E38E4"/>
    <w:rsid w:val="4D9E7167"/>
    <w:rsid w:val="4DA015F0"/>
    <w:rsid w:val="4DA75107"/>
    <w:rsid w:val="4DA85234"/>
    <w:rsid w:val="4DAB3EA2"/>
    <w:rsid w:val="4DAC7838"/>
    <w:rsid w:val="4DAE020B"/>
    <w:rsid w:val="4DAF20FE"/>
    <w:rsid w:val="4DB11A0A"/>
    <w:rsid w:val="4DB316D4"/>
    <w:rsid w:val="4DB33889"/>
    <w:rsid w:val="4DB53509"/>
    <w:rsid w:val="4DB950F4"/>
    <w:rsid w:val="4DB977DF"/>
    <w:rsid w:val="4DBB5413"/>
    <w:rsid w:val="4DC032AF"/>
    <w:rsid w:val="4DC152B1"/>
    <w:rsid w:val="4DCF5FFB"/>
    <w:rsid w:val="4DD06916"/>
    <w:rsid w:val="4DD506D3"/>
    <w:rsid w:val="4DD51840"/>
    <w:rsid w:val="4DD72BED"/>
    <w:rsid w:val="4DDB00BB"/>
    <w:rsid w:val="4DDD0A3A"/>
    <w:rsid w:val="4DE07497"/>
    <w:rsid w:val="4DE07BD1"/>
    <w:rsid w:val="4DE6535D"/>
    <w:rsid w:val="4DEA5F62"/>
    <w:rsid w:val="4DEB2922"/>
    <w:rsid w:val="4DF50C69"/>
    <w:rsid w:val="4DF51D43"/>
    <w:rsid w:val="4DF542F3"/>
    <w:rsid w:val="4DF57B76"/>
    <w:rsid w:val="4DFA1CBB"/>
    <w:rsid w:val="4DFE6E0D"/>
    <w:rsid w:val="4E006618"/>
    <w:rsid w:val="4E0108AD"/>
    <w:rsid w:val="4E023785"/>
    <w:rsid w:val="4E0C3F18"/>
    <w:rsid w:val="4E136FB6"/>
    <w:rsid w:val="4E190D25"/>
    <w:rsid w:val="4E2379B6"/>
    <w:rsid w:val="4E2A11C3"/>
    <w:rsid w:val="4E2A402A"/>
    <w:rsid w:val="4E2E021B"/>
    <w:rsid w:val="4E2E3EDD"/>
    <w:rsid w:val="4E36595D"/>
    <w:rsid w:val="4E3E481E"/>
    <w:rsid w:val="4E3F3A14"/>
    <w:rsid w:val="4E416971"/>
    <w:rsid w:val="4E426FC2"/>
    <w:rsid w:val="4E45039B"/>
    <w:rsid w:val="4E4C0585"/>
    <w:rsid w:val="4E4C4D02"/>
    <w:rsid w:val="4E4F7124"/>
    <w:rsid w:val="4E4F7ADE"/>
    <w:rsid w:val="4E534162"/>
    <w:rsid w:val="4E545D0F"/>
    <w:rsid w:val="4E5629A5"/>
    <w:rsid w:val="4E566916"/>
    <w:rsid w:val="4E5E049F"/>
    <w:rsid w:val="4E5E4484"/>
    <w:rsid w:val="4E614CA7"/>
    <w:rsid w:val="4E617F9D"/>
    <w:rsid w:val="4E633B54"/>
    <w:rsid w:val="4E634927"/>
    <w:rsid w:val="4E691C02"/>
    <w:rsid w:val="4E6B144B"/>
    <w:rsid w:val="4E6D2CB8"/>
    <w:rsid w:val="4E714171"/>
    <w:rsid w:val="4E727DF9"/>
    <w:rsid w:val="4E7646B7"/>
    <w:rsid w:val="4E7802D5"/>
    <w:rsid w:val="4E781049"/>
    <w:rsid w:val="4E786EF6"/>
    <w:rsid w:val="4E7C5AD8"/>
    <w:rsid w:val="4E7F3BB0"/>
    <w:rsid w:val="4E817C69"/>
    <w:rsid w:val="4E832C5D"/>
    <w:rsid w:val="4E8E294A"/>
    <w:rsid w:val="4E8E775D"/>
    <w:rsid w:val="4E954755"/>
    <w:rsid w:val="4E963A7F"/>
    <w:rsid w:val="4E995DF1"/>
    <w:rsid w:val="4E9A2CC3"/>
    <w:rsid w:val="4E9B3CD8"/>
    <w:rsid w:val="4EA00746"/>
    <w:rsid w:val="4EA8776A"/>
    <w:rsid w:val="4EB1309A"/>
    <w:rsid w:val="4EB37791"/>
    <w:rsid w:val="4EBA0B22"/>
    <w:rsid w:val="4EC32229"/>
    <w:rsid w:val="4EC436C7"/>
    <w:rsid w:val="4EC6722C"/>
    <w:rsid w:val="4ED02554"/>
    <w:rsid w:val="4ED1672C"/>
    <w:rsid w:val="4ED97DE9"/>
    <w:rsid w:val="4EDF5575"/>
    <w:rsid w:val="4EE419FD"/>
    <w:rsid w:val="4EEA38F2"/>
    <w:rsid w:val="4EED0BE3"/>
    <w:rsid w:val="4EF9611F"/>
    <w:rsid w:val="4EFD4602"/>
    <w:rsid w:val="4F016F2F"/>
    <w:rsid w:val="4F0531E8"/>
    <w:rsid w:val="4F072319"/>
    <w:rsid w:val="4F0D3587"/>
    <w:rsid w:val="4F131589"/>
    <w:rsid w:val="4F153CE9"/>
    <w:rsid w:val="4F175F12"/>
    <w:rsid w:val="4F193151"/>
    <w:rsid w:val="4F1B40D5"/>
    <w:rsid w:val="4F211F25"/>
    <w:rsid w:val="4F2239BA"/>
    <w:rsid w:val="4F252466"/>
    <w:rsid w:val="4F25395A"/>
    <w:rsid w:val="4F2C7509"/>
    <w:rsid w:val="4F2E3460"/>
    <w:rsid w:val="4F3007F7"/>
    <w:rsid w:val="4F3121E5"/>
    <w:rsid w:val="4F312EDA"/>
    <w:rsid w:val="4F322F3D"/>
    <w:rsid w:val="4F323134"/>
    <w:rsid w:val="4F333A69"/>
    <w:rsid w:val="4F355850"/>
    <w:rsid w:val="4F38674A"/>
    <w:rsid w:val="4F3B240C"/>
    <w:rsid w:val="4F3D3D64"/>
    <w:rsid w:val="4F3E45A6"/>
    <w:rsid w:val="4F433A44"/>
    <w:rsid w:val="4F506B2E"/>
    <w:rsid w:val="4F512177"/>
    <w:rsid w:val="4F5167AE"/>
    <w:rsid w:val="4F5352F7"/>
    <w:rsid w:val="4F5C4B3F"/>
    <w:rsid w:val="4F6A718A"/>
    <w:rsid w:val="4F714AE4"/>
    <w:rsid w:val="4F73275F"/>
    <w:rsid w:val="4F757764"/>
    <w:rsid w:val="4F810C6F"/>
    <w:rsid w:val="4F840DA4"/>
    <w:rsid w:val="4F871206"/>
    <w:rsid w:val="4F8D23C6"/>
    <w:rsid w:val="4F8D32A3"/>
    <w:rsid w:val="4F912E1A"/>
    <w:rsid w:val="4F925E11"/>
    <w:rsid w:val="4F982EE1"/>
    <w:rsid w:val="4FA3485E"/>
    <w:rsid w:val="4FA365AC"/>
    <w:rsid w:val="4FA72432"/>
    <w:rsid w:val="4FA7753C"/>
    <w:rsid w:val="4FAC6966"/>
    <w:rsid w:val="4FAF347D"/>
    <w:rsid w:val="4FB30794"/>
    <w:rsid w:val="4FB3554D"/>
    <w:rsid w:val="4FB549F0"/>
    <w:rsid w:val="4FB6185B"/>
    <w:rsid w:val="4FB96CA6"/>
    <w:rsid w:val="4FBA2EDB"/>
    <w:rsid w:val="4FBE7162"/>
    <w:rsid w:val="4FC0220B"/>
    <w:rsid w:val="4FC524C0"/>
    <w:rsid w:val="4FCB5CDF"/>
    <w:rsid w:val="4FD33884"/>
    <w:rsid w:val="4FD535CD"/>
    <w:rsid w:val="4FD54D46"/>
    <w:rsid w:val="4FD6279F"/>
    <w:rsid w:val="4FD639DE"/>
    <w:rsid w:val="4FD8578D"/>
    <w:rsid w:val="4FD85FAB"/>
    <w:rsid w:val="4FDF4A2D"/>
    <w:rsid w:val="4FE00B7A"/>
    <w:rsid w:val="4FEB7E18"/>
    <w:rsid w:val="4FF22AA3"/>
    <w:rsid w:val="4FF31BBA"/>
    <w:rsid w:val="4FFD1538"/>
    <w:rsid w:val="4FFD5D6D"/>
    <w:rsid w:val="4FFD5DF2"/>
    <w:rsid w:val="4FFD7F4B"/>
    <w:rsid w:val="4FFF327D"/>
    <w:rsid w:val="4FFF7BCB"/>
    <w:rsid w:val="500023C6"/>
    <w:rsid w:val="50051AC7"/>
    <w:rsid w:val="50095F5C"/>
    <w:rsid w:val="500A6FDE"/>
    <w:rsid w:val="500F456D"/>
    <w:rsid w:val="50136967"/>
    <w:rsid w:val="501442ED"/>
    <w:rsid w:val="501E3967"/>
    <w:rsid w:val="502002D5"/>
    <w:rsid w:val="502254F9"/>
    <w:rsid w:val="502264CF"/>
    <w:rsid w:val="50255FED"/>
    <w:rsid w:val="50291142"/>
    <w:rsid w:val="502D095C"/>
    <w:rsid w:val="502E0D74"/>
    <w:rsid w:val="50342624"/>
    <w:rsid w:val="50342766"/>
    <w:rsid w:val="50411EDF"/>
    <w:rsid w:val="50436877"/>
    <w:rsid w:val="5049164F"/>
    <w:rsid w:val="504925C9"/>
    <w:rsid w:val="5054095A"/>
    <w:rsid w:val="505605DA"/>
    <w:rsid w:val="505A5F7F"/>
    <w:rsid w:val="505C4F06"/>
    <w:rsid w:val="5060696B"/>
    <w:rsid w:val="50613438"/>
    <w:rsid w:val="507059EB"/>
    <w:rsid w:val="50726A1D"/>
    <w:rsid w:val="50766910"/>
    <w:rsid w:val="508375A6"/>
    <w:rsid w:val="50880E4E"/>
    <w:rsid w:val="508C2CB2"/>
    <w:rsid w:val="508D0435"/>
    <w:rsid w:val="50925AA5"/>
    <w:rsid w:val="50A04405"/>
    <w:rsid w:val="50A52B08"/>
    <w:rsid w:val="50A578BA"/>
    <w:rsid w:val="50A6477C"/>
    <w:rsid w:val="50A84C7E"/>
    <w:rsid w:val="50AA007E"/>
    <w:rsid w:val="50AB1369"/>
    <w:rsid w:val="50AC0FE9"/>
    <w:rsid w:val="50C2570B"/>
    <w:rsid w:val="50C43AF2"/>
    <w:rsid w:val="50C72C40"/>
    <w:rsid w:val="50C924AC"/>
    <w:rsid w:val="50CC3A9C"/>
    <w:rsid w:val="50CC731F"/>
    <w:rsid w:val="50D22BE8"/>
    <w:rsid w:val="50DF27A4"/>
    <w:rsid w:val="50E2033C"/>
    <w:rsid w:val="50E231B3"/>
    <w:rsid w:val="50E25254"/>
    <w:rsid w:val="50E31B2F"/>
    <w:rsid w:val="50E336C1"/>
    <w:rsid w:val="50EE1A52"/>
    <w:rsid w:val="50FE6603"/>
    <w:rsid w:val="51031730"/>
    <w:rsid w:val="510319F7"/>
    <w:rsid w:val="51070D5F"/>
    <w:rsid w:val="510D5770"/>
    <w:rsid w:val="510E0FA8"/>
    <w:rsid w:val="510E4FED"/>
    <w:rsid w:val="510E7D88"/>
    <w:rsid w:val="51120CD3"/>
    <w:rsid w:val="51144B1C"/>
    <w:rsid w:val="51162588"/>
    <w:rsid w:val="51186119"/>
    <w:rsid w:val="5119199D"/>
    <w:rsid w:val="511A2FDC"/>
    <w:rsid w:val="511A3E51"/>
    <w:rsid w:val="511C200D"/>
    <w:rsid w:val="511D13C4"/>
    <w:rsid w:val="511F5E12"/>
    <w:rsid w:val="512107AB"/>
    <w:rsid w:val="51214329"/>
    <w:rsid w:val="512344AA"/>
    <w:rsid w:val="51237D2E"/>
    <w:rsid w:val="51245D07"/>
    <w:rsid w:val="51427E63"/>
    <w:rsid w:val="514458E5"/>
    <w:rsid w:val="51474D8B"/>
    <w:rsid w:val="51475650"/>
    <w:rsid w:val="514D455C"/>
    <w:rsid w:val="5154359D"/>
    <w:rsid w:val="515A2406"/>
    <w:rsid w:val="515A6B83"/>
    <w:rsid w:val="515B2E5D"/>
    <w:rsid w:val="515C2CB6"/>
    <w:rsid w:val="515E461D"/>
    <w:rsid w:val="515E6CBC"/>
    <w:rsid w:val="51635F1B"/>
    <w:rsid w:val="516B5D29"/>
    <w:rsid w:val="516D7734"/>
    <w:rsid w:val="51716477"/>
    <w:rsid w:val="51731702"/>
    <w:rsid w:val="51751E2F"/>
    <w:rsid w:val="517A4EB9"/>
    <w:rsid w:val="517E77ED"/>
    <w:rsid w:val="51846ACD"/>
    <w:rsid w:val="518D5DD4"/>
    <w:rsid w:val="518F0997"/>
    <w:rsid w:val="518F4E5F"/>
    <w:rsid w:val="518F5FEE"/>
    <w:rsid w:val="51914ADE"/>
    <w:rsid w:val="5198636E"/>
    <w:rsid w:val="519E5FA4"/>
    <w:rsid w:val="51AA0F09"/>
    <w:rsid w:val="51AB5DA4"/>
    <w:rsid w:val="51AD643A"/>
    <w:rsid w:val="51B12E15"/>
    <w:rsid w:val="51BF3622"/>
    <w:rsid w:val="51C67537"/>
    <w:rsid w:val="51C76712"/>
    <w:rsid w:val="51E456DF"/>
    <w:rsid w:val="51E57276"/>
    <w:rsid w:val="51E6586D"/>
    <w:rsid w:val="51E931BF"/>
    <w:rsid w:val="51EB3CF2"/>
    <w:rsid w:val="51EB7362"/>
    <w:rsid w:val="51EE6641"/>
    <w:rsid w:val="51F9760B"/>
    <w:rsid w:val="51FC1C0F"/>
    <w:rsid w:val="52016330"/>
    <w:rsid w:val="52032BF4"/>
    <w:rsid w:val="52096D95"/>
    <w:rsid w:val="52121BB5"/>
    <w:rsid w:val="521C7F46"/>
    <w:rsid w:val="521E1EC9"/>
    <w:rsid w:val="52213A6B"/>
    <w:rsid w:val="52265F57"/>
    <w:rsid w:val="522A0C67"/>
    <w:rsid w:val="522C4A8C"/>
    <w:rsid w:val="522D043F"/>
    <w:rsid w:val="523A03BE"/>
    <w:rsid w:val="523E5EFC"/>
    <w:rsid w:val="5249428D"/>
    <w:rsid w:val="52585AB3"/>
    <w:rsid w:val="52594527"/>
    <w:rsid w:val="525E09AF"/>
    <w:rsid w:val="525E3C72"/>
    <w:rsid w:val="525E4232"/>
    <w:rsid w:val="525F55A2"/>
    <w:rsid w:val="526925C3"/>
    <w:rsid w:val="52730954"/>
    <w:rsid w:val="527D27AA"/>
    <w:rsid w:val="527F2760"/>
    <w:rsid w:val="527F6965"/>
    <w:rsid w:val="52802336"/>
    <w:rsid w:val="528170E5"/>
    <w:rsid w:val="528A4CF6"/>
    <w:rsid w:val="528D492D"/>
    <w:rsid w:val="528D6462"/>
    <w:rsid w:val="52950066"/>
    <w:rsid w:val="5295690B"/>
    <w:rsid w:val="52980C79"/>
    <w:rsid w:val="529E36CC"/>
    <w:rsid w:val="529F4C9C"/>
    <w:rsid w:val="52A10114"/>
    <w:rsid w:val="52A24612"/>
    <w:rsid w:val="52A612F1"/>
    <w:rsid w:val="52A64A83"/>
    <w:rsid w:val="52AA302D"/>
    <w:rsid w:val="52AA4A52"/>
    <w:rsid w:val="52AC5393"/>
    <w:rsid w:val="52B40D82"/>
    <w:rsid w:val="52B513BE"/>
    <w:rsid w:val="52B57299"/>
    <w:rsid w:val="52B83584"/>
    <w:rsid w:val="52BE7F90"/>
    <w:rsid w:val="52BF2FD2"/>
    <w:rsid w:val="52C02389"/>
    <w:rsid w:val="52C027E0"/>
    <w:rsid w:val="52C4446E"/>
    <w:rsid w:val="52C601BB"/>
    <w:rsid w:val="52C82826"/>
    <w:rsid w:val="52CA1363"/>
    <w:rsid w:val="52D30253"/>
    <w:rsid w:val="52D524EF"/>
    <w:rsid w:val="52D63C38"/>
    <w:rsid w:val="52D67374"/>
    <w:rsid w:val="52D779C2"/>
    <w:rsid w:val="52DA5174"/>
    <w:rsid w:val="52DC127D"/>
    <w:rsid w:val="52DC3C1F"/>
    <w:rsid w:val="52E55743"/>
    <w:rsid w:val="52EC7319"/>
    <w:rsid w:val="52F047D2"/>
    <w:rsid w:val="52F1599F"/>
    <w:rsid w:val="52F22529"/>
    <w:rsid w:val="52F31414"/>
    <w:rsid w:val="52F656AA"/>
    <w:rsid w:val="52FA0B65"/>
    <w:rsid w:val="52FF3FE3"/>
    <w:rsid w:val="530225B0"/>
    <w:rsid w:val="53063D29"/>
    <w:rsid w:val="530B1DCC"/>
    <w:rsid w:val="530C6DBE"/>
    <w:rsid w:val="53131F48"/>
    <w:rsid w:val="53140059"/>
    <w:rsid w:val="531639E1"/>
    <w:rsid w:val="531C6A59"/>
    <w:rsid w:val="53215E1B"/>
    <w:rsid w:val="532573FA"/>
    <w:rsid w:val="532B5839"/>
    <w:rsid w:val="532D0556"/>
    <w:rsid w:val="532E523B"/>
    <w:rsid w:val="532F0D71"/>
    <w:rsid w:val="53315B21"/>
    <w:rsid w:val="53335AA7"/>
    <w:rsid w:val="533632B0"/>
    <w:rsid w:val="5338235C"/>
    <w:rsid w:val="533A316C"/>
    <w:rsid w:val="533D50DD"/>
    <w:rsid w:val="5341105F"/>
    <w:rsid w:val="53457B47"/>
    <w:rsid w:val="53470313"/>
    <w:rsid w:val="5347705B"/>
    <w:rsid w:val="534D7144"/>
    <w:rsid w:val="535029E3"/>
    <w:rsid w:val="535576C2"/>
    <w:rsid w:val="5357444A"/>
    <w:rsid w:val="53590B35"/>
    <w:rsid w:val="536227DB"/>
    <w:rsid w:val="53707ACA"/>
    <w:rsid w:val="53707EDF"/>
    <w:rsid w:val="53772781"/>
    <w:rsid w:val="53790E93"/>
    <w:rsid w:val="537F2398"/>
    <w:rsid w:val="53820B12"/>
    <w:rsid w:val="53840791"/>
    <w:rsid w:val="5385142C"/>
    <w:rsid w:val="53883AF2"/>
    <w:rsid w:val="538E6B22"/>
    <w:rsid w:val="53903255"/>
    <w:rsid w:val="53944EB6"/>
    <w:rsid w:val="539542F6"/>
    <w:rsid w:val="53955F69"/>
    <w:rsid w:val="53990737"/>
    <w:rsid w:val="539B7E16"/>
    <w:rsid w:val="53A81499"/>
    <w:rsid w:val="53AE4E59"/>
    <w:rsid w:val="53B65863"/>
    <w:rsid w:val="53B931EA"/>
    <w:rsid w:val="53BA2E6A"/>
    <w:rsid w:val="53C76FAB"/>
    <w:rsid w:val="53CA1A13"/>
    <w:rsid w:val="53CE71F8"/>
    <w:rsid w:val="53D224C1"/>
    <w:rsid w:val="53DA11A0"/>
    <w:rsid w:val="53DA2FA3"/>
    <w:rsid w:val="53DE29B2"/>
    <w:rsid w:val="53EB4D88"/>
    <w:rsid w:val="53F01145"/>
    <w:rsid w:val="53F058C2"/>
    <w:rsid w:val="53FA3C53"/>
    <w:rsid w:val="53FC64F7"/>
    <w:rsid w:val="53FE07EC"/>
    <w:rsid w:val="540264B2"/>
    <w:rsid w:val="54050405"/>
    <w:rsid w:val="54055868"/>
    <w:rsid w:val="54103BF9"/>
    <w:rsid w:val="54113878"/>
    <w:rsid w:val="54126DEA"/>
    <w:rsid w:val="541727D9"/>
    <w:rsid w:val="5419379A"/>
    <w:rsid w:val="541B3950"/>
    <w:rsid w:val="541C638D"/>
    <w:rsid w:val="54207F21"/>
    <w:rsid w:val="5422674A"/>
    <w:rsid w:val="542C21ED"/>
    <w:rsid w:val="54311BAF"/>
    <w:rsid w:val="543313DA"/>
    <w:rsid w:val="54347DC3"/>
    <w:rsid w:val="54380D1F"/>
    <w:rsid w:val="54393149"/>
    <w:rsid w:val="543B668F"/>
    <w:rsid w:val="543C7F40"/>
    <w:rsid w:val="543E34CB"/>
    <w:rsid w:val="54471B54"/>
    <w:rsid w:val="54482A8E"/>
    <w:rsid w:val="54514662"/>
    <w:rsid w:val="54517EE5"/>
    <w:rsid w:val="5454253F"/>
    <w:rsid w:val="54547399"/>
    <w:rsid w:val="545910F6"/>
    <w:rsid w:val="545A20E1"/>
    <w:rsid w:val="545D43A9"/>
    <w:rsid w:val="545F2E8C"/>
    <w:rsid w:val="54662291"/>
    <w:rsid w:val="54664607"/>
    <w:rsid w:val="546E1468"/>
    <w:rsid w:val="546F7D6E"/>
    <w:rsid w:val="54702B2A"/>
    <w:rsid w:val="54705621"/>
    <w:rsid w:val="54707141"/>
    <w:rsid w:val="54721025"/>
    <w:rsid w:val="54722618"/>
    <w:rsid w:val="54740905"/>
    <w:rsid w:val="547D09A9"/>
    <w:rsid w:val="54875048"/>
    <w:rsid w:val="54886D3A"/>
    <w:rsid w:val="548D2790"/>
    <w:rsid w:val="54957903"/>
    <w:rsid w:val="549666CD"/>
    <w:rsid w:val="549C018C"/>
    <w:rsid w:val="549D4868"/>
    <w:rsid w:val="549D6CE0"/>
    <w:rsid w:val="54A00BE9"/>
    <w:rsid w:val="54A7306C"/>
    <w:rsid w:val="54A808F4"/>
    <w:rsid w:val="54A85061"/>
    <w:rsid w:val="54A85071"/>
    <w:rsid w:val="54B26C85"/>
    <w:rsid w:val="54B33C89"/>
    <w:rsid w:val="54B36347"/>
    <w:rsid w:val="54B44D6F"/>
    <w:rsid w:val="54B929A3"/>
    <w:rsid w:val="54BD5016"/>
    <w:rsid w:val="54C570B3"/>
    <w:rsid w:val="54C65D85"/>
    <w:rsid w:val="54C664C3"/>
    <w:rsid w:val="54C93027"/>
    <w:rsid w:val="54CE2E43"/>
    <w:rsid w:val="54CF2491"/>
    <w:rsid w:val="54CF41A4"/>
    <w:rsid w:val="54D876F2"/>
    <w:rsid w:val="54DA45DF"/>
    <w:rsid w:val="54DE4AA0"/>
    <w:rsid w:val="54DE7749"/>
    <w:rsid w:val="54DF2FCC"/>
    <w:rsid w:val="54DF553B"/>
    <w:rsid w:val="54E6204B"/>
    <w:rsid w:val="54E9135D"/>
    <w:rsid w:val="54EB205D"/>
    <w:rsid w:val="54EC44AF"/>
    <w:rsid w:val="54F24E3A"/>
    <w:rsid w:val="54F34AC1"/>
    <w:rsid w:val="54F476EE"/>
    <w:rsid w:val="54FD5241"/>
    <w:rsid w:val="54FF1F4B"/>
    <w:rsid w:val="55047640"/>
    <w:rsid w:val="550501D0"/>
    <w:rsid w:val="550506C0"/>
    <w:rsid w:val="55066C1E"/>
    <w:rsid w:val="55070BF0"/>
    <w:rsid w:val="551233AE"/>
    <w:rsid w:val="55145A25"/>
    <w:rsid w:val="551556A5"/>
    <w:rsid w:val="55201BEC"/>
    <w:rsid w:val="55203A36"/>
    <w:rsid w:val="552230E2"/>
    <w:rsid w:val="552573E5"/>
    <w:rsid w:val="552B1DC7"/>
    <w:rsid w:val="552C4BF8"/>
    <w:rsid w:val="552E3D54"/>
    <w:rsid w:val="552E6D07"/>
    <w:rsid w:val="55340863"/>
    <w:rsid w:val="55367744"/>
    <w:rsid w:val="55382717"/>
    <w:rsid w:val="553F7680"/>
    <w:rsid w:val="55401D6C"/>
    <w:rsid w:val="55411C22"/>
    <w:rsid w:val="55491CFC"/>
    <w:rsid w:val="554A791A"/>
    <w:rsid w:val="554B00FD"/>
    <w:rsid w:val="554E6ECE"/>
    <w:rsid w:val="55515548"/>
    <w:rsid w:val="555333A3"/>
    <w:rsid w:val="5557610E"/>
    <w:rsid w:val="555E6931"/>
    <w:rsid w:val="55681C51"/>
    <w:rsid w:val="5569718A"/>
    <w:rsid w:val="556C60B3"/>
    <w:rsid w:val="556F08C9"/>
    <w:rsid w:val="557051DB"/>
    <w:rsid w:val="55774444"/>
    <w:rsid w:val="5582754E"/>
    <w:rsid w:val="558860CD"/>
    <w:rsid w:val="558C0B67"/>
    <w:rsid w:val="558C43EA"/>
    <w:rsid w:val="558D730E"/>
    <w:rsid w:val="559427FC"/>
    <w:rsid w:val="5597277B"/>
    <w:rsid w:val="55981C4F"/>
    <w:rsid w:val="559B09F8"/>
    <w:rsid w:val="559F24E8"/>
    <w:rsid w:val="55A10B0C"/>
    <w:rsid w:val="55A12B5E"/>
    <w:rsid w:val="55A31AEC"/>
    <w:rsid w:val="55A561C7"/>
    <w:rsid w:val="55A737D5"/>
    <w:rsid w:val="55A779C5"/>
    <w:rsid w:val="55AB03D2"/>
    <w:rsid w:val="55AD6B1D"/>
    <w:rsid w:val="55B27ED0"/>
    <w:rsid w:val="55B33D97"/>
    <w:rsid w:val="55B46663"/>
    <w:rsid w:val="55B84EAE"/>
    <w:rsid w:val="55BD3F4D"/>
    <w:rsid w:val="55C36AC2"/>
    <w:rsid w:val="55C4586C"/>
    <w:rsid w:val="55CA4232"/>
    <w:rsid w:val="55D3478A"/>
    <w:rsid w:val="55D3614C"/>
    <w:rsid w:val="55D831E4"/>
    <w:rsid w:val="55E30882"/>
    <w:rsid w:val="55E3432C"/>
    <w:rsid w:val="55ED318A"/>
    <w:rsid w:val="55EE1C76"/>
    <w:rsid w:val="55F31A39"/>
    <w:rsid w:val="55F32F29"/>
    <w:rsid w:val="55F64B27"/>
    <w:rsid w:val="55F8151B"/>
    <w:rsid w:val="55F844A0"/>
    <w:rsid w:val="55FF2B16"/>
    <w:rsid w:val="5602340E"/>
    <w:rsid w:val="56023681"/>
    <w:rsid w:val="5606078F"/>
    <w:rsid w:val="5606140D"/>
    <w:rsid w:val="56073CC9"/>
    <w:rsid w:val="5611529E"/>
    <w:rsid w:val="561A74D1"/>
    <w:rsid w:val="561D6E73"/>
    <w:rsid w:val="56224D11"/>
    <w:rsid w:val="56245862"/>
    <w:rsid w:val="562A0BC4"/>
    <w:rsid w:val="562B75CF"/>
    <w:rsid w:val="562F3BF3"/>
    <w:rsid w:val="56391F84"/>
    <w:rsid w:val="56404CD3"/>
    <w:rsid w:val="5641279A"/>
    <w:rsid w:val="5643681F"/>
    <w:rsid w:val="56443B98"/>
    <w:rsid w:val="564A5AA2"/>
    <w:rsid w:val="564F1F29"/>
    <w:rsid w:val="56501C6A"/>
    <w:rsid w:val="565556EA"/>
    <w:rsid w:val="565753EC"/>
    <w:rsid w:val="565B7F3A"/>
    <w:rsid w:val="565E4908"/>
    <w:rsid w:val="565F536F"/>
    <w:rsid w:val="566B2B26"/>
    <w:rsid w:val="566C3409"/>
    <w:rsid w:val="566D4FE6"/>
    <w:rsid w:val="566D5062"/>
    <w:rsid w:val="56707EE0"/>
    <w:rsid w:val="56746D07"/>
    <w:rsid w:val="56752BFD"/>
    <w:rsid w:val="56775CC5"/>
    <w:rsid w:val="56785F21"/>
    <w:rsid w:val="567B29ED"/>
    <w:rsid w:val="567B6271"/>
    <w:rsid w:val="56806F6D"/>
    <w:rsid w:val="56864602"/>
    <w:rsid w:val="568901D0"/>
    <w:rsid w:val="5689159A"/>
    <w:rsid w:val="568C4501"/>
    <w:rsid w:val="56902993"/>
    <w:rsid w:val="56942848"/>
    <w:rsid w:val="569505EA"/>
    <w:rsid w:val="569752CF"/>
    <w:rsid w:val="56976857"/>
    <w:rsid w:val="569E3777"/>
    <w:rsid w:val="56A51DB0"/>
    <w:rsid w:val="56A62938"/>
    <w:rsid w:val="56A63E20"/>
    <w:rsid w:val="56AB49CC"/>
    <w:rsid w:val="56AF55E7"/>
    <w:rsid w:val="56B04E65"/>
    <w:rsid w:val="56B055A7"/>
    <w:rsid w:val="56B954B5"/>
    <w:rsid w:val="56BA209B"/>
    <w:rsid w:val="56C66DA6"/>
    <w:rsid w:val="56C708EE"/>
    <w:rsid w:val="56C7506B"/>
    <w:rsid w:val="56CC3A96"/>
    <w:rsid w:val="56CD328F"/>
    <w:rsid w:val="56D133FC"/>
    <w:rsid w:val="56D15A3D"/>
    <w:rsid w:val="56D26C7F"/>
    <w:rsid w:val="56D30398"/>
    <w:rsid w:val="56DA1B29"/>
    <w:rsid w:val="56E81E68"/>
    <w:rsid w:val="56E87E70"/>
    <w:rsid w:val="56ED32FE"/>
    <w:rsid w:val="56ED47D9"/>
    <w:rsid w:val="56EE5B40"/>
    <w:rsid w:val="56F015F3"/>
    <w:rsid w:val="56F12CD6"/>
    <w:rsid w:val="56F37088"/>
    <w:rsid w:val="56F80B85"/>
    <w:rsid w:val="56F94A4A"/>
    <w:rsid w:val="56FA3003"/>
    <w:rsid w:val="570173AD"/>
    <w:rsid w:val="57081358"/>
    <w:rsid w:val="570931FB"/>
    <w:rsid w:val="57107939"/>
    <w:rsid w:val="571376E9"/>
    <w:rsid w:val="571E12FD"/>
    <w:rsid w:val="571F2063"/>
    <w:rsid w:val="57222086"/>
    <w:rsid w:val="57230DDF"/>
    <w:rsid w:val="57294B4D"/>
    <w:rsid w:val="572C4E14"/>
    <w:rsid w:val="5732333D"/>
    <w:rsid w:val="57335A1F"/>
    <w:rsid w:val="57402F20"/>
    <w:rsid w:val="57454B61"/>
    <w:rsid w:val="574A1DC1"/>
    <w:rsid w:val="574B7B93"/>
    <w:rsid w:val="574C25C7"/>
    <w:rsid w:val="574D25BF"/>
    <w:rsid w:val="574D6C57"/>
    <w:rsid w:val="574F4FAA"/>
    <w:rsid w:val="57540152"/>
    <w:rsid w:val="57574D1F"/>
    <w:rsid w:val="57592685"/>
    <w:rsid w:val="57593233"/>
    <w:rsid w:val="575F1D66"/>
    <w:rsid w:val="57646EAD"/>
    <w:rsid w:val="576768EF"/>
    <w:rsid w:val="57694302"/>
    <w:rsid w:val="57695C29"/>
    <w:rsid w:val="576D254D"/>
    <w:rsid w:val="57735237"/>
    <w:rsid w:val="57743427"/>
    <w:rsid w:val="57743A95"/>
    <w:rsid w:val="57751D0C"/>
    <w:rsid w:val="577F4650"/>
    <w:rsid w:val="578A2BB6"/>
    <w:rsid w:val="57930865"/>
    <w:rsid w:val="579447BF"/>
    <w:rsid w:val="5796443F"/>
    <w:rsid w:val="579B76D4"/>
    <w:rsid w:val="579F5AF7"/>
    <w:rsid w:val="57AA0EA1"/>
    <w:rsid w:val="57AB0B61"/>
    <w:rsid w:val="57AE6AF4"/>
    <w:rsid w:val="57B14A63"/>
    <w:rsid w:val="57B32B82"/>
    <w:rsid w:val="57B43891"/>
    <w:rsid w:val="57B62775"/>
    <w:rsid w:val="57BB4575"/>
    <w:rsid w:val="57BD5132"/>
    <w:rsid w:val="57BF6D1A"/>
    <w:rsid w:val="57D1161A"/>
    <w:rsid w:val="57D65228"/>
    <w:rsid w:val="57D86571"/>
    <w:rsid w:val="57D9093E"/>
    <w:rsid w:val="57DD205B"/>
    <w:rsid w:val="57E16E3D"/>
    <w:rsid w:val="57E37BFE"/>
    <w:rsid w:val="57EB51CE"/>
    <w:rsid w:val="57EF58DB"/>
    <w:rsid w:val="57F56B36"/>
    <w:rsid w:val="57F6470D"/>
    <w:rsid w:val="57F731DF"/>
    <w:rsid w:val="57FB0B21"/>
    <w:rsid w:val="58021570"/>
    <w:rsid w:val="58025AB3"/>
    <w:rsid w:val="5802761F"/>
    <w:rsid w:val="58027842"/>
    <w:rsid w:val="5806272A"/>
    <w:rsid w:val="580911D1"/>
    <w:rsid w:val="580A7AE1"/>
    <w:rsid w:val="580D3184"/>
    <w:rsid w:val="5811629B"/>
    <w:rsid w:val="581658A6"/>
    <w:rsid w:val="58171515"/>
    <w:rsid w:val="581976BA"/>
    <w:rsid w:val="58197C77"/>
    <w:rsid w:val="581C6BB2"/>
    <w:rsid w:val="582200C8"/>
    <w:rsid w:val="582D096F"/>
    <w:rsid w:val="582E78D1"/>
    <w:rsid w:val="58337AA7"/>
    <w:rsid w:val="583F1380"/>
    <w:rsid w:val="5843585C"/>
    <w:rsid w:val="58454766"/>
    <w:rsid w:val="58495FC5"/>
    <w:rsid w:val="584A011F"/>
    <w:rsid w:val="584C130B"/>
    <w:rsid w:val="584E3BED"/>
    <w:rsid w:val="58552D99"/>
    <w:rsid w:val="585C4B03"/>
    <w:rsid w:val="585F2211"/>
    <w:rsid w:val="58614C66"/>
    <w:rsid w:val="5863030F"/>
    <w:rsid w:val="58635566"/>
    <w:rsid w:val="58681C04"/>
    <w:rsid w:val="586B2B15"/>
    <w:rsid w:val="586E1F24"/>
    <w:rsid w:val="586E577C"/>
    <w:rsid w:val="58725799"/>
    <w:rsid w:val="58763D33"/>
    <w:rsid w:val="587651AC"/>
    <w:rsid w:val="58774A1F"/>
    <w:rsid w:val="587F729C"/>
    <w:rsid w:val="58825446"/>
    <w:rsid w:val="58835C1A"/>
    <w:rsid w:val="588562C6"/>
    <w:rsid w:val="58891AA7"/>
    <w:rsid w:val="588A4ED5"/>
    <w:rsid w:val="588D747C"/>
    <w:rsid w:val="588E05F4"/>
    <w:rsid w:val="58921AD3"/>
    <w:rsid w:val="589A60EB"/>
    <w:rsid w:val="589A626B"/>
    <w:rsid w:val="589C4473"/>
    <w:rsid w:val="589D177D"/>
    <w:rsid w:val="58A00174"/>
    <w:rsid w:val="58A0698D"/>
    <w:rsid w:val="58A545FC"/>
    <w:rsid w:val="58A56BC7"/>
    <w:rsid w:val="58A75102"/>
    <w:rsid w:val="58AE0E3B"/>
    <w:rsid w:val="58AE63FA"/>
    <w:rsid w:val="58B43F93"/>
    <w:rsid w:val="58BA0D1E"/>
    <w:rsid w:val="58C16EA7"/>
    <w:rsid w:val="58C21B80"/>
    <w:rsid w:val="58C23E9A"/>
    <w:rsid w:val="58C249DB"/>
    <w:rsid w:val="58D436FF"/>
    <w:rsid w:val="58D514F3"/>
    <w:rsid w:val="58DA7055"/>
    <w:rsid w:val="58DA79FF"/>
    <w:rsid w:val="58DB6CD4"/>
    <w:rsid w:val="58E41814"/>
    <w:rsid w:val="58E65065"/>
    <w:rsid w:val="58EF6424"/>
    <w:rsid w:val="58F405F2"/>
    <w:rsid w:val="58F55792"/>
    <w:rsid w:val="58FF201C"/>
    <w:rsid w:val="59023F6F"/>
    <w:rsid w:val="59024FE2"/>
    <w:rsid w:val="5906339C"/>
    <w:rsid w:val="590660CD"/>
    <w:rsid w:val="590B22B6"/>
    <w:rsid w:val="590C7CEE"/>
    <w:rsid w:val="59104691"/>
    <w:rsid w:val="5911172D"/>
    <w:rsid w:val="59114FB0"/>
    <w:rsid w:val="591305FD"/>
    <w:rsid w:val="59152328"/>
    <w:rsid w:val="59216869"/>
    <w:rsid w:val="59317A63"/>
    <w:rsid w:val="59355EB2"/>
    <w:rsid w:val="593D5A74"/>
    <w:rsid w:val="594066C9"/>
    <w:rsid w:val="594763AE"/>
    <w:rsid w:val="59495BD7"/>
    <w:rsid w:val="594E750A"/>
    <w:rsid w:val="59513158"/>
    <w:rsid w:val="59522196"/>
    <w:rsid w:val="59525A19"/>
    <w:rsid w:val="59566230"/>
    <w:rsid w:val="595C5ED8"/>
    <w:rsid w:val="595D3DAB"/>
    <w:rsid w:val="59610256"/>
    <w:rsid w:val="59661369"/>
    <w:rsid w:val="5967213C"/>
    <w:rsid w:val="59676172"/>
    <w:rsid w:val="5977291B"/>
    <w:rsid w:val="597827FF"/>
    <w:rsid w:val="59791DCF"/>
    <w:rsid w:val="597A3994"/>
    <w:rsid w:val="597B41B8"/>
    <w:rsid w:val="597F1342"/>
    <w:rsid w:val="59845DE5"/>
    <w:rsid w:val="59870472"/>
    <w:rsid w:val="59890238"/>
    <w:rsid w:val="5989767A"/>
    <w:rsid w:val="598B16E2"/>
    <w:rsid w:val="598B5319"/>
    <w:rsid w:val="598C6D6F"/>
    <w:rsid w:val="5992214F"/>
    <w:rsid w:val="59946483"/>
    <w:rsid w:val="59947FB2"/>
    <w:rsid w:val="59957B49"/>
    <w:rsid w:val="5999038C"/>
    <w:rsid w:val="59A77ADC"/>
    <w:rsid w:val="59A8717C"/>
    <w:rsid w:val="59A92BA5"/>
    <w:rsid w:val="59A96428"/>
    <w:rsid w:val="59AA2E4E"/>
    <w:rsid w:val="59AF3A4D"/>
    <w:rsid w:val="59B6398B"/>
    <w:rsid w:val="59B85B4B"/>
    <w:rsid w:val="59BC46C1"/>
    <w:rsid w:val="59BE2B4A"/>
    <w:rsid w:val="59C07704"/>
    <w:rsid w:val="59C364E7"/>
    <w:rsid w:val="59C57C0E"/>
    <w:rsid w:val="59CA637B"/>
    <w:rsid w:val="59D07061"/>
    <w:rsid w:val="59D94E89"/>
    <w:rsid w:val="59DD74F3"/>
    <w:rsid w:val="59E36BDA"/>
    <w:rsid w:val="59E566D9"/>
    <w:rsid w:val="59E86BDA"/>
    <w:rsid w:val="59EA5DDB"/>
    <w:rsid w:val="59EA6E92"/>
    <w:rsid w:val="59ED3F1E"/>
    <w:rsid w:val="59F04479"/>
    <w:rsid w:val="59F50AA6"/>
    <w:rsid w:val="59FD6D9C"/>
    <w:rsid w:val="5A056D65"/>
    <w:rsid w:val="5A103DFE"/>
    <w:rsid w:val="5A123F84"/>
    <w:rsid w:val="5A153559"/>
    <w:rsid w:val="5A155B22"/>
    <w:rsid w:val="5A1633BF"/>
    <w:rsid w:val="5A220BA4"/>
    <w:rsid w:val="5A2C0E3D"/>
    <w:rsid w:val="5A2D65E3"/>
    <w:rsid w:val="5A350E7C"/>
    <w:rsid w:val="5A3849F1"/>
    <w:rsid w:val="5A3C31EA"/>
    <w:rsid w:val="5A480DFA"/>
    <w:rsid w:val="5A4C14B5"/>
    <w:rsid w:val="5A4C5C31"/>
    <w:rsid w:val="5A4E7DB5"/>
    <w:rsid w:val="5A563FC2"/>
    <w:rsid w:val="5A564CCB"/>
    <w:rsid w:val="5A565A71"/>
    <w:rsid w:val="5A567846"/>
    <w:rsid w:val="5A587B11"/>
    <w:rsid w:val="5A5C5ABF"/>
    <w:rsid w:val="5A6715C3"/>
    <w:rsid w:val="5A6C3F68"/>
    <w:rsid w:val="5A6F424A"/>
    <w:rsid w:val="5A754E26"/>
    <w:rsid w:val="5A785CE9"/>
    <w:rsid w:val="5A7B4354"/>
    <w:rsid w:val="5A7B6781"/>
    <w:rsid w:val="5A7B799F"/>
    <w:rsid w:val="5A81759A"/>
    <w:rsid w:val="5A82030A"/>
    <w:rsid w:val="5A833CC6"/>
    <w:rsid w:val="5A882A18"/>
    <w:rsid w:val="5A8D1F1E"/>
    <w:rsid w:val="5A900D5F"/>
    <w:rsid w:val="5A904AA8"/>
    <w:rsid w:val="5A9802AF"/>
    <w:rsid w:val="5A9C55FB"/>
    <w:rsid w:val="5AA24F62"/>
    <w:rsid w:val="5AA31EC3"/>
    <w:rsid w:val="5AA323EC"/>
    <w:rsid w:val="5AA42CAD"/>
    <w:rsid w:val="5AAD0254"/>
    <w:rsid w:val="5AAD49D1"/>
    <w:rsid w:val="5AB1392F"/>
    <w:rsid w:val="5AB72073"/>
    <w:rsid w:val="5AB81D29"/>
    <w:rsid w:val="5ABA5807"/>
    <w:rsid w:val="5ABD5412"/>
    <w:rsid w:val="5ABF1108"/>
    <w:rsid w:val="5AC24977"/>
    <w:rsid w:val="5AC306C7"/>
    <w:rsid w:val="5AC445F6"/>
    <w:rsid w:val="5AC81FAD"/>
    <w:rsid w:val="5AD36207"/>
    <w:rsid w:val="5AD44D62"/>
    <w:rsid w:val="5AD87233"/>
    <w:rsid w:val="5AD90D18"/>
    <w:rsid w:val="5ADF1A8B"/>
    <w:rsid w:val="5AE470AA"/>
    <w:rsid w:val="5AEF0CBE"/>
    <w:rsid w:val="5AEF0E9C"/>
    <w:rsid w:val="5AEF7FCA"/>
    <w:rsid w:val="5AF17F18"/>
    <w:rsid w:val="5AF570D9"/>
    <w:rsid w:val="5AF65FE4"/>
    <w:rsid w:val="5AF81198"/>
    <w:rsid w:val="5AF9704F"/>
    <w:rsid w:val="5AFC568B"/>
    <w:rsid w:val="5B000CE2"/>
    <w:rsid w:val="5B0063C7"/>
    <w:rsid w:val="5B075410"/>
    <w:rsid w:val="5B081542"/>
    <w:rsid w:val="5B0842C5"/>
    <w:rsid w:val="5B0B4153"/>
    <w:rsid w:val="5B117888"/>
    <w:rsid w:val="5B1227C7"/>
    <w:rsid w:val="5B195385"/>
    <w:rsid w:val="5B2443EE"/>
    <w:rsid w:val="5B254D65"/>
    <w:rsid w:val="5B2642B3"/>
    <w:rsid w:val="5B2A2F0E"/>
    <w:rsid w:val="5B2D405A"/>
    <w:rsid w:val="5B2D41AF"/>
    <w:rsid w:val="5B301727"/>
    <w:rsid w:val="5B342CCC"/>
    <w:rsid w:val="5B3A7AB8"/>
    <w:rsid w:val="5B3B333C"/>
    <w:rsid w:val="5B3B7712"/>
    <w:rsid w:val="5B413E9B"/>
    <w:rsid w:val="5B4516CD"/>
    <w:rsid w:val="5B506D89"/>
    <w:rsid w:val="5B507A5E"/>
    <w:rsid w:val="5B5A591C"/>
    <w:rsid w:val="5B5D1818"/>
    <w:rsid w:val="5B5F07E8"/>
    <w:rsid w:val="5B6107C4"/>
    <w:rsid w:val="5B6123AA"/>
    <w:rsid w:val="5B6D3744"/>
    <w:rsid w:val="5B705D94"/>
    <w:rsid w:val="5B715A14"/>
    <w:rsid w:val="5B720572"/>
    <w:rsid w:val="5B72362E"/>
    <w:rsid w:val="5B77435A"/>
    <w:rsid w:val="5B785E11"/>
    <w:rsid w:val="5B7C2749"/>
    <w:rsid w:val="5B7C3DA5"/>
    <w:rsid w:val="5B7C74AF"/>
    <w:rsid w:val="5B7D17BA"/>
    <w:rsid w:val="5B7E7DD1"/>
    <w:rsid w:val="5B7F7367"/>
    <w:rsid w:val="5B80710B"/>
    <w:rsid w:val="5B811D24"/>
    <w:rsid w:val="5B815813"/>
    <w:rsid w:val="5B8631DB"/>
    <w:rsid w:val="5B872136"/>
    <w:rsid w:val="5B8A4BE1"/>
    <w:rsid w:val="5B8B0D82"/>
    <w:rsid w:val="5B9104C7"/>
    <w:rsid w:val="5B920FA2"/>
    <w:rsid w:val="5B9335C5"/>
    <w:rsid w:val="5B942DBC"/>
    <w:rsid w:val="5B993E3C"/>
    <w:rsid w:val="5B9A3DA6"/>
    <w:rsid w:val="5BA95BC1"/>
    <w:rsid w:val="5BAA4EE6"/>
    <w:rsid w:val="5BAB4650"/>
    <w:rsid w:val="5BAC2376"/>
    <w:rsid w:val="5BB13D8A"/>
    <w:rsid w:val="5BB167FD"/>
    <w:rsid w:val="5BB3647D"/>
    <w:rsid w:val="5BB6101F"/>
    <w:rsid w:val="5BB82154"/>
    <w:rsid w:val="5BBC74A1"/>
    <w:rsid w:val="5BBE7366"/>
    <w:rsid w:val="5BC44FBF"/>
    <w:rsid w:val="5BC64416"/>
    <w:rsid w:val="5BC91BF7"/>
    <w:rsid w:val="5BCB603D"/>
    <w:rsid w:val="5BD0641A"/>
    <w:rsid w:val="5BDA3C8D"/>
    <w:rsid w:val="5BDD565D"/>
    <w:rsid w:val="5BDD6662"/>
    <w:rsid w:val="5BE53F27"/>
    <w:rsid w:val="5BE8450D"/>
    <w:rsid w:val="5BEC3870"/>
    <w:rsid w:val="5BEC75A7"/>
    <w:rsid w:val="5BF14593"/>
    <w:rsid w:val="5BFD0E7B"/>
    <w:rsid w:val="5BFE7152"/>
    <w:rsid w:val="5C007114"/>
    <w:rsid w:val="5C041720"/>
    <w:rsid w:val="5C077370"/>
    <w:rsid w:val="5C082446"/>
    <w:rsid w:val="5C08720C"/>
    <w:rsid w:val="5C0A6E8C"/>
    <w:rsid w:val="5C124BD0"/>
    <w:rsid w:val="5C137BC6"/>
    <w:rsid w:val="5C142A78"/>
    <w:rsid w:val="5C1B0357"/>
    <w:rsid w:val="5C1B50A2"/>
    <w:rsid w:val="5C1F35AE"/>
    <w:rsid w:val="5C1F6E31"/>
    <w:rsid w:val="5C2A51C2"/>
    <w:rsid w:val="5C2B4316"/>
    <w:rsid w:val="5C300A51"/>
    <w:rsid w:val="5C343553"/>
    <w:rsid w:val="5C39295E"/>
    <w:rsid w:val="5C3F18E4"/>
    <w:rsid w:val="5C3F5168"/>
    <w:rsid w:val="5C427DE2"/>
    <w:rsid w:val="5C4A34F9"/>
    <w:rsid w:val="5C4B2D18"/>
    <w:rsid w:val="5C4E109D"/>
    <w:rsid w:val="5C4F5402"/>
    <w:rsid w:val="5C4F733C"/>
    <w:rsid w:val="5C52446F"/>
    <w:rsid w:val="5C54188A"/>
    <w:rsid w:val="5C566D9D"/>
    <w:rsid w:val="5C580F16"/>
    <w:rsid w:val="5C5F6733"/>
    <w:rsid w:val="5C5F7C1B"/>
    <w:rsid w:val="5C60789B"/>
    <w:rsid w:val="5C6B5C2C"/>
    <w:rsid w:val="5C6D4596"/>
    <w:rsid w:val="5C7A7F51"/>
    <w:rsid w:val="5C7B00F3"/>
    <w:rsid w:val="5C7E4764"/>
    <w:rsid w:val="5C7E597C"/>
    <w:rsid w:val="5C80234E"/>
    <w:rsid w:val="5C804383"/>
    <w:rsid w:val="5C805BD1"/>
    <w:rsid w:val="5C863B49"/>
    <w:rsid w:val="5C864078"/>
    <w:rsid w:val="5C8B19E1"/>
    <w:rsid w:val="5C8B3F62"/>
    <w:rsid w:val="5C9D5727"/>
    <w:rsid w:val="5CA10FD8"/>
    <w:rsid w:val="5CA61FE4"/>
    <w:rsid w:val="5CA73E48"/>
    <w:rsid w:val="5CAB2299"/>
    <w:rsid w:val="5CAB68B3"/>
    <w:rsid w:val="5CB07FAF"/>
    <w:rsid w:val="5CB32C58"/>
    <w:rsid w:val="5CB5062A"/>
    <w:rsid w:val="5CB71919"/>
    <w:rsid w:val="5CBA774D"/>
    <w:rsid w:val="5CBB0CA4"/>
    <w:rsid w:val="5CC2690B"/>
    <w:rsid w:val="5CC6212E"/>
    <w:rsid w:val="5CCC49CC"/>
    <w:rsid w:val="5CD1080E"/>
    <w:rsid w:val="5CD72D5D"/>
    <w:rsid w:val="5CD740CF"/>
    <w:rsid w:val="5CD765E0"/>
    <w:rsid w:val="5CDD0720"/>
    <w:rsid w:val="5CE07385"/>
    <w:rsid w:val="5CE6025C"/>
    <w:rsid w:val="5CE602DA"/>
    <w:rsid w:val="5CEA3EA6"/>
    <w:rsid w:val="5CEC2D02"/>
    <w:rsid w:val="5CEE2982"/>
    <w:rsid w:val="5CEF4198"/>
    <w:rsid w:val="5CF073D9"/>
    <w:rsid w:val="5CF12BEB"/>
    <w:rsid w:val="5CF526CE"/>
    <w:rsid w:val="5CFC4C96"/>
    <w:rsid w:val="5CFD5627"/>
    <w:rsid w:val="5CFE266C"/>
    <w:rsid w:val="5D045CC1"/>
    <w:rsid w:val="5D0607CD"/>
    <w:rsid w:val="5D06619D"/>
    <w:rsid w:val="5D0A4796"/>
    <w:rsid w:val="5D0B47D7"/>
    <w:rsid w:val="5D0C1038"/>
    <w:rsid w:val="5D0D2970"/>
    <w:rsid w:val="5D0D6F22"/>
    <w:rsid w:val="5D0E0CB8"/>
    <w:rsid w:val="5D0E2082"/>
    <w:rsid w:val="5D133A5F"/>
    <w:rsid w:val="5D1670EC"/>
    <w:rsid w:val="5D187049"/>
    <w:rsid w:val="5D19194F"/>
    <w:rsid w:val="5D2353DA"/>
    <w:rsid w:val="5D2D376B"/>
    <w:rsid w:val="5D2D4924"/>
    <w:rsid w:val="5D2E0EE5"/>
    <w:rsid w:val="5D2E26C1"/>
    <w:rsid w:val="5D3125E9"/>
    <w:rsid w:val="5D38602C"/>
    <w:rsid w:val="5D393FE6"/>
    <w:rsid w:val="5D3972A2"/>
    <w:rsid w:val="5D3E52C6"/>
    <w:rsid w:val="5D4413C0"/>
    <w:rsid w:val="5D4543C9"/>
    <w:rsid w:val="5D474B47"/>
    <w:rsid w:val="5D487B98"/>
    <w:rsid w:val="5D4A2277"/>
    <w:rsid w:val="5D4C7606"/>
    <w:rsid w:val="5D4D6101"/>
    <w:rsid w:val="5D4F1DFA"/>
    <w:rsid w:val="5D594F4D"/>
    <w:rsid w:val="5D595A15"/>
    <w:rsid w:val="5D611778"/>
    <w:rsid w:val="5D6145D7"/>
    <w:rsid w:val="5D622C17"/>
    <w:rsid w:val="5D627C50"/>
    <w:rsid w:val="5D6416C7"/>
    <w:rsid w:val="5D662562"/>
    <w:rsid w:val="5D6747AA"/>
    <w:rsid w:val="5D6F7A58"/>
    <w:rsid w:val="5D730D16"/>
    <w:rsid w:val="5D775E19"/>
    <w:rsid w:val="5D7A166C"/>
    <w:rsid w:val="5D7E7E68"/>
    <w:rsid w:val="5D7F1408"/>
    <w:rsid w:val="5D826C26"/>
    <w:rsid w:val="5D84417A"/>
    <w:rsid w:val="5D8C0531"/>
    <w:rsid w:val="5D8F14C8"/>
    <w:rsid w:val="5D8F5D8E"/>
    <w:rsid w:val="5D963448"/>
    <w:rsid w:val="5D9A411F"/>
    <w:rsid w:val="5D9D7E83"/>
    <w:rsid w:val="5D9E1D4F"/>
    <w:rsid w:val="5DA536CC"/>
    <w:rsid w:val="5DA72855"/>
    <w:rsid w:val="5DAF3424"/>
    <w:rsid w:val="5DB12801"/>
    <w:rsid w:val="5DB402AB"/>
    <w:rsid w:val="5DBB20D6"/>
    <w:rsid w:val="5DC13FDF"/>
    <w:rsid w:val="5DC42104"/>
    <w:rsid w:val="5DC60467"/>
    <w:rsid w:val="5DCE55B0"/>
    <w:rsid w:val="5DD76AA6"/>
    <w:rsid w:val="5DD82F19"/>
    <w:rsid w:val="5DDB4B89"/>
    <w:rsid w:val="5DDC62AF"/>
    <w:rsid w:val="5DE01FC8"/>
    <w:rsid w:val="5DE15290"/>
    <w:rsid w:val="5DE2671C"/>
    <w:rsid w:val="5DE5020A"/>
    <w:rsid w:val="5DE6108C"/>
    <w:rsid w:val="5DE6679D"/>
    <w:rsid w:val="5DE9032A"/>
    <w:rsid w:val="5DE96128"/>
    <w:rsid w:val="5DF04B2E"/>
    <w:rsid w:val="5DF247AE"/>
    <w:rsid w:val="5DF3157C"/>
    <w:rsid w:val="5DF81043"/>
    <w:rsid w:val="5DF8538E"/>
    <w:rsid w:val="5DF971F8"/>
    <w:rsid w:val="5DFB096A"/>
    <w:rsid w:val="5DFD2B3F"/>
    <w:rsid w:val="5DFF7AD9"/>
    <w:rsid w:val="5E04626E"/>
    <w:rsid w:val="5E0619BF"/>
    <w:rsid w:val="5E070ED0"/>
    <w:rsid w:val="5E082074"/>
    <w:rsid w:val="5E085E20"/>
    <w:rsid w:val="5E104167"/>
    <w:rsid w:val="5E122AE4"/>
    <w:rsid w:val="5E167D99"/>
    <w:rsid w:val="5E1D0E75"/>
    <w:rsid w:val="5E1F39E4"/>
    <w:rsid w:val="5E262FC5"/>
    <w:rsid w:val="5E2B4834"/>
    <w:rsid w:val="5E2B744D"/>
    <w:rsid w:val="5E2E0EFB"/>
    <w:rsid w:val="5E315D0B"/>
    <w:rsid w:val="5E325597"/>
    <w:rsid w:val="5E375440"/>
    <w:rsid w:val="5E394A22"/>
    <w:rsid w:val="5E396D0F"/>
    <w:rsid w:val="5E3D71AC"/>
    <w:rsid w:val="5E3D7C6D"/>
    <w:rsid w:val="5E3E39C7"/>
    <w:rsid w:val="5E43528F"/>
    <w:rsid w:val="5E4611E9"/>
    <w:rsid w:val="5E47553D"/>
    <w:rsid w:val="5E497C3A"/>
    <w:rsid w:val="5E4B6F76"/>
    <w:rsid w:val="5E4D0442"/>
    <w:rsid w:val="5E540EBD"/>
    <w:rsid w:val="5E5C1B14"/>
    <w:rsid w:val="5E5E18DF"/>
    <w:rsid w:val="5E61452C"/>
    <w:rsid w:val="5E6455C8"/>
    <w:rsid w:val="5E646DB7"/>
    <w:rsid w:val="5E666525"/>
    <w:rsid w:val="5E6934F3"/>
    <w:rsid w:val="5E694ED4"/>
    <w:rsid w:val="5E6C2ABD"/>
    <w:rsid w:val="5E6D40F8"/>
    <w:rsid w:val="5E6E16AE"/>
    <w:rsid w:val="5E6E7DC6"/>
    <w:rsid w:val="5E731884"/>
    <w:rsid w:val="5E73543E"/>
    <w:rsid w:val="5E792877"/>
    <w:rsid w:val="5E7C2016"/>
    <w:rsid w:val="5E7D46AF"/>
    <w:rsid w:val="5E866F71"/>
    <w:rsid w:val="5E8751A0"/>
    <w:rsid w:val="5E8A573F"/>
    <w:rsid w:val="5E9114AA"/>
    <w:rsid w:val="5E96529C"/>
    <w:rsid w:val="5E973F53"/>
    <w:rsid w:val="5E9F5BCB"/>
    <w:rsid w:val="5EA256E4"/>
    <w:rsid w:val="5EA963B7"/>
    <w:rsid w:val="5EB9022B"/>
    <w:rsid w:val="5EBA1B5B"/>
    <w:rsid w:val="5EC176DE"/>
    <w:rsid w:val="5EC62E30"/>
    <w:rsid w:val="5EC72BF7"/>
    <w:rsid w:val="5EC767FE"/>
    <w:rsid w:val="5EC977CB"/>
    <w:rsid w:val="5ED27047"/>
    <w:rsid w:val="5ED2772F"/>
    <w:rsid w:val="5ED407A8"/>
    <w:rsid w:val="5ED50624"/>
    <w:rsid w:val="5ED81A0B"/>
    <w:rsid w:val="5EDF5414"/>
    <w:rsid w:val="5EDF69B5"/>
    <w:rsid w:val="5EE50805"/>
    <w:rsid w:val="5EE62930"/>
    <w:rsid w:val="5EF603A4"/>
    <w:rsid w:val="5EF665DA"/>
    <w:rsid w:val="5EFE1260"/>
    <w:rsid w:val="5F021E0E"/>
    <w:rsid w:val="5F0465A6"/>
    <w:rsid w:val="5F067FF7"/>
    <w:rsid w:val="5F103CDA"/>
    <w:rsid w:val="5F11019A"/>
    <w:rsid w:val="5F16108D"/>
    <w:rsid w:val="5F177630"/>
    <w:rsid w:val="5F190C06"/>
    <w:rsid w:val="5F1C6F72"/>
    <w:rsid w:val="5F1D580E"/>
    <w:rsid w:val="5F212CA2"/>
    <w:rsid w:val="5F2472C4"/>
    <w:rsid w:val="5F3054BA"/>
    <w:rsid w:val="5F387044"/>
    <w:rsid w:val="5F396D54"/>
    <w:rsid w:val="5F3B166F"/>
    <w:rsid w:val="5F4253D5"/>
    <w:rsid w:val="5F4A0B62"/>
    <w:rsid w:val="5F4D6FE9"/>
    <w:rsid w:val="5F511918"/>
    <w:rsid w:val="5F5A627E"/>
    <w:rsid w:val="5F5D01A1"/>
    <w:rsid w:val="5F6D0C2F"/>
    <w:rsid w:val="5F6E233C"/>
    <w:rsid w:val="5F7771D9"/>
    <w:rsid w:val="5F7A62E9"/>
    <w:rsid w:val="5F7C42B5"/>
    <w:rsid w:val="5F8D48C9"/>
    <w:rsid w:val="5F8E7A52"/>
    <w:rsid w:val="5F8F1B51"/>
    <w:rsid w:val="5F945327"/>
    <w:rsid w:val="5F965FAC"/>
    <w:rsid w:val="5F995DE3"/>
    <w:rsid w:val="5FA1223A"/>
    <w:rsid w:val="5FA479F8"/>
    <w:rsid w:val="5FA73D47"/>
    <w:rsid w:val="5FAB04A1"/>
    <w:rsid w:val="5FB10D86"/>
    <w:rsid w:val="5FB5591D"/>
    <w:rsid w:val="5FB82FC8"/>
    <w:rsid w:val="5FB9411A"/>
    <w:rsid w:val="5FBC753E"/>
    <w:rsid w:val="5FBE4C24"/>
    <w:rsid w:val="5FBF6023"/>
    <w:rsid w:val="5FC034EF"/>
    <w:rsid w:val="5FCB6789"/>
    <w:rsid w:val="5FD93DF8"/>
    <w:rsid w:val="5FDB7D69"/>
    <w:rsid w:val="5FDC7576"/>
    <w:rsid w:val="5FE4224A"/>
    <w:rsid w:val="5FE524EC"/>
    <w:rsid w:val="5FEA55C7"/>
    <w:rsid w:val="5FF067F2"/>
    <w:rsid w:val="5FFA4B83"/>
    <w:rsid w:val="5FFB2888"/>
    <w:rsid w:val="600218FF"/>
    <w:rsid w:val="60041142"/>
    <w:rsid w:val="60056797"/>
    <w:rsid w:val="6005732E"/>
    <w:rsid w:val="600A4C2E"/>
    <w:rsid w:val="601A2EBA"/>
    <w:rsid w:val="60232C0B"/>
    <w:rsid w:val="602453BE"/>
    <w:rsid w:val="602958E9"/>
    <w:rsid w:val="602A7D19"/>
    <w:rsid w:val="60336494"/>
    <w:rsid w:val="60347D94"/>
    <w:rsid w:val="603C0E70"/>
    <w:rsid w:val="60421711"/>
    <w:rsid w:val="60472F0F"/>
    <w:rsid w:val="6048423E"/>
    <w:rsid w:val="604D313E"/>
    <w:rsid w:val="60512E5B"/>
    <w:rsid w:val="60552BF6"/>
    <w:rsid w:val="605B3923"/>
    <w:rsid w:val="605C71A6"/>
    <w:rsid w:val="605E652A"/>
    <w:rsid w:val="60665537"/>
    <w:rsid w:val="60676DC1"/>
    <w:rsid w:val="60680FA2"/>
    <w:rsid w:val="606814B9"/>
    <w:rsid w:val="606C3B33"/>
    <w:rsid w:val="606F06A4"/>
    <w:rsid w:val="60733548"/>
    <w:rsid w:val="6077739D"/>
    <w:rsid w:val="607C5CBC"/>
    <w:rsid w:val="607D18D9"/>
    <w:rsid w:val="608469E7"/>
    <w:rsid w:val="60881336"/>
    <w:rsid w:val="608A3398"/>
    <w:rsid w:val="608E79BF"/>
    <w:rsid w:val="6097411E"/>
    <w:rsid w:val="609D7C10"/>
    <w:rsid w:val="609E245C"/>
    <w:rsid w:val="609F2E01"/>
    <w:rsid w:val="60A449A2"/>
    <w:rsid w:val="60A658C3"/>
    <w:rsid w:val="60A66755"/>
    <w:rsid w:val="60AE2FEA"/>
    <w:rsid w:val="60AE4686"/>
    <w:rsid w:val="60B36678"/>
    <w:rsid w:val="60B37BB5"/>
    <w:rsid w:val="60B62E5B"/>
    <w:rsid w:val="60BD1021"/>
    <w:rsid w:val="60BD5F46"/>
    <w:rsid w:val="60C93F57"/>
    <w:rsid w:val="60D06A60"/>
    <w:rsid w:val="60D43D75"/>
    <w:rsid w:val="60E3182F"/>
    <w:rsid w:val="60E9228D"/>
    <w:rsid w:val="60EA601F"/>
    <w:rsid w:val="60EB2DA4"/>
    <w:rsid w:val="60ED44FF"/>
    <w:rsid w:val="60ED721E"/>
    <w:rsid w:val="60F376D1"/>
    <w:rsid w:val="60F4061E"/>
    <w:rsid w:val="60F55B72"/>
    <w:rsid w:val="60FD4885"/>
    <w:rsid w:val="60FE69AF"/>
    <w:rsid w:val="61051493"/>
    <w:rsid w:val="61080F3B"/>
    <w:rsid w:val="61094D40"/>
    <w:rsid w:val="610A0570"/>
    <w:rsid w:val="610F5A0B"/>
    <w:rsid w:val="61100ACD"/>
    <w:rsid w:val="61104BA8"/>
    <w:rsid w:val="61146955"/>
    <w:rsid w:val="6116162A"/>
    <w:rsid w:val="61163B46"/>
    <w:rsid w:val="61186D8B"/>
    <w:rsid w:val="611C6AAB"/>
    <w:rsid w:val="611D6179"/>
    <w:rsid w:val="611E4CE6"/>
    <w:rsid w:val="61204966"/>
    <w:rsid w:val="61212899"/>
    <w:rsid w:val="613369BF"/>
    <w:rsid w:val="6134410A"/>
    <w:rsid w:val="613C1ED3"/>
    <w:rsid w:val="61402C9C"/>
    <w:rsid w:val="61407419"/>
    <w:rsid w:val="61471C93"/>
    <w:rsid w:val="614B102D"/>
    <w:rsid w:val="614E741B"/>
    <w:rsid w:val="61520A4B"/>
    <w:rsid w:val="615573BE"/>
    <w:rsid w:val="6160781A"/>
    <w:rsid w:val="61682C64"/>
    <w:rsid w:val="616B7363"/>
    <w:rsid w:val="616D7902"/>
    <w:rsid w:val="617F2EE1"/>
    <w:rsid w:val="618C1A96"/>
    <w:rsid w:val="6190756E"/>
    <w:rsid w:val="619512B2"/>
    <w:rsid w:val="61A11A3C"/>
    <w:rsid w:val="61A44D8A"/>
    <w:rsid w:val="61AA78D6"/>
    <w:rsid w:val="61AB0ABC"/>
    <w:rsid w:val="61AB5F46"/>
    <w:rsid w:val="61AC3E95"/>
    <w:rsid w:val="61AC7DCD"/>
    <w:rsid w:val="61B648FF"/>
    <w:rsid w:val="61B73748"/>
    <w:rsid w:val="61BD393C"/>
    <w:rsid w:val="61C037ED"/>
    <w:rsid w:val="61CA1749"/>
    <w:rsid w:val="61CA4263"/>
    <w:rsid w:val="61CD2DD4"/>
    <w:rsid w:val="61D4313A"/>
    <w:rsid w:val="61D84114"/>
    <w:rsid w:val="61DA0A72"/>
    <w:rsid w:val="61E039C9"/>
    <w:rsid w:val="61E450E3"/>
    <w:rsid w:val="61EA38AE"/>
    <w:rsid w:val="61ED096F"/>
    <w:rsid w:val="61F15D51"/>
    <w:rsid w:val="61F46607"/>
    <w:rsid w:val="61F6210D"/>
    <w:rsid w:val="61F8075D"/>
    <w:rsid w:val="620307DC"/>
    <w:rsid w:val="62053E09"/>
    <w:rsid w:val="62055836"/>
    <w:rsid w:val="620805C1"/>
    <w:rsid w:val="620F67EC"/>
    <w:rsid w:val="62101742"/>
    <w:rsid w:val="62125CC5"/>
    <w:rsid w:val="62157E29"/>
    <w:rsid w:val="62194B7D"/>
    <w:rsid w:val="621F61A3"/>
    <w:rsid w:val="62244678"/>
    <w:rsid w:val="62246792"/>
    <w:rsid w:val="622515A8"/>
    <w:rsid w:val="62281603"/>
    <w:rsid w:val="622E6069"/>
    <w:rsid w:val="6232061E"/>
    <w:rsid w:val="6233064D"/>
    <w:rsid w:val="623F0814"/>
    <w:rsid w:val="62415809"/>
    <w:rsid w:val="62461850"/>
    <w:rsid w:val="624D08DD"/>
    <w:rsid w:val="624D79C4"/>
    <w:rsid w:val="624F2E59"/>
    <w:rsid w:val="62553E73"/>
    <w:rsid w:val="625911EA"/>
    <w:rsid w:val="625D4790"/>
    <w:rsid w:val="62643A7A"/>
    <w:rsid w:val="62665292"/>
    <w:rsid w:val="626671FB"/>
    <w:rsid w:val="6273658F"/>
    <w:rsid w:val="62765539"/>
    <w:rsid w:val="62767495"/>
    <w:rsid w:val="627953F2"/>
    <w:rsid w:val="627974C4"/>
    <w:rsid w:val="627B71A0"/>
    <w:rsid w:val="627D7ED0"/>
    <w:rsid w:val="627F0E4E"/>
    <w:rsid w:val="627F7D98"/>
    <w:rsid w:val="628535AB"/>
    <w:rsid w:val="628974AE"/>
    <w:rsid w:val="628A077A"/>
    <w:rsid w:val="629009A2"/>
    <w:rsid w:val="629038C3"/>
    <w:rsid w:val="62917AE5"/>
    <w:rsid w:val="629B5CD6"/>
    <w:rsid w:val="62A158D0"/>
    <w:rsid w:val="62A459BE"/>
    <w:rsid w:val="62A63868"/>
    <w:rsid w:val="62B01BF9"/>
    <w:rsid w:val="62B275C4"/>
    <w:rsid w:val="62B342AD"/>
    <w:rsid w:val="62BC7C0A"/>
    <w:rsid w:val="62C30418"/>
    <w:rsid w:val="62C807C3"/>
    <w:rsid w:val="62C91E39"/>
    <w:rsid w:val="62D22F79"/>
    <w:rsid w:val="62D63AE7"/>
    <w:rsid w:val="62D91CB0"/>
    <w:rsid w:val="62DA13AA"/>
    <w:rsid w:val="62DC26BD"/>
    <w:rsid w:val="62DC5F40"/>
    <w:rsid w:val="62E703D6"/>
    <w:rsid w:val="62E742D1"/>
    <w:rsid w:val="62E80DAD"/>
    <w:rsid w:val="62ED2262"/>
    <w:rsid w:val="62ED4172"/>
    <w:rsid w:val="62ED5EB4"/>
    <w:rsid w:val="62F12662"/>
    <w:rsid w:val="62F15044"/>
    <w:rsid w:val="62F20A2D"/>
    <w:rsid w:val="62F4177B"/>
    <w:rsid w:val="62F72AC3"/>
    <w:rsid w:val="62F75F80"/>
    <w:rsid w:val="63110999"/>
    <w:rsid w:val="63130619"/>
    <w:rsid w:val="63152F4C"/>
    <w:rsid w:val="631957C3"/>
    <w:rsid w:val="631A4E4D"/>
    <w:rsid w:val="631A64F7"/>
    <w:rsid w:val="631B0037"/>
    <w:rsid w:val="631E251D"/>
    <w:rsid w:val="631E69AA"/>
    <w:rsid w:val="6325216D"/>
    <w:rsid w:val="63284D3B"/>
    <w:rsid w:val="632905BE"/>
    <w:rsid w:val="63297BDC"/>
    <w:rsid w:val="632D1EE6"/>
    <w:rsid w:val="632F1301"/>
    <w:rsid w:val="632F5C81"/>
    <w:rsid w:val="63340A25"/>
    <w:rsid w:val="63351269"/>
    <w:rsid w:val="633A6B21"/>
    <w:rsid w:val="633D2BD8"/>
    <w:rsid w:val="633E4CE0"/>
    <w:rsid w:val="63404F5F"/>
    <w:rsid w:val="63425432"/>
    <w:rsid w:val="63436BE9"/>
    <w:rsid w:val="63447291"/>
    <w:rsid w:val="63450068"/>
    <w:rsid w:val="63450F1F"/>
    <w:rsid w:val="63483071"/>
    <w:rsid w:val="634B4016"/>
    <w:rsid w:val="634C458D"/>
    <w:rsid w:val="63516867"/>
    <w:rsid w:val="635A1DFA"/>
    <w:rsid w:val="635A4F3A"/>
    <w:rsid w:val="635C6A2A"/>
    <w:rsid w:val="635F292C"/>
    <w:rsid w:val="636813A7"/>
    <w:rsid w:val="636C5EC7"/>
    <w:rsid w:val="636F6505"/>
    <w:rsid w:val="63711DEF"/>
    <w:rsid w:val="637473B8"/>
    <w:rsid w:val="637B69CA"/>
    <w:rsid w:val="637F0FCD"/>
    <w:rsid w:val="637F5749"/>
    <w:rsid w:val="63814320"/>
    <w:rsid w:val="638414DB"/>
    <w:rsid w:val="638504B3"/>
    <w:rsid w:val="6385502B"/>
    <w:rsid w:val="638848CB"/>
    <w:rsid w:val="638A735E"/>
    <w:rsid w:val="638D5505"/>
    <w:rsid w:val="639D13CE"/>
    <w:rsid w:val="639D3EBC"/>
    <w:rsid w:val="63A30016"/>
    <w:rsid w:val="63A6457E"/>
    <w:rsid w:val="63A65609"/>
    <w:rsid w:val="63AF1769"/>
    <w:rsid w:val="63AF7979"/>
    <w:rsid w:val="63B364D4"/>
    <w:rsid w:val="63B428D8"/>
    <w:rsid w:val="63B60110"/>
    <w:rsid w:val="63B75CB5"/>
    <w:rsid w:val="63B8331C"/>
    <w:rsid w:val="63BB0525"/>
    <w:rsid w:val="63C137CE"/>
    <w:rsid w:val="63C67A48"/>
    <w:rsid w:val="63CA2FDB"/>
    <w:rsid w:val="63CB7BAB"/>
    <w:rsid w:val="63D10C24"/>
    <w:rsid w:val="63D640D5"/>
    <w:rsid w:val="63D8592E"/>
    <w:rsid w:val="63E17D6C"/>
    <w:rsid w:val="63E93855"/>
    <w:rsid w:val="63EB60FE"/>
    <w:rsid w:val="63EE2A96"/>
    <w:rsid w:val="63F03DA4"/>
    <w:rsid w:val="63F26A55"/>
    <w:rsid w:val="63F44811"/>
    <w:rsid w:val="63F633EF"/>
    <w:rsid w:val="63F668CE"/>
    <w:rsid w:val="63F7410E"/>
    <w:rsid w:val="63FD2350"/>
    <w:rsid w:val="63FE0C96"/>
    <w:rsid w:val="64030A25"/>
    <w:rsid w:val="6408728B"/>
    <w:rsid w:val="640A5AC0"/>
    <w:rsid w:val="640A7008"/>
    <w:rsid w:val="64141563"/>
    <w:rsid w:val="64163BF3"/>
    <w:rsid w:val="64172445"/>
    <w:rsid w:val="64281F2E"/>
    <w:rsid w:val="642C18FB"/>
    <w:rsid w:val="642C22B4"/>
    <w:rsid w:val="642D73EF"/>
    <w:rsid w:val="64313AD6"/>
    <w:rsid w:val="64337474"/>
    <w:rsid w:val="64347024"/>
    <w:rsid w:val="64352FB5"/>
    <w:rsid w:val="6437077B"/>
    <w:rsid w:val="64424F34"/>
    <w:rsid w:val="644E4B1D"/>
    <w:rsid w:val="64592EAE"/>
    <w:rsid w:val="645A644A"/>
    <w:rsid w:val="645B7069"/>
    <w:rsid w:val="64622D27"/>
    <w:rsid w:val="6463123F"/>
    <w:rsid w:val="646E2E54"/>
    <w:rsid w:val="64771E53"/>
    <w:rsid w:val="6478066D"/>
    <w:rsid w:val="647911E5"/>
    <w:rsid w:val="647B013A"/>
    <w:rsid w:val="64813B30"/>
    <w:rsid w:val="64841F34"/>
    <w:rsid w:val="648A0433"/>
    <w:rsid w:val="648B768D"/>
    <w:rsid w:val="64904F1B"/>
    <w:rsid w:val="64920F24"/>
    <w:rsid w:val="64964F02"/>
    <w:rsid w:val="649A36E9"/>
    <w:rsid w:val="64A03ECF"/>
    <w:rsid w:val="64A358AC"/>
    <w:rsid w:val="64A5552C"/>
    <w:rsid w:val="64B90EF2"/>
    <w:rsid w:val="64BC3B5E"/>
    <w:rsid w:val="64BF6D54"/>
    <w:rsid w:val="64C47FDF"/>
    <w:rsid w:val="64C53862"/>
    <w:rsid w:val="64C74993"/>
    <w:rsid w:val="64C8527B"/>
    <w:rsid w:val="64CF1BF3"/>
    <w:rsid w:val="64D17311"/>
    <w:rsid w:val="64D53AFD"/>
    <w:rsid w:val="64D85E57"/>
    <w:rsid w:val="64DD780F"/>
    <w:rsid w:val="64E42372"/>
    <w:rsid w:val="64E64C26"/>
    <w:rsid w:val="64EE655B"/>
    <w:rsid w:val="64FA7C33"/>
    <w:rsid w:val="64FB5DB8"/>
    <w:rsid w:val="64FD40C1"/>
    <w:rsid w:val="65030C16"/>
    <w:rsid w:val="65050481"/>
    <w:rsid w:val="650642CC"/>
    <w:rsid w:val="6508339A"/>
    <w:rsid w:val="650911E8"/>
    <w:rsid w:val="65126558"/>
    <w:rsid w:val="651269ED"/>
    <w:rsid w:val="651315DC"/>
    <w:rsid w:val="65167108"/>
    <w:rsid w:val="65174D29"/>
    <w:rsid w:val="651C4271"/>
    <w:rsid w:val="651D0B47"/>
    <w:rsid w:val="65297903"/>
    <w:rsid w:val="652F006C"/>
    <w:rsid w:val="652F1BCA"/>
    <w:rsid w:val="65310993"/>
    <w:rsid w:val="65337B2B"/>
    <w:rsid w:val="6539113F"/>
    <w:rsid w:val="653D69A4"/>
    <w:rsid w:val="654077B4"/>
    <w:rsid w:val="65410C06"/>
    <w:rsid w:val="654261ED"/>
    <w:rsid w:val="65474D35"/>
    <w:rsid w:val="65486988"/>
    <w:rsid w:val="654956F7"/>
    <w:rsid w:val="654A09D2"/>
    <w:rsid w:val="65526949"/>
    <w:rsid w:val="655501EA"/>
    <w:rsid w:val="6555174E"/>
    <w:rsid w:val="655622B5"/>
    <w:rsid w:val="6556394C"/>
    <w:rsid w:val="65597A74"/>
    <w:rsid w:val="65625E40"/>
    <w:rsid w:val="65653C03"/>
    <w:rsid w:val="6567306B"/>
    <w:rsid w:val="656E20A9"/>
    <w:rsid w:val="65760156"/>
    <w:rsid w:val="657D3011"/>
    <w:rsid w:val="65832817"/>
    <w:rsid w:val="658713A2"/>
    <w:rsid w:val="658C18A0"/>
    <w:rsid w:val="659473B3"/>
    <w:rsid w:val="65990E02"/>
    <w:rsid w:val="659B796A"/>
    <w:rsid w:val="659F1489"/>
    <w:rsid w:val="65A93AD5"/>
    <w:rsid w:val="65A97358"/>
    <w:rsid w:val="65B006F3"/>
    <w:rsid w:val="65B31E66"/>
    <w:rsid w:val="65B456E9"/>
    <w:rsid w:val="65B708E7"/>
    <w:rsid w:val="65B74A26"/>
    <w:rsid w:val="65BA6810"/>
    <w:rsid w:val="65BB465C"/>
    <w:rsid w:val="65BD5407"/>
    <w:rsid w:val="65BE3A7A"/>
    <w:rsid w:val="65C71877"/>
    <w:rsid w:val="65C91E0B"/>
    <w:rsid w:val="65D43A20"/>
    <w:rsid w:val="65D87EA7"/>
    <w:rsid w:val="65D90FB9"/>
    <w:rsid w:val="65DE1DB1"/>
    <w:rsid w:val="65E035FB"/>
    <w:rsid w:val="65E47356"/>
    <w:rsid w:val="65E53606"/>
    <w:rsid w:val="65EA7DC1"/>
    <w:rsid w:val="65EE7049"/>
    <w:rsid w:val="65F00688"/>
    <w:rsid w:val="65F1263C"/>
    <w:rsid w:val="65F95F57"/>
    <w:rsid w:val="65FB30B0"/>
    <w:rsid w:val="65FE0F54"/>
    <w:rsid w:val="65FF44E4"/>
    <w:rsid w:val="6600661C"/>
    <w:rsid w:val="66046268"/>
    <w:rsid w:val="6607605E"/>
    <w:rsid w:val="660A2875"/>
    <w:rsid w:val="661777E1"/>
    <w:rsid w:val="661A367D"/>
    <w:rsid w:val="661B5FC5"/>
    <w:rsid w:val="661F281A"/>
    <w:rsid w:val="66202B8F"/>
    <w:rsid w:val="66240420"/>
    <w:rsid w:val="66262E18"/>
    <w:rsid w:val="662B0E0E"/>
    <w:rsid w:val="66306361"/>
    <w:rsid w:val="66344BD8"/>
    <w:rsid w:val="663527BF"/>
    <w:rsid w:val="664C0084"/>
    <w:rsid w:val="664D0CA6"/>
    <w:rsid w:val="664E25FF"/>
    <w:rsid w:val="66510CE4"/>
    <w:rsid w:val="6663397A"/>
    <w:rsid w:val="666A293E"/>
    <w:rsid w:val="666C4E98"/>
    <w:rsid w:val="666E24BB"/>
    <w:rsid w:val="667043A8"/>
    <w:rsid w:val="66737840"/>
    <w:rsid w:val="66746790"/>
    <w:rsid w:val="667542AB"/>
    <w:rsid w:val="667E0081"/>
    <w:rsid w:val="6680114B"/>
    <w:rsid w:val="66825487"/>
    <w:rsid w:val="668A21F5"/>
    <w:rsid w:val="668D57E7"/>
    <w:rsid w:val="668F4E0D"/>
    <w:rsid w:val="66990BE7"/>
    <w:rsid w:val="669B75E2"/>
    <w:rsid w:val="669B790F"/>
    <w:rsid w:val="669F3874"/>
    <w:rsid w:val="66A016B9"/>
    <w:rsid w:val="66A81479"/>
    <w:rsid w:val="66A84CFD"/>
    <w:rsid w:val="66AC46D1"/>
    <w:rsid w:val="66B11A82"/>
    <w:rsid w:val="66B13669"/>
    <w:rsid w:val="66B15D46"/>
    <w:rsid w:val="66B416B3"/>
    <w:rsid w:val="66B75B65"/>
    <w:rsid w:val="66C258A6"/>
    <w:rsid w:val="66C3553F"/>
    <w:rsid w:val="66CA3CE0"/>
    <w:rsid w:val="66CD3C37"/>
    <w:rsid w:val="66CF38B7"/>
    <w:rsid w:val="66D75B05"/>
    <w:rsid w:val="66D832F3"/>
    <w:rsid w:val="66D91C48"/>
    <w:rsid w:val="66E4360E"/>
    <w:rsid w:val="66E66F64"/>
    <w:rsid w:val="66ED18C1"/>
    <w:rsid w:val="66EE7315"/>
    <w:rsid w:val="66F3165E"/>
    <w:rsid w:val="66F97F7F"/>
    <w:rsid w:val="67003D82"/>
    <w:rsid w:val="67013A89"/>
    <w:rsid w:val="67030932"/>
    <w:rsid w:val="67034050"/>
    <w:rsid w:val="67041B93"/>
    <w:rsid w:val="67044302"/>
    <w:rsid w:val="670E46A1"/>
    <w:rsid w:val="670F7F24"/>
    <w:rsid w:val="6711192C"/>
    <w:rsid w:val="67121595"/>
    <w:rsid w:val="671E5D1F"/>
    <w:rsid w:val="672250EC"/>
    <w:rsid w:val="672542C6"/>
    <w:rsid w:val="672A3248"/>
    <w:rsid w:val="67302657"/>
    <w:rsid w:val="673338C9"/>
    <w:rsid w:val="67354519"/>
    <w:rsid w:val="67365C7F"/>
    <w:rsid w:val="6736719C"/>
    <w:rsid w:val="674221F9"/>
    <w:rsid w:val="67426562"/>
    <w:rsid w:val="674525FC"/>
    <w:rsid w:val="67456D79"/>
    <w:rsid w:val="6748313E"/>
    <w:rsid w:val="674D5DB7"/>
    <w:rsid w:val="674E6C11"/>
    <w:rsid w:val="674F62A6"/>
    <w:rsid w:val="67515906"/>
    <w:rsid w:val="67521B4A"/>
    <w:rsid w:val="67531709"/>
    <w:rsid w:val="675966F1"/>
    <w:rsid w:val="67684ED9"/>
    <w:rsid w:val="676C484A"/>
    <w:rsid w:val="676F6453"/>
    <w:rsid w:val="677147F6"/>
    <w:rsid w:val="67786FFE"/>
    <w:rsid w:val="677C4CD5"/>
    <w:rsid w:val="678467A4"/>
    <w:rsid w:val="67850F55"/>
    <w:rsid w:val="67873066"/>
    <w:rsid w:val="678F4508"/>
    <w:rsid w:val="679113F7"/>
    <w:rsid w:val="67920EA9"/>
    <w:rsid w:val="67923058"/>
    <w:rsid w:val="67976B83"/>
    <w:rsid w:val="679C1B5F"/>
    <w:rsid w:val="679C300B"/>
    <w:rsid w:val="679C7788"/>
    <w:rsid w:val="67A124CC"/>
    <w:rsid w:val="67A314DC"/>
    <w:rsid w:val="67A504F5"/>
    <w:rsid w:val="67A5437B"/>
    <w:rsid w:val="67A61638"/>
    <w:rsid w:val="67A76BF1"/>
    <w:rsid w:val="67AF0A28"/>
    <w:rsid w:val="67B42055"/>
    <w:rsid w:val="67B51D7E"/>
    <w:rsid w:val="67BC5ABE"/>
    <w:rsid w:val="67C73C81"/>
    <w:rsid w:val="67D15A64"/>
    <w:rsid w:val="67D16180"/>
    <w:rsid w:val="67D429E1"/>
    <w:rsid w:val="67DD3A75"/>
    <w:rsid w:val="67DE3321"/>
    <w:rsid w:val="67E26376"/>
    <w:rsid w:val="67E81E06"/>
    <w:rsid w:val="67EA2DD2"/>
    <w:rsid w:val="67ED5E94"/>
    <w:rsid w:val="67EE6F14"/>
    <w:rsid w:val="67F33A1A"/>
    <w:rsid w:val="67F83F67"/>
    <w:rsid w:val="68020BA3"/>
    <w:rsid w:val="680711F7"/>
    <w:rsid w:val="6808013C"/>
    <w:rsid w:val="680A383B"/>
    <w:rsid w:val="680C7642"/>
    <w:rsid w:val="681162D2"/>
    <w:rsid w:val="681364CD"/>
    <w:rsid w:val="6814614D"/>
    <w:rsid w:val="68163A06"/>
    <w:rsid w:val="68166657"/>
    <w:rsid w:val="681A7646"/>
    <w:rsid w:val="681E1FC3"/>
    <w:rsid w:val="681F7493"/>
    <w:rsid w:val="68222185"/>
    <w:rsid w:val="68237E80"/>
    <w:rsid w:val="68282344"/>
    <w:rsid w:val="682A60F2"/>
    <w:rsid w:val="682D1E49"/>
    <w:rsid w:val="6832492D"/>
    <w:rsid w:val="683C5D9C"/>
    <w:rsid w:val="68424A89"/>
    <w:rsid w:val="68443C44"/>
    <w:rsid w:val="684B2DCF"/>
    <w:rsid w:val="68531116"/>
    <w:rsid w:val="685427BA"/>
    <w:rsid w:val="685457FD"/>
    <w:rsid w:val="685E13B0"/>
    <w:rsid w:val="685E605B"/>
    <w:rsid w:val="685F0B4B"/>
    <w:rsid w:val="68696EDC"/>
    <w:rsid w:val="68697B40"/>
    <w:rsid w:val="686E2352"/>
    <w:rsid w:val="686E3F4A"/>
    <w:rsid w:val="68743D42"/>
    <w:rsid w:val="68761C3A"/>
    <w:rsid w:val="68773D84"/>
    <w:rsid w:val="68787FA3"/>
    <w:rsid w:val="687A508D"/>
    <w:rsid w:val="687B4F19"/>
    <w:rsid w:val="687E7B8A"/>
    <w:rsid w:val="68802944"/>
    <w:rsid w:val="6882401D"/>
    <w:rsid w:val="68877D9A"/>
    <w:rsid w:val="688B4E92"/>
    <w:rsid w:val="68916CC1"/>
    <w:rsid w:val="6897015B"/>
    <w:rsid w:val="68996551"/>
    <w:rsid w:val="68A04E37"/>
    <w:rsid w:val="68A246A3"/>
    <w:rsid w:val="68A4464E"/>
    <w:rsid w:val="68A70C92"/>
    <w:rsid w:val="68AA07B3"/>
    <w:rsid w:val="68AA4192"/>
    <w:rsid w:val="68B51559"/>
    <w:rsid w:val="68B93FB5"/>
    <w:rsid w:val="68BB18B9"/>
    <w:rsid w:val="68BB2816"/>
    <w:rsid w:val="68BC615C"/>
    <w:rsid w:val="68C078EA"/>
    <w:rsid w:val="68C2756A"/>
    <w:rsid w:val="68C706DE"/>
    <w:rsid w:val="68CC58FB"/>
    <w:rsid w:val="68D60D4C"/>
    <w:rsid w:val="68D72467"/>
    <w:rsid w:val="68D77510"/>
    <w:rsid w:val="68D8783D"/>
    <w:rsid w:val="68E01115"/>
    <w:rsid w:val="68E1201D"/>
    <w:rsid w:val="68E15B5D"/>
    <w:rsid w:val="68E258A1"/>
    <w:rsid w:val="68E940E8"/>
    <w:rsid w:val="68EF734E"/>
    <w:rsid w:val="68F11A46"/>
    <w:rsid w:val="68F44318"/>
    <w:rsid w:val="68F56E6E"/>
    <w:rsid w:val="68F64491"/>
    <w:rsid w:val="68F71FC3"/>
    <w:rsid w:val="68FB4800"/>
    <w:rsid w:val="690255FD"/>
    <w:rsid w:val="69037F29"/>
    <w:rsid w:val="69085C41"/>
    <w:rsid w:val="690C1F68"/>
    <w:rsid w:val="690C351A"/>
    <w:rsid w:val="69123E71"/>
    <w:rsid w:val="69187F79"/>
    <w:rsid w:val="691A4F65"/>
    <w:rsid w:val="691B0701"/>
    <w:rsid w:val="691B4FAA"/>
    <w:rsid w:val="691C0217"/>
    <w:rsid w:val="69226E0A"/>
    <w:rsid w:val="6923630A"/>
    <w:rsid w:val="69271E4E"/>
    <w:rsid w:val="692C5A97"/>
    <w:rsid w:val="692E7F1E"/>
    <w:rsid w:val="692F1AF3"/>
    <w:rsid w:val="69346428"/>
    <w:rsid w:val="69351651"/>
    <w:rsid w:val="69434640"/>
    <w:rsid w:val="69480AC8"/>
    <w:rsid w:val="69490109"/>
    <w:rsid w:val="694E29D2"/>
    <w:rsid w:val="69571C33"/>
    <w:rsid w:val="69590887"/>
    <w:rsid w:val="69652CB6"/>
    <w:rsid w:val="696A6282"/>
    <w:rsid w:val="696D2D65"/>
    <w:rsid w:val="696E0D08"/>
    <w:rsid w:val="696F0988"/>
    <w:rsid w:val="69793C28"/>
    <w:rsid w:val="697A6D19"/>
    <w:rsid w:val="697B6D6D"/>
    <w:rsid w:val="69817388"/>
    <w:rsid w:val="698450AA"/>
    <w:rsid w:val="6985092D"/>
    <w:rsid w:val="698F343B"/>
    <w:rsid w:val="699022E4"/>
    <w:rsid w:val="69912F05"/>
    <w:rsid w:val="69931C9E"/>
    <w:rsid w:val="699352B7"/>
    <w:rsid w:val="69943146"/>
    <w:rsid w:val="69973C9F"/>
    <w:rsid w:val="699A504F"/>
    <w:rsid w:val="69A26117"/>
    <w:rsid w:val="69A46A84"/>
    <w:rsid w:val="69A63060"/>
    <w:rsid w:val="69A85732"/>
    <w:rsid w:val="69A931B2"/>
    <w:rsid w:val="69AC6C0B"/>
    <w:rsid w:val="69B013F1"/>
    <w:rsid w:val="69B40247"/>
    <w:rsid w:val="69C61397"/>
    <w:rsid w:val="69CD5F85"/>
    <w:rsid w:val="69CF3AD2"/>
    <w:rsid w:val="69D00550"/>
    <w:rsid w:val="69D07728"/>
    <w:rsid w:val="69DA4E68"/>
    <w:rsid w:val="69DB133C"/>
    <w:rsid w:val="69DB5AB9"/>
    <w:rsid w:val="69E11C35"/>
    <w:rsid w:val="69E13245"/>
    <w:rsid w:val="69E44ED1"/>
    <w:rsid w:val="69EA290A"/>
    <w:rsid w:val="69EB01CB"/>
    <w:rsid w:val="69ED670D"/>
    <w:rsid w:val="69F02C7F"/>
    <w:rsid w:val="69F05A5E"/>
    <w:rsid w:val="69F14717"/>
    <w:rsid w:val="69F42FDD"/>
    <w:rsid w:val="69F50E92"/>
    <w:rsid w:val="69F875E7"/>
    <w:rsid w:val="69FA67EC"/>
    <w:rsid w:val="69FA6CD7"/>
    <w:rsid w:val="69FB3DEF"/>
    <w:rsid w:val="69FD2473"/>
    <w:rsid w:val="69FD3A6F"/>
    <w:rsid w:val="69FE6DF1"/>
    <w:rsid w:val="6A05265E"/>
    <w:rsid w:val="6A060B5A"/>
    <w:rsid w:val="6A082AC6"/>
    <w:rsid w:val="6A106C94"/>
    <w:rsid w:val="6A110E0D"/>
    <w:rsid w:val="6A1266CB"/>
    <w:rsid w:val="6A1D1DA5"/>
    <w:rsid w:val="6A2473ED"/>
    <w:rsid w:val="6A2564F9"/>
    <w:rsid w:val="6A272518"/>
    <w:rsid w:val="6A2C5734"/>
    <w:rsid w:val="6A321D4B"/>
    <w:rsid w:val="6A3264C7"/>
    <w:rsid w:val="6A3548C9"/>
    <w:rsid w:val="6A357F26"/>
    <w:rsid w:val="6A3614F8"/>
    <w:rsid w:val="6A3777E3"/>
    <w:rsid w:val="6A3C4858"/>
    <w:rsid w:val="6A452370"/>
    <w:rsid w:val="6A47646D"/>
    <w:rsid w:val="6A4819F9"/>
    <w:rsid w:val="6A48205B"/>
    <w:rsid w:val="6A4C60B2"/>
    <w:rsid w:val="6A502AF9"/>
    <w:rsid w:val="6A53447E"/>
    <w:rsid w:val="6A5C063B"/>
    <w:rsid w:val="6A5C1584"/>
    <w:rsid w:val="6A5D3811"/>
    <w:rsid w:val="6A5E280F"/>
    <w:rsid w:val="6A6109DD"/>
    <w:rsid w:val="6A61472E"/>
    <w:rsid w:val="6A643F74"/>
    <w:rsid w:val="6A680BA0"/>
    <w:rsid w:val="6A6B6340"/>
    <w:rsid w:val="6A6C2EB0"/>
    <w:rsid w:val="6A6E2FDC"/>
    <w:rsid w:val="6A7327B4"/>
    <w:rsid w:val="6A735EE7"/>
    <w:rsid w:val="6A736F31"/>
    <w:rsid w:val="6A784F62"/>
    <w:rsid w:val="6A7D1FB8"/>
    <w:rsid w:val="6A7E0B45"/>
    <w:rsid w:val="6A7E62A3"/>
    <w:rsid w:val="6A8032A9"/>
    <w:rsid w:val="6A827441"/>
    <w:rsid w:val="6A8638F2"/>
    <w:rsid w:val="6A886ED6"/>
    <w:rsid w:val="6A8B75A1"/>
    <w:rsid w:val="6A8E4BA4"/>
    <w:rsid w:val="6A8F1D2A"/>
    <w:rsid w:val="6A9073EC"/>
    <w:rsid w:val="6A917936"/>
    <w:rsid w:val="6A935267"/>
    <w:rsid w:val="6A996B6C"/>
    <w:rsid w:val="6AA13C23"/>
    <w:rsid w:val="6AA6719B"/>
    <w:rsid w:val="6AA774D1"/>
    <w:rsid w:val="6AA9520C"/>
    <w:rsid w:val="6AAA4E8C"/>
    <w:rsid w:val="6AAC006C"/>
    <w:rsid w:val="6AAC70F9"/>
    <w:rsid w:val="6AB5321D"/>
    <w:rsid w:val="6ABA2A04"/>
    <w:rsid w:val="6ABC2EC0"/>
    <w:rsid w:val="6ABF15AE"/>
    <w:rsid w:val="6ACF1668"/>
    <w:rsid w:val="6AD133E1"/>
    <w:rsid w:val="6AD21FF9"/>
    <w:rsid w:val="6AD32487"/>
    <w:rsid w:val="6AD360C8"/>
    <w:rsid w:val="6AD579D9"/>
    <w:rsid w:val="6AE2457E"/>
    <w:rsid w:val="6AE56CA8"/>
    <w:rsid w:val="6AEA5565"/>
    <w:rsid w:val="6AF93A8C"/>
    <w:rsid w:val="6AFC4E16"/>
    <w:rsid w:val="6AFF51C8"/>
    <w:rsid w:val="6AFF5C1B"/>
    <w:rsid w:val="6B0410FB"/>
    <w:rsid w:val="6B0D3A18"/>
    <w:rsid w:val="6B126154"/>
    <w:rsid w:val="6B127251"/>
    <w:rsid w:val="6B131107"/>
    <w:rsid w:val="6B21034E"/>
    <w:rsid w:val="6B254A40"/>
    <w:rsid w:val="6B285C20"/>
    <w:rsid w:val="6B3351EA"/>
    <w:rsid w:val="6B3602F4"/>
    <w:rsid w:val="6B3B28EC"/>
    <w:rsid w:val="6B3C4FDA"/>
    <w:rsid w:val="6B3F50A3"/>
    <w:rsid w:val="6B481D57"/>
    <w:rsid w:val="6B4A36EE"/>
    <w:rsid w:val="6B4C5105"/>
    <w:rsid w:val="6B4D45BB"/>
    <w:rsid w:val="6B5217EA"/>
    <w:rsid w:val="6B5373C9"/>
    <w:rsid w:val="6B5862AA"/>
    <w:rsid w:val="6B62463B"/>
    <w:rsid w:val="6B663FD5"/>
    <w:rsid w:val="6B686450"/>
    <w:rsid w:val="6B6D29CC"/>
    <w:rsid w:val="6B7068E2"/>
    <w:rsid w:val="6B731B99"/>
    <w:rsid w:val="6B7845E0"/>
    <w:rsid w:val="6B7D0BA6"/>
    <w:rsid w:val="6B8475EC"/>
    <w:rsid w:val="6B8D0D02"/>
    <w:rsid w:val="6B8F36CF"/>
    <w:rsid w:val="6B923010"/>
    <w:rsid w:val="6B945350"/>
    <w:rsid w:val="6B977093"/>
    <w:rsid w:val="6B996D13"/>
    <w:rsid w:val="6B9E5223"/>
    <w:rsid w:val="6BA350A4"/>
    <w:rsid w:val="6BA402FF"/>
    <w:rsid w:val="6BA43F0C"/>
    <w:rsid w:val="6BAB6AC4"/>
    <w:rsid w:val="6BBA1B4A"/>
    <w:rsid w:val="6BC140A4"/>
    <w:rsid w:val="6BC333DB"/>
    <w:rsid w:val="6BCA356A"/>
    <w:rsid w:val="6BCB68B5"/>
    <w:rsid w:val="6BCE176C"/>
    <w:rsid w:val="6BCE4FEF"/>
    <w:rsid w:val="6BD05C4A"/>
    <w:rsid w:val="6BD93380"/>
    <w:rsid w:val="6BDB6666"/>
    <w:rsid w:val="6BDE47B7"/>
    <w:rsid w:val="6BE15235"/>
    <w:rsid w:val="6BE93304"/>
    <w:rsid w:val="6BEE38DE"/>
    <w:rsid w:val="6BEE7AA2"/>
    <w:rsid w:val="6BF07722"/>
    <w:rsid w:val="6BF12D48"/>
    <w:rsid w:val="6BFA5AB3"/>
    <w:rsid w:val="6C053E44"/>
    <w:rsid w:val="6C0666CE"/>
    <w:rsid w:val="6C09682D"/>
    <w:rsid w:val="6C0A0FCA"/>
    <w:rsid w:val="6C0F21D5"/>
    <w:rsid w:val="6C105A58"/>
    <w:rsid w:val="6C1A3DE9"/>
    <w:rsid w:val="6C1E41B5"/>
    <w:rsid w:val="6C202201"/>
    <w:rsid w:val="6C215702"/>
    <w:rsid w:val="6C245A7E"/>
    <w:rsid w:val="6C25217A"/>
    <w:rsid w:val="6C2C71E8"/>
    <w:rsid w:val="6C303D8F"/>
    <w:rsid w:val="6C351FA0"/>
    <w:rsid w:val="6C3575B0"/>
    <w:rsid w:val="6C3A2120"/>
    <w:rsid w:val="6C3C4FCE"/>
    <w:rsid w:val="6C3F3B3A"/>
    <w:rsid w:val="6C4665D3"/>
    <w:rsid w:val="6C467507"/>
    <w:rsid w:val="6C483449"/>
    <w:rsid w:val="6C487009"/>
    <w:rsid w:val="6C4904AF"/>
    <w:rsid w:val="6C5164C2"/>
    <w:rsid w:val="6C540841"/>
    <w:rsid w:val="6C59260C"/>
    <w:rsid w:val="6C626627"/>
    <w:rsid w:val="6C657D89"/>
    <w:rsid w:val="6C662BE4"/>
    <w:rsid w:val="6C6C0C4F"/>
    <w:rsid w:val="6C6E15C0"/>
    <w:rsid w:val="6C7147F8"/>
    <w:rsid w:val="6C71579F"/>
    <w:rsid w:val="6C733420"/>
    <w:rsid w:val="6C751321"/>
    <w:rsid w:val="6C7F67DA"/>
    <w:rsid w:val="6C8467D3"/>
    <w:rsid w:val="6C8F6BC2"/>
    <w:rsid w:val="6C933E86"/>
    <w:rsid w:val="6C9846B8"/>
    <w:rsid w:val="6C9C0EC0"/>
    <w:rsid w:val="6C9F0033"/>
    <w:rsid w:val="6C9F0AA3"/>
    <w:rsid w:val="6CA03537"/>
    <w:rsid w:val="6CA351A2"/>
    <w:rsid w:val="6CA83307"/>
    <w:rsid w:val="6CA86ED0"/>
    <w:rsid w:val="6CA90CC7"/>
    <w:rsid w:val="6CAE4051"/>
    <w:rsid w:val="6CAF5BBC"/>
    <w:rsid w:val="6CB30AE5"/>
    <w:rsid w:val="6CB31830"/>
    <w:rsid w:val="6CB92957"/>
    <w:rsid w:val="6CBD35F3"/>
    <w:rsid w:val="6CBD45F6"/>
    <w:rsid w:val="6CBE3E39"/>
    <w:rsid w:val="6CC55C8E"/>
    <w:rsid w:val="6CC76CAB"/>
    <w:rsid w:val="6CC85207"/>
    <w:rsid w:val="6CCB2EA2"/>
    <w:rsid w:val="6CCC508F"/>
    <w:rsid w:val="6CCC66CF"/>
    <w:rsid w:val="6CD00F9B"/>
    <w:rsid w:val="6CD41F6C"/>
    <w:rsid w:val="6CDB496D"/>
    <w:rsid w:val="6CDE1036"/>
    <w:rsid w:val="6CE32CA6"/>
    <w:rsid w:val="6CF4154E"/>
    <w:rsid w:val="6CF54BA9"/>
    <w:rsid w:val="6CF555FE"/>
    <w:rsid w:val="6CFA615C"/>
    <w:rsid w:val="6CFB0078"/>
    <w:rsid w:val="6D046684"/>
    <w:rsid w:val="6D07098D"/>
    <w:rsid w:val="6D0914F3"/>
    <w:rsid w:val="6D091898"/>
    <w:rsid w:val="6D095C70"/>
    <w:rsid w:val="6D0C4A7E"/>
    <w:rsid w:val="6D1056EB"/>
    <w:rsid w:val="6D106BF9"/>
    <w:rsid w:val="6D135B06"/>
    <w:rsid w:val="6D144001"/>
    <w:rsid w:val="6D181BCC"/>
    <w:rsid w:val="6D19097A"/>
    <w:rsid w:val="6D1B5985"/>
    <w:rsid w:val="6D1C186B"/>
    <w:rsid w:val="6D1C6BEF"/>
    <w:rsid w:val="6D1D5B7C"/>
    <w:rsid w:val="6D1E5C16"/>
    <w:rsid w:val="6D293FA7"/>
    <w:rsid w:val="6D2C645B"/>
    <w:rsid w:val="6D2D2986"/>
    <w:rsid w:val="6D2D7B3A"/>
    <w:rsid w:val="6D2E1940"/>
    <w:rsid w:val="6D313B0E"/>
    <w:rsid w:val="6D370283"/>
    <w:rsid w:val="6D400349"/>
    <w:rsid w:val="6D405FA0"/>
    <w:rsid w:val="6D4F4DFE"/>
    <w:rsid w:val="6D512EAE"/>
    <w:rsid w:val="6D5364F5"/>
    <w:rsid w:val="6D6243D9"/>
    <w:rsid w:val="6D627400"/>
    <w:rsid w:val="6D6C40D5"/>
    <w:rsid w:val="6D7453BD"/>
    <w:rsid w:val="6D7C16E2"/>
    <w:rsid w:val="6D7E1889"/>
    <w:rsid w:val="6D8049B5"/>
    <w:rsid w:val="6D871ADC"/>
    <w:rsid w:val="6D8845F5"/>
    <w:rsid w:val="6D8C29C6"/>
    <w:rsid w:val="6D922360"/>
    <w:rsid w:val="6D9C44AE"/>
    <w:rsid w:val="6DA170E8"/>
    <w:rsid w:val="6DA47B06"/>
    <w:rsid w:val="6DA5104E"/>
    <w:rsid w:val="6DA60550"/>
    <w:rsid w:val="6DB201B9"/>
    <w:rsid w:val="6DB51DA4"/>
    <w:rsid w:val="6DB7708E"/>
    <w:rsid w:val="6DB94151"/>
    <w:rsid w:val="6DB94B46"/>
    <w:rsid w:val="6DC727D3"/>
    <w:rsid w:val="6DCC7033"/>
    <w:rsid w:val="6DD137A9"/>
    <w:rsid w:val="6DD53E13"/>
    <w:rsid w:val="6DD753C4"/>
    <w:rsid w:val="6DD85BEE"/>
    <w:rsid w:val="6DDB0E84"/>
    <w:rsid w:val="6DE106E1"/>
    <w:rsid w:val="6DE17487"/>
    <w:rsid w:val="6DE333D5"/>
    <w:rsid w:val="6DE41D8A"/>
    <w:rsid w:val="6DE601FD"/>
    <w:rsid w:val="6DEC7FCC"/>
    <w:rsid w:val="6DED1766"/>
    <w:rsid w:val="6DEE7554"/>
    <w:rsid w:val="6DF8036A"/>
    <w:rsid w:val="6DFC02E2"/>
    <w:rsid w:val="6E02244D"/>
    <w:rsid w:val="6E03170B"/>
    <w:rsid w:val="6E045B9A"/>
    <w:rsid w:val="6E103F95"/>
    <w:rsid w:val="6E132EE6"/>
    <w:rsid w:val="6E13684D"/>
    <w:rsid w:val="6E141216"/>
    <w:rsid w:val="6E275578"/>
    <w:rsid w:val="6E2C637F"/>
    <w:rsid w:val="6E2D3399"/>
    <w:rsid w:val="6E2D5DD3"/>
    <w:rsid w:val="6E362C7C"/>
    <w:rsid w:val="6E3952E1"/>
    <w:rsid w:val="6E3A5578"/>
    <w:rsid w:val="6E3C473F"/>
    <w:rsid w:val="6E414997"/>
    <w:rsid w:val="6E4F0506"/>
    <w:rsid w:val="6E4F3D89"/>
    <w:rsid w:val="6E5545AA"/>
    <w:rsid w:val="6E5D023F"/>
    <w:rsid w:val="6E5D6478"/>
    <w:rsid w:val="6E644B47"/>
    <w:rsid w:val="6E652B85"/>
    <w:rsid w:val="6E687878"/>
    <w:rsid w:val="6E6E3DBC"/>
    <w:rsid w:val="6E6F683C"/>
    <w:rsid w:val="6E7064BC"/>
    <w:rsid w:val="6E7740AC"/>
    <w:rsid w:val="6E7E3925"/>
    <w:rsid w:val="6E7E5C2C"/>
    <w:rsid w:val="6E8151DA"/>
    <w:rsid w:val="6E826122"/>
    <w:rsid w:val="6E866461"/>
    <w:rsid w:val="6E8A1577"/>
    <w:rsid w:val="6E904E7A"/>
    <w:rsid w:val="6E910E5F"/>
    <w:rsid w:val="6E9B2B83"/>
    <w:rsid w:val="6E9D1B01"/>
    <w:rsid w:val="6EA1503F"/>
    <w:rsid w:val="6EA24B38"/>
    <w:rsid w:val="6EA46DE7"/>
    <w:rsid w:val="6EA50F15"/>
    <w:rsid w:val="6EA64798"/>
    <w:rsid w:val="6EAF5FBB"/>
    <w:rsid w:val="6EB552A2"/>
    <w:rsid w:val="6EBA4DCD"/>
    <w:rsid w:val="6EBD1446"/>
    <w:rsid w:val="6EC70380"/>
    <w:rsid w:val="6EC76ECB"/>
    <w:rsid w:val="6ED04584"/>
    <w:rsid w:val="6ED61374"/>
    <w:rsid w:val="6ED7445A"/>
    <w:rsid w:val="6ED90061"/>
    <w:rsid w:val="6EDC41D0"/>
    <w:rsid w:val="6EDC6E70"/>
    <w:rsid w:val="6EDE5212"/>
    <w:rsid w:val="6EE75201"/>
    <w:rsid w:val="6EE80F0D"/>
    <w:rsid w:val="6EE835E7"/>
    <w:rsid w:val="6EF009BE"/>
    <w:rsid w:val="6EF109FD"/>
    <w:rsid w:val="6EF23592"/>
    <w:rsid w:val="6EF33F84"/>
    <w:rsid w:val="6EF65276"/>
    <w:rsid w:val="6EF86B46"/>
    <w:rsid w:val="6EF9691E"/>
    <w:rsid w:val="6EFC1923"/>
    <w:rsid w:val="6EFD730B"/>
    <w:rsid w:val="6EFE23C6"/>
    <w:rsid w:val="6F010400"/>
    <w:rsid w:val="6F013D03"/>
    <w:rsid w:val="6F035A5F"/>
    <w:rsid w:val="6F060136"/>
    <w:rsid w:val="6F073538"/>
    <w:rsid w:val="6F0B7D02"/>
    <w:rsid w:val="6F1033D8"/>
    <w:rsid w:val="6F1171C6"/>
    <w:rsid w:val="6F141E53"/>
    <w:rsid w:val="6F1737D2"/>
    <w:rsid w:val="6F2311AD"/>
    <w:rsid w:val="6F262107"/>
    <w:rsid w:val="6F27184F"/>
    <w:rsid w:val="6F32203A"/>
    <w:rsid w:val="6F333FFC"/>
    <w:rsid w:val="6F33787F"/>
    <w:rsid w:val="6F3533C2"/>
    <w:rsid w:val="6F3A0F15"/>
    <w:rsid w:val="6F3E5C10"/>
    <w:rsid w:val="6F43703F"/>
    <w:rsid w:val="6F4626A4"/>
    <w:rsid w:val="6F4A5D7A"/>
    <w:rsid w:val="6F4C7BD6"/>
    <w:rsid w:val="6F581100"/>
    <w:rsid w:val="6F5F689F"/>
    <w:rsid w:val="6F6224EC"/>
    <w:rsid w:val="6F63441B"/>
    <w:rsid w:val="6F681459"/>
    <w:rsid w:val="6F6822D7"/>
    <w:rsid w:val="6F693FFB"/>
    <w:rsid w:val="6F6B45F2"/>
    <w:rsid w:val="6F6B5470"/>
    <w:rsid w:val="6F714591"/>
    <w:rsid w:val="6F730668"/>
    <w:rsid w:val="6F843EE7"/>
    <w:rsid w:val="6F870520"/>
    <w:rsid w:val="6F8C2A4E"/>
    <w:rsid w:val="6F8D6872"/>
    <w:rsid w:val="6F8F17EE"/>
    <w:rsid w:val="6F9159DA"/>
    <w:rsid w:val="6F961D82"/>
    <w:rsid w:val="6F9D33C8"/>
    <w:rsid w:val="6FAB29C1"/>
    <w:rsid w:val="6FAF06D3"/>
    <w:rsid w:val="6FB05152"/>
    <w:rsid w:val="6FB54541"/>
    <w:rsid w:val="6FB65C5D"/>
    <w:rsid w:val="6FBD373F"/>
    <w:rsid w:val="6FBE3F28"/>
    <w:rsid w:val="6FBE63A8"/>
    <w:rsid w:val="6FCA1077"/>
    <w:rsid w:val="6FCB0CF7"/>
    <w:rsid w:val="6FCC745A"/>
    <w:rsid w:val="6FCD355D"/>
    <w:rsid w:val="6FCF37CE"/>
    <w:rsid w:val="6FCF4417"/>
    <w:rsid w:val="6FD8034D"/>
    <w:rsid w:val="6FD82A21"/>
    <w:rsid w:val="6FE05419"/>
    <w:rsid w:val="6FEB37AA"/>
    <w:rsid w:val="6FEB735C"/>
    <w:rsid w:val="6FEF0B39"/>
    <w:rsid w:val="6FF44F13"/>
    <w:rsid w:val="6FF675F6"/>
    <w:rsid w:val="6FFA18B2"/>
    <w:rsid w:val="6FFA33A3"/>
    <w:rsid w:val="6FFC563C"/>
    <w:rsid w:val="700233CF"/>
    <w:rsid w:val="700529FF"/>
    <w:rsid w:val="70090B3B"/>
    <w:rsid w:val="70120153"/>
    <w:rsid w:val="70133A0A"/>
    <w:rsid w:val="701605CA"/>
    <w:rsid w:val="701A2263"/>
    <w:rsid w:val="701D0CCC"/>
    <w:rsid w:val="701E5729"/>
    <w:rsid w:val="701E728C"/>
    <w:rsid w:val="701E77EF"/>
    <w:rsid w:val="702026AB"/>
    <w:rsid w:val="7023043E"/>
    <w:rsid w:val="702A3638"/>
    <w:rsid w:val="702C7A97"/>
    <w:rsid w:val="702F3EBD"/>
    <w:rsid w:val="7030008E"/>
    <w:rsid w:val="703716AB"/>
    <w:rsid w:val="703B654F"/>
    <w:rsid w:val="703E5637"/>
    <w:rsid w:val="703F73B6"/>
    <w:rsid w:val="70427A3C"/>
    <w:rsid w:val="70497B85"/>
    <w:rsid w:val="704C29EB"/>
    <w:rsid w:val="704D6F57"/>
    <w:rsid w:val="70515FC2"/>
    <w:rsid w:val="705869D5"/>
    <w:rsid w:val="70593DDE"/>
    <w:rsid w:val="705A17F8"/>
    <w:rsid w:val="7060454A"/>
    <w:rsid w:val="7063216F"/>
    <w:rsid w:val="70637B3F"/>
    <w:rsid w:val="7064273E"/>
    <w:rsid w:val="706721FF"/>
    <w:rsid w:val="70676EA4"/>
    <w:rsid w:val="706B2B9C"/>
    <w:rsid w:val="706B2DCE"/>
    <w:rsid w:val="706B5E85"/>
    <w:rsid w:val="706C747A"/>
    <w:rsid w:val="707167A9"/>
    <w:rsid w:val="707B7884"/>
    <w:rsid w:val="707C1A1E"/>
    <w:rsid w:val="707D6592"/>
    <w:rsid w:val="708214EA"/>
    <w:rsid w:val="70827584"/>
    <w:rsid w:val="708304A5"/>
    <w:rsid w:val="708A1DB2"/>
    <w:rsid w:val="708B3AF5"/>
    <w:rsid w:val="70910ECB"/>
    <w:rsid w:val="70926FBF"/>
    <w:rsid w:val="709316D3"/>
    <w:rsid w:val="709435D9"/>
    <w:rsid w:val="70984BC8"/>
    <w:rsid w:val="7099044B"/>
    <w:rsid w:val="709A31F4"/>
    <w:rsid w:val="70A367DC"/>
    <w:rsid w:val="70A370D3"/>
    <w:rsid w:val="70A8440F"/>
    <w:rsid w:val="70AA4D67"/>
    <w:rsid w:val="70AE534B"/>
    <w:rsid w:val="70AF47ED"/>
    <w:rsid w:val="70B120D2"/>
    <w:rsid w:val="70B30ABC"/>
    <w:rsid w:val="70B756B4"/>
    <w:rsid w:val="70BC0A4F"/>
    <w:rsid w:val="70C36E18"/>
    <w:rsid w:val="70C50F0F"/>
    <w:rsid w:val="70CA3416"/>
    <w:rsid w:val="70CF2B23"/>
    <w:rsid w:val="70CF72A0"/>
    <w:rsid w:val="70D00087"/>
    <w:rsid w:val="70D73029"/>
    <w:rsid w:val="70DA0EB4"/>
    <w:rsid w:val="70DA5A47"/>
    <w:rsid w:val="70DE6751"/>
    <w:rsid w:val="70E57245"/>
    <w:rsid w:val="70E67E4F"/>
    <w:rsid w:val="70E87788"/>
    <w:rsid w:val="70EC1055"/>
    <w:rsid w:val="70EF05A7"/>
    <w:rsid w:val="70F0081B"/>
    <w:rsid w:val="70F14F4D"/>
    <w:rsid w:val="70F614C8"/>
    <w:rsid w:val="70F74ED2"/>
    <w:rsid w:val="70FC067D"/>
    <w:rsid w:val="7105557C"/>
    <w:rsid w:val="71060CF7"/>
    <w:rsid w:val="710651FB"/>
    <w:rsid w:val="71102451"/>
    <w:rsid w:val="71120272"/>
    <w:rsid w:val="71121E8C"/>
    <w:rsid w:val="711B191E"/>
    <w:rsid w:val="711D587B"/>
    <w:rsid w:val="711E4ABD"/>
    <w:rsid w:val="711E63CD"/>
    <w:rsid w:val="71216626"/>
    <w:rsid w:val="71263532"/>
    <w:rsid w:val="71267CAF"/>
    <w:rsid w:val="71273C37"/>
    <w:rsid w:val="712C63CF"/>
    <w:rsid w:val="712D18E7"/>
    <w:rsid w:val="712F2DBA"/>
    <w:rsid w:val="713101F2"/>
    <w:rsid w:val="71332A1F"/>
    <w:rsid w:val="7133455E"/>
    <w:rsid w:val="714060BC"/>
    <w:rsid w:val="71465FE5"/>
    <w:rsid w:val="71473367"/>
    <w:rsid w:val="714B704F"/>
    <w:rsid w:val="714C3549"/>
    <w:rsid w:val="71510280"/>
    <w:rsid w:val="715D2925"/>
    <w:rsid w:val="715E062A"/>
    <w:rsid w:val="715F4175"/>
    <w:rsid w:val="71673F9B"/>
    <w:rsid w:val="71726027"/>
    <w:rsid w:val="7173557B"/>
    <w:rsid w:val="71745981"/>
    <w:rsid w:val="71755CFD"/>
    <w:rsid w:val="71783771"/>
    <w:rsid w:val="717C726A"/>
    <w:rsid w:val="717D06BD"/>
    <w:rsid w:val="71820590"/>
    <w:rsid w:val="7182204E"/>
    <w:rsid w:val="7186748E"/>
    <w:rsid w:val="718722D2"/>
    <w:rsid w:val="718D4853"/>
    <w:rsid w:val="718E2701"/>
    <w:rsid w:val="718F4536"/>
    <w:rsid w:val="71920663"/>
    <w:rsid w:val="71924B0F"/>
    <w:rsid w:val="719422E7"/>
    <w:rsid w:val="719432D9"/>
    <w:rsid w:val="719B15AD"/>
    <w:rsid w:val="719E6674"/>
    <w:rsid w:val="71A12E7C"/>
    <w:rsid w:val="71A3481D"/>
    <w:rsid w:val="71A941D9"/>
    <w:rsid w:val="71A9615B"/>
    <w:rsid w:val="71AE0C2E"/>
    <w:rsid w:val="71B1539A"/>
    <w:rsid w:val="71B44682"/>
    <w:rsid w:val="71B46619"/>
    <w:rsid w:val="71BD0BB3"/>
    <w:rsid w:val="71BE1FB9"/>
    <w:rsid w:val="71BE49AA"/>
    <w:rsid w:val="71C20FAF"/>
    <w:rsid w:val="71C4674B"/>
    <w:rsid w:val="71C92D3B"/>
    <w:rsid w:val="71CC28F4"/>
    <w:rsid w:val="71D3067E"/>
    <w:rsid w:val="71D319A0"/>
    <w:rsid w:val="71D4494F"/>
    <w:rsid w:val="71DD2D8D"/>
    <w:rsid w:val="71DE2CE0"/>
    <w:rsid w:val="71E865E8"/>
    <w:rsid w:val="71E95FA6"/>
    <w:rsid w:val="71E96311"/>
    <w:rsid w:val="71ED7416"/>
    <w:rsid w:val="71EF1631"/>
    <w:rsid w:val="71F1492E"/>
    <w:rsid w:val="71F579DE"/>
    <w:rsid w:val="71FE437B"/>
    <w:rsid w:val="72025A41"/>
    <w:rsid w:val="720541A5"/>
    <w:rsid w:val="72077B02"/>
    <w:rsid w:val="720850A6"/>
    <w:rsid w:val="720A37A4"/>
    <w:rsid w:val="720C1608"/>
    <w:rsid w:val="720D1255"/>
    <w:rsid w:val="72104B83"/>
    <w:rsid w:val="72247BD2"/>
    <w:rsid w:val="72295B7C"/>
    <w:rsid w:val="722D4E9F"/>
    <w:rsid w:val="7233128F"/>
    <w:rsid w:val="723536EF"/>
    <w:rsid w:val="7235674F"/>
    <w:rsid w:val="724524A3"/>
    <w:rsid w:val="7248074B"/>
    <w:rsid w:val="724A7E11"/>
    <w:rsid w:val="724C203C"/>
    <w:rsid w:val="724C7A91"/>
    <w:rsid w:val="724D07EA"/>
    <w:rsid w:val="72500B2C"/>
    <w:rsid w:val="72565E22"/>
    <w:rsid w:val="72580434"/>
    <w:rsid w:val="725C0AE5"/>
    <w:rsid w:val="726141B3"/>
    <w:rsid w:val="72616DCA"/>
    <w:rsid w:val="72617A36"/>
    <w:rsid w:val="72651DC7"/>
    <w:rsid w:val="72690090"/>
    <w:rsid w:val="726B2544"/>
    <w:rsid w:val="726F7116"/>
    <w:rsid w:val="72764159"/>
    <w:rsid w:val="7276464A"/>
    <w:rsid w:val="72794260"/>
    <w:rsid w:val="72833A2C"/>
    <w:rsid w:val="728D6031"/>
    <w:rsid w:val="728D7D7F"/>
    <w:rsid w:val="728E6A70"/>
    <w:rsid w:val="728E7BDE"/>
    <w:rsid w:val="729117B4"/>
    <w:rsid w:val="72973C59"/>
    <w:rsid w:val="72991F3C"/>
    <w:rsid w:val="729F4696"/>
    <w:rsid w:val="72A10820"/>
    <w:rsid w:val="72A20142"/>
    <w:rsid w:val="72A204A0"/>
    <w:rsid w:val="72B2754E"/>
    <w:rsid w:val="72B80991"/>
    <w:rsid w:val="72B840E8"/>
    <w:rsid w:val="72BB60A9"/>
    <w:rsid w:val="72C22F53"/>
    <w:rsid w:val="72C31DDC"/>
    <w:rsid w:val="72C43E8C"/>
    <w:rsid w:val="72C505A9"/>
    <w:rsid w:val="72C905EC"/>
    <w:rsid w:val="72CD4B67"/>
    <w:rsid w:val="72D31AF3"/>
    <w:rsid w:val="72D65E38"/>
    <w:rsid w:val="72D7013D"/>
    <w:rsid w:val="72D7403C"/>
    <w:rsid w:val="72D82EF8"/>
    <w:rsid w:val="72D92B78"/>
    <w:rsid w:val="72E31FD8"/>
    <w:rsid w:val="72E701A5"/>
    <w:rsid w:val="72ED1160"/>
    <w:rsid w:val="72ED2CD7"/>
    <w:rsid w:val="72F0198A"/>
    <w:rsid w:val="72F03D49"/>
    <w:rsid w:val="72F46544"/>
    <w:rsid w:val="72F75FE2"/>
    <w:rsid w:val="72F8122F"/>
    <w:rsid w:val="73035D98"/>
    <w:rsid w:val="73047240"/>
    <w:rsid w:val="73060561"/>
    <w:rsid w:val="730936AD"/>
    <w:rsid w:val="730E55D1"/>
    <w:rsid w:val="730F526C"/>
    <w:rsid w:val="73133B9C"/>
    <w:rsid w:val="73193962"/>
    <w:rsid w:val="731971E5"/>
    <w:rsid w:val="732539D9"/>
    <w:rsid w:val="732A5B52"/>
    <w:rsid w:val="732B16F1"/>
    <w:rsid w:val="732B22FE"/>
    <w:rsid w:val="732B5257"/>
    <w:rsid w:val="732E3379"/>
    <w:rsid w:val="732E3907"/>
    <w:rsid w:val="73321515"/>
    <w:rsid w:val="73331A8F"/>
    <w:rsid w:val="733B1918"/>
    <w:rsid w:val="733B792C"/>
    <w:rsid w:val="734518FF"/>
    <w:rsid w:val="73456016"/>
    <w:rsid w:val="734C5EB4"/>
    <w:rsid w:val="734C79FB"/>
    <w:rsid w:val="735A5379"/>
    <w:rsid w:val="735D677E"/>
    <w:rsid w:val="73653E81"/>
    <w:rsid w:val="73655FDF"/>
    <w:rsid w:val="736A2763"/>
    <w:rsid w:val="737629FD"/>
    <w:rsid w:val="73780CB2"/>
    <w:rsid w:val="7379465A"/>
    <w:rsid w:val="737A71E5"/>
    <w:rsid w:val="737F240C"/>
    <w:rsid w:val="73873F96"/>
    <w:rsid w:val="738D1DEF"/>
    <w:rsid w:val="73912327"/>
    <w:rsid w:val="73945E35"/>
    <w:rsid w:val="739729E7"/>
    <w:rsid w:val="73985C92"/>
    <w:rsid w:val="739A26B7"/>
    <w:rsid w:val="739C06B8"/>
    <w:rsid w:val="739C2619"/>
    <w:rsid w:val="73A266FD"/>
    <w:rsid w:val="73A53CDC"/>
    <w:rsid w:val="73A722CC"/>
    <w:rsid w:val="73AD4B69"/>
    <w:rsid w:val="73AF1FD2"/>
    <w:rsid w:val="73B61F92"/>
    <w:rsid w:val="73B778A6"/>
    <w:rsid w:val="73C36A75"/>
    <w:rsid w:val="73C64D7F"/>
    <w:rsid w:val="73C67750"/>
    <w:rsid w:val="73C743F1"/>
    <w:rsid w:val="73CA0046"/>
    <w:rsid w:val="73CB7D49"/>
    <w:rsid w:val="73CC4A8A"/>
    <w:rsid w:val="73CF0121"/>
    <w:rsid w:val="73DC63CE"/>
    <w:rsid w:val="73DD481B"/>
    <w:rsid w:val="73DD49A4"/>
    <w:rsid w:val="73E12D51"/>
    <w:rsid w:val="73E15081"/>
    <w:rsid w:val="73E91557"/>
    <w:rsid w:val="73EC6D7B"/>
    <w:rsid w:val="73EE33D4"/>
    <w:rsid w:val="73EE4C3F"/>
    <w:rsid w:val="73EF1355"/>
    <w:rsid w:val="73F310C6"/>
    <w:rsid w:val="73F8387B"/>
    <w:rsid w:val="73FB168D"/>
    <w:rsid w:val="73FC2725"/>
    <w:rsid w:val="73FD2CDB"/>
    <w:rsid w:val="73FD49AF"/>
    <w:rsid w:val="73FD7457"/>
    <w:rsid w:val="7408106C"/>
    <w:rsid w:val="74097F02"/>
    <w:rsid w:val="740F4A3D"/>
    <w:rsid w:val="7413567C"/>
    <w:rsid w:val="741A1C5B"/>
    <w:rsid w:val="74237D85"/>
    <w:rsid w:val="74261C60"/>
    <w:rsid w:val="74291F60"/>
    <w:rsid w:val="742A7E5A"/>
    <w:rsid w:val="74304D87"/>
    <w:rsid w:val="74371BBB"/>
    <w:rsid w:val="743F3744"/>
    <w:rsid w:val="74491AD5"/>
    <w:rsid w:val="745436E9"/>
    <w:rsid w:val="74547E66"/>
    <w:rsid w:val="7457315C"/>
    <w:rsid w:val="745A2F63"/>
    <w:rsid w:val="745B6326"/>
    <w:rsid w:val="745B6DAA"/>
    <w:rsid w:val="745F1A7B"/>
    <w:rsid w:val="745F3FA0"/>
    <w:rsid w:val="745F6056"/>
    <w:rsid w:val="74610AFE"/>
    <w:rsid w:val="7467439D"/>
    <w:rsid w:val="7467490E"/>
    <w:rsid w:val="74693474"/>
    <w:rsid w:val="747643D3"/>
    <w:rsid w:val="74770050"/>
    <w:rsid w:val="747E055B"/>
    <w:rsid w:val="74862918"/>
    <w:rsid w:val="748A52B9"/>
    <w:rsid w:val="748B5DC2"/>
    <w:rsid w:val="748E009C"/>
    <w:rsid w:val="74900D30"/>
    <w:rsid w:val="74910BC3"/>
    <w:rsid w:val="74964153"/>
    <w:rsid w:val="74980278"/>
    <w:rsid w:val="74983DE0"/>
    <w:rsid w:val="749B280F"/>
    <w:rsid w:val="749C1245"/>
    <w:rsid w:val="749C1368"/>
    <w:rsid w:val="74A024E4"/>
    <w:rsid w:val="74A90D65"/>
    <w:rsid w:val="74AB40F8"/>
    <w:rsid w:val="74B62489"/>
    <w:rsid w:val="74B86FAB"/>
    <w:rsid w:val="74BF5758"/>
    <w:rsid w:val="74C11A5A"/>
    <w:rsid w:val="74C21717"/>
    <w:rsid w:val="74C34A6F"/>
    <w:rsid w:val="74CB105F"/>
    <w:rsid w:val="74CB6BAB"/>
    <w:rsid w:val="74CC682B"/>
    <w:rsid w:val="74D74BBC"/>
    <w:rsid w:val="74DF052D"/>
    <w:rsid w:val="74DF455D"/>
    <w:rsid w:val="74E41F38"/>
    <w:rsid w:val="74E81CC2"/>
    <w:rsid w:val="74FD721D"/>
    <w:rsid w:val="74FE5561"/>
    <w:rsid w:val="75011284"/>
    <w:rsid w:val="750D6769"/>
    <w:rsid w:val="751424C8"/>
    <w:rsid w:val="75175DCD"/>
    <w:rsid w:val="751F2BDE"/>
    <w:rsid w:val="75204114"/>
    <w:rsid w:val="75215C27"/>
    <w:rsid w:val="753326F4"/>
    <w:rsid w:val="753704CE"/>
    <w:rsid w:val="7538395C"/>
    <w:rsid w:val="75383B2B"/>
    <w:rsid w:val="753871DF"/>
    <w:rsid w:val="753C0A3B"/>
    <w:rsid w:val="75406281"/>
    <w:rsid w:val="75406AAE"/>
    <w:rsid w:val="754E3901"/>
    <w:rsid w:val="75521219"/>
    <w:rsid w:val="755655B8"/>
    <w:rsid w:val="75581C92"/>
    <w:rsid w:val="75586828"/>
    <w:rsid w:val="755A1E5B"/>
    <w:rsid w:val="75617ABD"/>
    <w:rsid w:val="756338A7"/>
    <w:rsid w:val="75666B29"/>
    <w:rsid w:val="756A01E1"/>
    <w:rsid w:val="756E1C38"/>
    <w:rsid w:val="756F11D3"/>
    <w:rsid w:val="756F3F0D"/>
    <w:rsid w:val="75733B41"/>
    <w:rsid w:val="75845FDA"/>
    <w:rsid w:val="7587603F"/>
    <w:rsid w:val="758972A3"/>
    <w:rsid w:val="758D41AC"/>
    <w:rsid w:val="758E04C4"/>
    <w:rsid w:val="75953DE5"/>
    <w:rsid w:val="75955E48"/>
    <w:rsid w:val="7598281C"/>
    <w:rsid w:val="7598489A"/>
    <w:rsid w:val="759A2218"/>
    <w:rsid w:val="75B23655"/>
    <w:rsid w:val="75B841C6"/>
    <w:rsid w:val="75B85E61"/>
    <w:rsid w:val="75BD172E"/>
    <w:rsid w:val="75C42647"/>
    <w:rsid w:val="75C66DC1"/>
    <w:rsid w:val="75C7132A"/>
    <w:rsid w:val="75C72561"/>
    <w:rsid w:val="75C80ED3"/>
    <w:rsid w:val="75CC57B1"/>
    <w:rsid w:val="75CF09D8"/>
    <w:rsid w:val="75D00657"/>
    <w:rsid w:val="75DB69E8"/>
    <w:rsid w:val="75DC27EE"/>
    <w:rsid w:val="75DC2BCC"/>
    <w:rsid w:val="75DF177B"/>
    <w:rsid w:val="75E2167E"/>
    <w:rsid w:val="75E360FE"/>
    <w:rsid w:val="75E605FD"/>
    <w:rsid w:val="75E64D79"/>
    <w:rsid w:val="75EA1201"/>
    <w:rsid w:val="75EE7AAF"/>
    <w:rsid w:val="75F1698E"/>
    <w:rsid w:val="75F91C80"/>
    <w:rsid w:val="75FE69F9"/>
    <w:rsid w:val="75FF7A83"/>
    <w:rsid w:val="760004C3"/>
    <w:rsid w:val="76004568"/>
    <w:rsid w:val="7604753C"/>
    <w:rsid w:val="76054E3F"/>
    <w:rsid w:val="76072D30"/>
    <w:rsid w:val="760A1827"/>
    <w:rsid w:val="760A3A0C"/>
    <w:rsid w:val="76160AF5"/>
    <w:rsid w:val="76191949"/>
    <w:rsid w:val="761A7B6D"/>
    <w:rsid w:val="761D2895"/>
    <w:rsid w:val="76211A3B"/>
    <w:rsid w:val="7621756C"/>
    <w:rsid w:val="76220A79"/>
    <w:rsid w:val="762312A4"/>
    <w:rsid w:val="76244203"/>
    <w:rsid w:val="762605AD"/>
    <w:rsid w:val="76271066"/>
    <w:rsid w:val="762C6E9B"/>
    <w:rsid w:val="762F11BB"/>
    <w:rsid w:val="763363EE"/>
    <w:rsid w:val="7635149A"/>
    <w:rsid w:val="76357529"/>
    <w:rsid w:val="76386DEB"/>
    <w:rsid w:val="763A3274"/>
    <w:rsid w:val="763D100B"/>
    <w:rsid w:val="76440195"/>
    <w:rsid w:val="764401FE"/>
    <w:rsid w:val="76473B19"/>
    <w:rsid w:val="76486F51"/>
    <w:rsid w:val="764A3C3E"/>
    <w:rsid w:val="764D4182"/>
    <w:rsid w:val="7652572E"/>
    <w:rsid w:val="76554A43"/>
    <w:rsid w:val="765621D8"/>
    <w:rsid w:val="765929B4"/>
    <w:rsid w:val="76594C19"/>
    <w:rsid w:val="765A2931"/>
    <w:rsid w:val="765C3ABF"/>
    <w:rsid w:val="765E373E"/>
    <w:rsid w:val="766370E5"/>
    <w:rsid w:val="7668319B"/>
    <w:rsid w:val="76691AD0"/>
    <w:rsid w:val="76711719"/>
    <w:rsid w:val="76793527"/>
    <w:rsid w:val="76795A9A"/>
    <w:rsid w:val="767C4ECF"/>
    <w:rsid w:val="767E1EC9"/>
    <w:rsid w:val="76800A26"/>
    <w:rsid w:val="7683648C"/>
    <w:rsid w:val="768E501F"/>
    <w:rsid w:val="76924FF2"/>
    <w:rsid w:val="76931A1A"/>
    <w:rsid w:val="769B057B"/>
    <w:rsid w:val="769B7A9D"/>
    <w:rsid w:val="769E4528"/>
    <w:rsid w:val="769E7DAB"/>
    <w:rsid w:val="769F5D8B"/>
    <w:rsid w:val="76A121F9"/>
    <w:rsid w:val="76A2493E"/>
    <w:rsid w:val="76A2681E"/>
    <w:rsid w:val="76A91D5F"/>
    <w:rsid w:val="76A9613C"/>
    <w:rsid w:val="76AE0F04"/>
    <w:rsid w:val="76B21519"/>
    <w:rsid w:val="76B344CD"/>
    <w:rsid w:val="76B5414D"/>
    <w:rsid w:val="76BF24DE"/>
    <w:rsid w:val="76BF5A3C"/>
    <w:rsid w:val="76C0257F"/>
    <w:rsid w:val="76D01E9F"/>
    <w:rsid w:val="76D56BF4"/>
    <w:rsid w:val="76D8547C"/>
    <w:rsid w:val="76D93DB9"/>
    <w:rsid w:val="76DF0815"/>
    <w:rsid w:val="76E51F7F"/>
    <w:rsid w:val="76E62152"/>
    <w:rsid w:val="76E67D54"/>
    <w:rsid w:val="76EA02DC"/>
    <w:rsid w:val="76EA6BA6"/>
    <w:rsid w:val="76F44F37"/>
    <w:rsid w:val="76F507BA"/>
    <w:rsid w:val="76FE20C5"/>
    <w:rsid w:val="76FF6B4B"/>
    <w:rsid w:val="77024EB2"/>
    <w:rsid w:val="770B4B5C"/>
    <w:rsid w:val="771040F2"/>
    <w:rsid w:val="77162EED"/>
    <w:rsid w:val="77194F6F"/>
    <w:rsid w:val="771D2BD3"/>
    <w:rsid w:val="7721127E"/>
    <w:rsid w:val="772B2E92"/>
    <w:rsid w:val="772B760F"/>
    <w:rsid w:val="772D375E"/>
    <w:rsid w:val="772E67A5"/>
    <w:rsid w:val="77361223"/>
    <w:rsid w:val="773A214E"/>
    <w:rsid w:val="773D666F"/>
    <w:rsid w:val="773E422D"/>
    <w:rsid w:val="773F711E"/>
    <w:rsid w:val="77473F34"/>
    <w:rsid w:val="77476107"/>
    <w:rsid w:val="774B65EA"/>
    <w:rsid w:val="775177F6"/>
    <w:rsid w:val="775545EE"/>
    <w:rsid w:val="77563542"/>
    <w:rsid w:val="775A5801"/>
    <w:rsid w:val="775D73F6"/>
    <w:rsid w:val="7762556B"/>
    <w:rsid w:val="77640C75"/>
    <w:rsid w:val="776B3185"/>
    <w:rsid w:val="776D38FC"/>
    <w:rsid w:val="776D3C5B"/>
    <w:rsid w:val="776F3F7C"/>
    <w:rsid w:val="776F6FC2"/>
    <w:rsid w:val="77771C8D"/>
    <w:rsid w:val="77775672"/>
    <w:rsid w:val="77812D2B"/>
    <w:rsid w:val="77851BC5"/>
    <w:rsid w:val="77895BC1"/>
    <w:rsid w:val="778A3A7D"/>
    <w:rsid w:val="778D1164"/>
    <w:rsid w:val="778D1C32"/>
    <w:rsid w:val="778D7592"/>
    <w:rsid w:val="77902505"/>
    <w:rsid w:val="77914A2F"/>
    <w:rsid w:val="77963B82"/>
    <w:rsid w:val="77A170CD"/>
    <w:rsid w:val="77A45FD4"/>
    <w:rsid w:val="77A675FD"/>
    <w:rsid w:val="77AA15F9"/>
    <w:rsid w:val="77AA4702"/>
    <w:rsid w:val="77B91580"/>
    <w:rsid w:val="77B95F79"/>
    <w:rsid w:val="77BA3F10"/>
    <w:rsid w:val="77BA67F0"/>
    <w:rsid w:val="77CB2E7D"/>
    <w:rsid w:val="77CF110A"/>
    <w:rsid w:val="77CF2348"/>
    <w:rsid w:val="77D038AD"/>
    <w:rsid w:val="77D90A2D"/>
    <w:rsid w:val="77D942B0"/>
    <w:rsid w:val="77DA65EF"/>
    <w:rsid w:val="77DD1E52"/>
    <w:rsid w:val="77DE6648"/>
    <w:rsid w:val="77E41F57"/>
    <w:rsid w:val="77EB562B"/>
    <w:rsid w:val="77F66732"/>
    <w:rsid w:val="77F80E8B"/>
    <w:rsid w:val="77F96D63"/>
    <w:rsid w:val="77FA667F"/>
    <w:rsid w:val="78054D74"/>
    <w:rsid w:val="780E1AD9"/>
    <w:rsid w:val="78147BBF"/>
    <w:rsid w:val="7815475A"/>
    <w:rsid w:val="78180565"/>
    <w:rsid w:val="781A4D19"/>
    <w:rsid w:val="781B6F1D"/>
    <w:rsid w:val="781C0FDF"/>
    <w:rsid w:val="782160AE"/>
    <w:rsid w:val="782530AA"/>
    <w:rsid w:val="7825574B"/>
    <w:rsid w:val="782F143B"/>
    <w:rsid w:val="78335391"/>
    <w:rsid w:val="783E797F"/>
    <w:rsid w:val="78420439"/>
    <w:rsid w:val="784513E1"/>
    <w:rsid w:val="784A56F1"/>
    <w:rsid w:val="784A5868"/>
    <w:rsid w:val="785173F2"/>
    <w:rsid w:val="78540D3D"/>
    <w:rsid w:val="78571C40"/>
    <w:rsid w:val="785B3F0A"/>
    <w:rsid w:val="785B497D"/>
    <w:rsid w:val="785D1F83"/>
    <w:rsid w:val="786649DC"/>
    <w:rsid w:val="786762CD"/>
    <w:rsid w:val="78694BDA"/>
    <w:rsid w:val="786C1E20"/>
    <w:rsid w:val="786F0882"/>
    <w:rsid w:val="78704614"/>
    <w:rsid w:val="78711EA5"/>
    <w:rsid w:val="78715728"/>
    <w:rsid w:val="78734A68"/>
    <w:rsid w:val="78787546"/>
    <w:rsid w:val="78896E51"/>
    <w:rsid w:val="788A4668"/>
    <w:rsid w:val="788D22C1"/>
    <w:rsid w:val="788F3E4F"/>
    <w:rsid w:val="7895048C"/>
    <w:rsid w:val="78A01B48"/>
    <w:rsid w:val="78AA51E0"/>
    <w:rsid w:val="78AA7CE1"/>
    <w:rsid w:val="78AE43C4"/>
    <w:rsid w:val="78BC17D4"/>
    <w:rsid w:val="78BD4522"/>
    <w:rsid w:val="78BE49DA"/>
    <w:rsid w:val="78C25CBE"/>
    <w:rsid w:val="78C41A39"/>
    <w:rsid w:val="78C728B3"/>
    <w:rsid w:val="78C86ED0"/>
    <w:rsid w:val="78C94A42"/>
    <w:rsid w:val="78CA211D"/>
    <w:rsid w:val="78CC04D0"/>
    <w:rsid w:val="78D45BE4"/>
    <w:rsid w:val="78D750CC"/>
    <w:rsid w:val="78D85911"/>
    <w:rsid w:val="78D974B9"/>
    <w:rsid w:val="78DA0BDA"/>
    <w:rsid w:val="78DA117E"/>
    <w:rsid w:val="78DC5050"/>
    <w:rsid w:val="78DD5C53"/>
    <w:rsid w:val="78E948D5"/>
    <w:rsid w:val="78EC7724"/>
    <w:rsid w:val="78F17315"/>
    <w:rsid w:val="78F227FE"/>
    <w:rsid w:val="78F25F03"/>
    <w:rsid w:val="78F355C3"/>
    <w:rsid w:val="78F9693C"/>
    <w:rsid w:val="78FC33D7"/>
    <w:rsid w:val="78FD0B8F"/>
    <w:rsid w:val="79022F17"/>
    <w:rsid w:val="79096BA0"/>
    <w:rsid w:val="7909785B"/>
    <w:rsid w:val="790D1B2C"/>
    <w:rsid w:val="790F642E"/>
    <w:rsid w:val="791407B4"/>
    <w:rsid w:val="79144F31"/>
    <w:rsid w:val="791E32C2"/>
    <w:rsid w:val="791F4E71"/>
    <w:rsid w:val="791F6B45"/>
    <w:rsid w:val="7927728D"/>
    <w:rsid w:val="79281AA3"/>
    <w:rsid w:val="79282803"/>
    <w:rsid w:val="79294ED6"/>
    <w:rsid w:val="792E5CAA"/>
    <w:rsid w:val="79343267"/>
    <w:rsid w:val="793B413C"/>
    <w:rsid w:val="794D0A8B"/>
    <w:rsid w:val="794D2637"/>
    <w:rsid w:val="794E0B28"/>
    <w:rsid w:val="794F6C55"/>
    <w:rsid w:val="79523786"/>
    <w:rsid w:val="79531C76"/>
    <w:rsid w:val="7955121E"/>
    <w:rsid w:val="79650682"/>
    <w:rsid w:val="79656C7D"/>
    <w:rsid w:val="79666969"/>
    <w:rsid w:val="796A5940"/>
    <w:rsid w:val="796E6BCE"/>
    <w:rsid w:val="797045B6"/>
    <w:rsid w:val="797319EA"/>
    <w:rsid w:val="79735C8B"/>
    <w:rsid w:val="797554E6"/>
    <w:rsid w:val="797E6E8A"/>
    <w:rsid w:val="798058E5"/>
    <w:rsid w:val="7982062C"/>
    <w:rsid w:val="7984731C"/>
    <w:rsid w:val="79865C91"/>
    <w:rsid w:val="79897DF4"/>
    <w:rsid w:val="798A3C76"/>
    <w:rsid w:val="798B023C"/>
    <w:rsid w:val="79987D6E"/>
    <w:rsid w:val="799A2274"/>
    <w:rsid w:val="799F2CB4"/>
    <w:rsid w:val="799F662B"/>
    <w:rsid w:val="79A10018"/>
    <w:rsid w:val="79AB53C8"/>
    <w:rsid w:val="79AD57E2"/>
    <w:rsid w:val="79AF3744"/>
    <w:rsid w:val="79B4314E"/>
    <w:rsid w:val="79B77FBE"/>
    <w:rsid w:val="79C1634F"/>
    <w:rsid w:val="79CC46E0"/>
    <w:rsid w:val="79CC7F63"/>
    <w:rsid w:val="79CD2D25"/>
    <w:rsid w:val="79D17475"/>
    <w:rsid w:val="79D2700D"/>
    <w:rsid w:val="79DD1118"/>
    <w:rsid w:val="79E14685"/>
    <w:rsid w:val="79E15780"/>
    <w:rsid w:val="79E34305"/>
    <w:rsid w:val="79E65451"/>
    <w:rsid w:val="79ED2441"/>
    <w:rsid w:val="79ED2696"/>
    <w:rsid w:val="79EE0878"/>
    <w:rsid w:val="79F10830"/>
    <w:rsid w:val="79F33F14"/>
    <w:rsid w:val="79FE1FED"/>
    <w:rsid w:val="7A026DB8"/>
    <w:rsid w:val="7A053934"/>
    <w:rsid w:val="7A0C20C7"/>
    <w:rsid w:val="7A0D09CC"/>
    <w:rsid w:val="7A104ABD"/>
    <w:rsid w:val="7A171358"/>
    <w:rsid w:val="7A175100"/>
    <w:rsid w:val="7A184309"/>
    <w:rsid w:val="7A186D5D"/>
    <w:rsid w:val="7A195956"/>
    <w:rsid w:val="7A2250EE"/>
    <w:rsid w:val="7A226DBE"/>
    <w:rsid w:val="7A237994"/>
    <w:rsid w:val="7A2D6D03"/>
    <w:rsid w:val="7A323168"/>
    <w:rsid w:val="7A3628C3"/>
    <w:rsid w:val="7A382841"/>
    <w:rsid w:val="7A440F66"/>
    <w:rsid w:val="7A4430A5"/>
    <w:rsid w:val="7A4C470D"/>
    <w:rsid w:val="7A4F1436"/>
    <w:rsid w:val="7A552C28"/>
    <w:rsid w:val="7A583B51"/>
    <w:rsid w:val="7A5A304A"/>
    <w:rsid w:val="7A6413DB"/>
    <w:rsid w:val="7A655496"/>
    <w:rsid w:val="7A670611"/>
    <w:rsid w:val="7A69056B"/>
    <w:rsid w:val="7A6D3CC3"/>
    <w:rsid w:val="7A6F3789"/>
    <w:rsid w:val="7A6F3D8B"/>
    <w:rsid w:val="7A6F776C"/>
    <w:rsid w:val="7A784DA9"/>
    <w:rsid w:val="7A793B3A"/>
    <w:rsid w:val="7A7B4B41"/>
    <w:rsid w:val="7A7B7471"/>
    <w:rsid w:val="7A7B7992"/>
    <w:rsid w:val="7A813BC8"/>
    <w:rsid w:val="7A8A01C7"/>
    <w:rsid w:val="7A8E6267"/>
    <w:rsid w:val="7A8F5AA2"/>
    <w:rsid w:val="7A905722"/>
    <w:rsid w:val="7A993A20"/>
    <w:rsid w:val="7A996847"/>
    <w:rsid w:val="7A9A055F"/>
    <w:rsid w:val="7A9A7EB5"/>
    <w:rsid w:val="7A9B3AB3"/>
    <w:rsid w:val="7A9B4B26"/>
    <w:rsid w:val="7A9C56A0"/>
    <w:rsid w:val="7A9D6CB4"/>
    <w:rsid w:val="7A9F268D"/>
    <w:rsid w:val="7A9F4364"/>
    <w:rsid w:val="7AA17B0B"/>
    <w:rsid w:val="7AA51E44"/>
    <w:rsid w:val="7AA943F9"/>
    <w:rsid w:val="7AB02454"/>
    <w:rsid w:val="7AB20421"/>
    <w:rsid w:val="7ABA7A7D"/>
    <w:rsid w:val="7ABC1417"/>
    <w:rsid w:val="7AC1617C"/>
    <w:rsid w:val="7AC21415"/>
    <w:rsid w:val="7AC46D68"/>
    <w:rsid w:val="7AC5017B"/>
    <w:rsid w:val="7AC91E4F"/>
    <w:rsid w:val="7ACA4603"/>
    <w:rsid w:val="7ACA775B"/>
    <w:rsid w:val="7ACD3FD2"/>
    <w:rsid w:val="7AD2618C"/>
    <w:rsid w:val="7AD32EE5"/>
    <w:rsid w:val="7AD579FF"/>
    <w:rsid w:val="7ADC6950"/>
    <w:rsid w:val="7ADF4874"/>
    <w:rsid w:val="7AE64082"/>
    <w:rsid w:val="7AE76131"/>
    <w:rsid w:val="7AEB665E"/>
    <w:rsid w:val="7AEE11A0"/>
    <w:rsid w:val="7AF155D4"/>
    <w:rsid w:val="7AF244C2"/>
    <w:rsid w:val="7AF50247"/>
    <w:rsid w:val="7AF608FB"/>
    <w:rsid w:val="7AF74DEE"/>
    <w:rsid w:val="7AFA2EC7"/>
    <w:rsid w:val="7B067734"/>
    <w:rsid w:val="7B070BE4"/>
    <w:rsid w:val="7B074467"/>
    <w:rsid w:val="7B0A2885"/>
    <w:rsid w:val="7B1922E2"/>
    <w:rsid w:val="7B1B53CD"/>
    <w:rsid w:val="7B1C0B89"/>
    <w:rsid w:val="7B1D176B"/>
    <w:rsid w:val="7B232877"/>
    <w:rsid w:val="7B270B48"/>
    <w:rsid w:val="7B276F1B"/>
    <w:rsid w:val="7B285AC4"/>
    <w:rsid w:val="7B286B9A"/>
    <w:rsid w:val="7B334F2B"/>
    <w:rsid w:val="7B3467EC"/>
    <w:rsid w:val="7B3575A3"/>
    <w:rsid w:val="7B3C784B"/>
    <w:rsid w:val="7B3E6B40"/>
    <w:rsid w:val="7B4F4E48"/>
    <w:rsid w:val="7B4F61B4"/>
    <w:rsid w:val="7B5145C6"/>
    <w:rsid w:val="7B537BB1"/>
    <w:rsid w:val="7B553AD7"/>
    <w:rsid w:val="7B5D15F3"/>
    <w:rsid w:val="7B5D5D8F"/>
    <w:rsid w:val="7B5E4E76"/>
    <w:rsid w:val="7B61001B"/>
    <w:rsid w:val="7B646EF1"/>
    <w:rsid w:val="7B672BAC"/>
    <w:rsid w:val="7B683207"/>
    <w:rsid w:val="7B6A7539"/>
    <w:rsid w:val="7B6C329F"/>
    <w:rsid w:val="7B712914"/>
    <w:rsid w:val="7B7F75A9"/>
    <w:rsid w:val="7B8130C9"/>
    <w:rsid w:val="7B8374D3"/>
    <w:rsid w:val="7B885909"/>
    <w:rsid w:val="7B8947B7"/>
    <w:rsid w:val="7B896E12"/>
    <w:rsid w:val="7B8A593A"/>
    <w:rsid w:val="7B92218E"/>
    <w:rsid w:val="7B9356BB"/>
    <w:rsid w:val="7B943CCB"/>
    <w:rsid w:val="7B95754E"/>
    <w:rsid w:val="7B9A20AF"/>
    <w:rsid w:val="7B9F205C"/>
    <w:rsid w:val="7B9F553D"/>
    <w:rsid w:val="7BA022A7"/>
    <w:rsid w:val="7BAA182E"/>
    <w:rsid w:val="7BAA3C71"/>
    <w:rsid w:val="7BAA4F39"/>
    <w:rsid w:val="7BB06708"/>
    <w:rsid w:val="7BB21E6C"/>
    <w:rsid w:val="7BB362E2"/>
    <w:rsid w:val="7BB42002"/>
    <w:rsid w:val="7BC4396C"/>
    <w:rsid w:val="7BC6586B"/>
    <w:rsid w:val="7BC70C38"/>
    <w:rsid w:val="7BC833FF"/>
    <w:rsid w:val="7BC9395F"/>
    <w:rsid w:val="7BCA1FA7"/>
    <w:rsid w:val="7BCC5192"/>
    <w:rsid w:val="7BD25685"/>
    <w:rsid w:val="7BD56638"/>
    <w:rsid w:val="7BD67FB8"/>
    <w:rsid w:val="7BD947C0"/>
    <w:rsid w:val="7BDC39F5"/>
    <w:rsid w:val="7BDD7F77"/>
    <w:rsid w:val="7BDE1F32"/>
    <w:rsid w:val="7BE76F8A"/>
    <w:rsid w:val="7BF0164B"/>
    <w:rsid w:val="7BF319C6"/>
    <w:rsid w:val="7BF662EE"/>
    <w:rsid w:val="7BF80814"/>
    <w:rsid w:val="7BF91599"/>
    <w:rsid w:val="7BFB7CB5"/>
    <w:rsid w:val="7BFC724B"/>
    <w:rsid w:val="7BFD6225"/>
    <w:rsid w:val="7BFE24E7"/>
    <w:rsid w:val="7C013B15"/>
    <w:rsid w:val="7C060387"/>
    <w:rsid w:val="7C0856D7"/>
    <w:rsid w:val="7C0938AA"/>
    <w:rsid w:val="7C0C08EB"/>
    <w:rsid w:val="7C11077C"/>
    <w:rsid w:val="7C1677F8"/>
    <w:rsid w:val="7C172C2E"/>
    <w:rsid w:val="7C190C48"/>
    <w:rsid w:val="7C1A27E6"/>
    <w:rsid w:val="7C345047"/>
    <w:rsid w:val="7C376D58"/>
    <w:rsid w:val="7C3B3B4F"/>
    <w:rsid w:val="7C3D056E"/>
    <w:rsid w:val="7C413E0F"/>
    <w:rsid w:val="7C42096C"/>
    <w:rsid w:val="7C4222CD"/>
    <w:rsid w:val="7C4250E9"/>
    <w:rsid w:val="7C4A32D4"/>
    <w:rsid w:val="7C4B12CB"/>
    <w:rsid w:val="7C4D6CFD"/>
    <w:rsid w:val="7C514E59"/>
    <w:rsid w:val="7C53609E"/>
    <w:rsid w:val="7C557191"/>
    <w:rsid w:val="7C5E1802"/>
    <w:rsid w:val="7C62341F"/>
    <w:rsid w:val="7C6347E5"/>
    <w:rsid w:val="7C673EA2"/>
    <w:rsid w:val="7C6A762A"/>
    <w:rsid w:val="7C6C2B2C"/>
    <w:rsid w:val="7C6E1430"/>
    <w:rsid w:val="7C6E5D91"/>
    <w:rsid w:val="7C713308"/>
    <w:rsid w:val="7C767327"/>
    <w:rsid w:val="7C785614"/>
    <w:rsid w:val="7C786865"/>
    <w:rsid w:val="7C7B0214"/>
    <w:rsid w:val="7C7F110C"/>
    <w:rsid w:val="7C803B78"/>
    <w:rsid w:val="7C81661E"/>
    <w:rsid w:val="7C817A9A"/>
    <w:rsid w:val="7C8313D5"/>
    <w:rsid w:val="7C832531"/>
    <w:rsid w:val="7C842442"/>
    <w:rsid w:val="7C855D32"/>
    <w:rsid w:val="7C8C6330"/>
    <w:rsid w:val="7C983022"/>
    <w:rsid w:val="7C99137B"/>
    <w:rsid w:val="7CA33E88"/>
    <w:rsid w:val="7CA3770C"/>
    <w:rsid w:val="7CA37A4F"/>
    <w:rsid w:val="7CAA24C4"/>
    <w:rsid w:val="7CAE5A9D"/>
    <w:rsid w:val="7CB46062"/>
    <w:rsid w:val="7CBA3AAE"/>
    <w:rsid w:val="7CBE0334"/>
    <w:rsid w:val="7CC006A1"/>
    <w:rsid w:val="7CC51E3F"/>
    <w:rsid w:val="7CC91285"/>
    <w:rsid w:val="7CCF01D0"/>
    <w:rsid w:val="7CD31815"/>
    <w:rsid w:val="7CD807AD"/>
    <w:rsid w:val="7CDA1DE4"/>
    <w:rsid w:val="7CE32CDD"/>
    <w:rsid w:val="7CE57086"/>
    <w:rsid w:val="7CEA4D77"/>
    <w:rsid w:val="7CF25826"/>
    <w:rsid w:val="7CF33F74"/>
    <w:rsid w:val="7CF750F8"/>
    <w:rsid w:val="7CFA4897"/>
    <w:rsid w:val="7D0564AB"/>
    <w:rsid w:val="7D085F7C"/>
    <w:rsid w:val="7D1146DF"/>
    <w:rsid w:val="7D136216"/>
    <w:rsid w:val="7D155574"/>
    <w:rsid w:val="7D18600B"/>
    <w:rsid w:val="7D2A649E"/>
    <w:rsid w:val="7D2C740A"/>
    <w:rsid w:val="7D2D0BE9"/>
    <w:rsid w:val="7D2D18E1"/>
    <w:rsid w:val="7D2D5FB2"/>
    <w:rsid w:val="7D306F70"/>
    <w:rsid w:val="7D343F26"/>
    <w:rsid w:val="7D3525DD"/>
    <w:rsid w:val="7D380E83"/>
    <w:rsid w:val="7D3B0B84"/>
    <w:rsid w:val="7D3B4F29"/>
    <w:rsid w:val="7D3D2981"/>
    <w:rsid w:val="7D413CA2"/>
    <w:rsid w:val="7D421B73"/>
    <w:rsid w:val="7D435420"/>
    <w:rsid w:val="7D495510"/>
    <w:rsid w:val="7D5052A6"/>
    <w:rsid w:val="7D50680C"/>
    <w:rsid w:val="7D54072D"/>
    <w:rsid w:val="7D550947"/>
    <w:rsid w:val="7D6003DF"/>
    <w:rsid w:val="7D600858"/>
    <w:rsid w:val="7D630A43"/>
    <w:rsid w:val="7D641E37"/>
    <w:rsid w:val="7D6D017E"/>
    <w:rsid w:val="7D6D6DD4"/>
    <w:rsid w:val="7D6F42F0"/>
    <w:rsid w:val="7D711D35"/>
    <w:rsid w:val="7D734567"/>
    <w:rsid w:val="7D746C09"/>
    <w:rsid w:val="7D780418"/>
    <w:rsid w:val="7D785165"/>
    <w:rsid w:val="7D797FEA"/>
    <w:rsid w:val="7D7B65DA"/>
    <w:rsid w:val="7D7D15ED"/>
    <w:rsid w:val="7D7F108B"/>
    <w:rsid w:val="7D852E47"/>
    <w:rsid w:val="7D87797E"/>
    <w:rsid w:val="7D8829E2"/>
    <w:rsid w:val="7D8A58D9"/>
    <w:rsid w:val="7D8A617D"/>
    <w:rsid w:val="7D8C3E06"/>
    <w:rsid w:val="7D963CCE"/>
    <w:rsid w:val="7D9B1DD0"/>
    <w:rsid w:val="7DA92C66"/>
    <w:rsid w:val="7DB305F4"/>
    <w:rsid w:val="7DB40ABE"/>
    <w:rsid w:val="7DB432D4"/>
    <w:rsid w:val="7DBD60A0"/>
    <w:rsid w:val="7DC93C6B"/>
    <w:rsid w:val="7DCB5C35"/>
    <w:rsid w:val="7DCF1117"/>
    <w:rsid w:val="7DD270C3"/>
    <w:rsid w:val="7DD84758"/>
    <w:rsid w:val="7DD86A71"/>
    <w:rsid w:val="7DDB0C3B"/>
    <w:rsid w:val="7DDE071A"/>
    <w:rsid w:val="7DDE3C10"/>
    <w:rsid w:val="7DE91FA1"/>
    <w:rsid w:val="7DE92AEE"/>
    <w:rsid w:val="7DEB72EE"/>
    <w:rsid w:val="7DED3FA0"/>
    <w:rsid w:val="7DF13724"/>
    <w:rsid w:val="7DF2630F"/>
    <w:rsid w:val="7DF30332"/>
    <w:rsid w:val="7DFE66C3"/>
    <w:rsid w:val="7E081D64"/>
    <w:rsid w:val="7E0935CE"/>
    <w:rsid w:val="7E0E6B44"/>
    <w:rsid w:val="7E180EEB"/>
    <w:rsid w:val="7E230EDB"/>
    <w:rsid w:val="7E2658AE"/>
    <w:rsid w:val="7E286796"/>
    <w:rsid w:val="7E2939DC"/>
    <w:rsid w:val="7E304914"/>
    <w:rsid w:val="7E38310A"/>
    <w:rsid w:val="7E47132F"/>
    <w:rsid w:val="7E475448"/>
    <w:rsid w:val="7E4A0D41"/>
    <w:rsid w:val="7E50388F"/>
    <w:rsid w:val="7E566D52"/>
    <w:rsid w:val="7E5D1CE1"/>
    <w:rsid w:val="7E601AEC"/>
    <w:rsid w:val="7E612846"/>
    <w:rsid w:val="7E6150E3"/>
    <w:rsid w:val="7E6B3474"/>
    <w:rsid w:val="7E6E09DB"/>
    <w:rsid w:val="7E73624F"/>
    <w:rsid w:val="7E7557A7"/>
    <w:rsid w:val="7E765088"/>
    <w:rsid w:val="7E791D71"/>
    <w:rsid w:val="7E795A6A"/>
    <w:rsid w:val="7E7D0E4A"/>
    <w:rsid w:val="7E8A6C84"/>
    <w:rsid w:val="7E966897"/>
    <w:rsid w:val="7E9D0383"/>
    <w:rsid w:val="7E9E2D73"/>
    <w:rsid w:val="7EA01DD5"/>
    <w:rsid w:val="7EA11750"/>
    <w:rsid w:val="7EA31E6A"/>
    <w:rsid w:val="7EA53646"/>
    <w:rsid w:val="7EA97746"/>
    <w:rsid w:val="7EAB7AE1"/>
    <w:rsid w:val="7EB16308"/>
    <w:rsid w:val="7EB16CB8"/>
    <w:rsid w:val="7EB70F03"/>
    <w:rsid w:val="7EB72276"/>
    <w:rsid w:val="7EBD792C"/>
    <w:rsid w:val="7EC23E83"/>
    <w:rsid w:val="7EC37706"/>
    <w:rsid w:val="7ECD2214"/>
    <w:rsid w:val="7ED64A3A"/>
    <w:rsid w:val="7ED65869"/>
    <w:rsid w:val="7ED71015"/>
    <w:rsid w:val="7ED83E28"/>
    <w:rsid w:val="7ED94253"/>
    <w:rsid w:val="7ED96B55"/>
    <w:rsid w:val="7EE32BDE"/>
    <w:rsid w:val="7EE94B79"/>
    <w:rsid w:val="7EED3DCE"/>
    <w:rsid w:val="7EF166A8"/>
    <w:rsid w:val="7EF2624D"/>
    <w:rsid w:val="7EF8215F"/>
    <w:rsid w:val="7EFA5477"/>
    <w:rsid w:val="7EFC2959"/>
    <w:rsid w:val="7EFE50BB"/>
    <w:rsid w:val="7F037FD3"/>
    <w:rsid w:val="7F04016F"/>
    <w:rsid w:val="7F074C18"/>
    <w:rsid w:val="7F0A720B"/>
    <w:rsid w:val="7F0C1412"/>
    <w:rsid w:val="7F0E6500"/>
    <w:rsid w:val="7F1248D2"/>
    <w:rsid w:val="7F170652"/>
    <w:rsid w:val="7F1D148E"/>
    <w:rsid w:val="7F210BD3"/>
    <w:rsid w:val="7F2464A6"/>
    <w:rsid w:val="7F2A278F"/>
    <w:rsid w:val="7F392BC8"/>
    <w:rsid w:val="7F3E6456"/>
    <w:rsid w:val="7F40378B"/>
    <w:rsid w:val="7F424421"/>
    <w:rsid w:val="7F437FB4"/>
    <w:rsid w:val="7F47132A"/>
    <w:rsid w:val="7F4C54B2"/>
    <w:rsid w:val="7F4E5FCB"/>
    <w:rsid w:val="7F5237BA"/>
    <w:rsid w:val="7F532305"/>
    <w:rsid w:val="7F534263"/>
    <w:rsid w:val="7F554977"/>
    <w:rsid w:val="7F58096F"/>
    <w:rsid w:val="7F5A2D7D"/>
    <w:rsid w:val="7F5B0B7E"/>
    <w:rsid w:val="7F5E629B"/>
    <w:rsid w:val="7F6074F8"/>
    <w:rsid w:val="7F621477"/>
    <w:rsid w:val="7F631454"/>
    <w:rsid w:val="7F650B02"/>
    <w:rsid w:val="7F656F0F"/>
    <w:rsid w:val="7F675B5A"/>
    <w:rsid w:val="7F6B740A"/>
    <w:rsid w:val="7F6E67D6"/>
    <w:rsid w:val="7F6F1083"/>
    <w:rsid w:val="7F777E34"/>
    <w:rsid w:val="7F796A6B"/>
    <w:rsid w:val="7F7A1E22"/>
    <w:rsid w:val="7F7A3631"/>
    <w:rsid w:val="7F7B6EB5"/>
    <w:rsid w:val="7F8539DE"/>
    <w:rsid w:val="7F873D31"/>
    <w:rsid w:val="7F885301"/>
    <w:rsid w:val="7F9035D7"/>
    <w:rsid w:val="7F962AA0"/>
    <w:rsid w:val="7F9C15E8"/>
    <w:rsid w:val="7FA832F6"/>
    <w:rsid w:val="7FAB1FC7"/>
    <w:rsid w:val="7FB02783"/>
    <w:rsid w:val="7FB20F48"/>
    <w:rsid w:val="7FB42B14"/>
    <w:rsid w:val="7FB66C38"/>
    <w:rsid w:val="7FBC791E"/>
    <w:rsid w:val="7FC0762F"/>
    <w:rsid w:val="7FC71532"/>
    <w:rsid w:val="7FC732C5"/>
    <w:rsid w:val="7FD14040"/>
    <w:rsid w:val="7FD178C3"/>
    <w:rsid w:val="7FD323D4"/>
    <w:rsid w:val="7FE142BB"/>
    <w:rsid w:val="7FE83C65"/>
    <w:rsid w:val="7FEB243B"/>
    <w:rsid w:val="7FEE458D"/>
    <w:rsid w:val="7FF32985"/>
    <w:rsid w:val="7FF761CD"/>
    <w:rsid w:val="7FFA1F7D"/>
    <w:rsid w:val="7FFB0789"/>
    <w:rsid w:val="7FFD0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qFormat="1" w:unhideWhenUsed="0" w:uiPriority="0" w:semiHidden="0" w:name="Body Text Indent 2"/>
    <w:lsdException w:qFormat="1" w:uiPriority="0" w:semiHidden="0" w:name="Body Text Indent 3"/>
    <w:lsdException w:uiPriority="99" w:name="Block Text"/>
    <w:lsdException w:qFormat="1" w:unhideWhenUsed="0" w:uiPriority="0"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qFormat="1"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napToGrid w:val="0"/>
      <w:kern w:val="2"/>
      <w:sz w:val="21"/>
      <w:lang w:val="en-US" w:eastAsia="zh-CN" w:bidi="ar-SA"/>
    </w:rPr>
  </w:style>
  <w:style w:type="paragraph" w:styleId="3">
    <w:name w:val="heading 1"/>
    <w:basedOn w:val="1"/>
    <w:next w:val="1"/>
    <w:qFormat/>
    <w:uiPriority w:val="9"/>
    <w:pPr>
      <w:keepNext/>
      <w:jc w:val="center"/>
      <w:outlineLvl w:val="0"/>
    </w:pPr>
  </w:style>
  <w:style w:type="paragraph" w:styleId="4">
    <w:name w:val="heading 2"/>
    <w:basedOn w:val="1"/>
    <w:next w:val="1"/>
    <w:link w:val="73"/>
    <w:qFormat/>
    <w:uiPriority w:val="0"/>
    <w:pPr>
      <w:keepNext/>
      <w:keepLines/>
      <w:autoSpaceDE w:val="0"/>
      <w:autoSpaceDN w:val="0"/>
      <w:adjustRightInd w:val="0"/>
      <w:spacing w:before="120" w:after="120"/>
      <w:textAlignment w:val="baseline"/>
      <w:outlineLvl w:val="1"/>
    </w:pPr>
    <w:rPr>
      <w:rFonts w:ascii="宋体" w:hAnsi="Arial" w:eastAsia="楷体_GB2312"/>
      <w:b/>
      <w:kern w:val="24"/>
      <w:sz w:val="24"/>
      <w:szCs w:val="21"/>
    </w:rPr>
  </w:style>
  <w:style w:type="paragraph" w:styleId="5">
    <w:name w:val="heading 3"/>
    <w:basedOn w:val="1"/>
    <w:next w:val="1"/>
    <w:link w:val="58"/>
    <w:qFormat/>
    <w:uiPriority w:val="0"/>
    <w:pPr>
      <w:keepNext/>
      <w:keepLines/>
      <w:spacing w:before="260" w:after="260" w:line="416" w:lineRule="auto"/>
      <w:outlineLvl w:val="2"/>
    </w:pPr>
    <w:rPr>
      <w:b/>
      <w:bCs/>
      <w:sz w:val="32"/>
      <w:szCs w:val="32"/>
    </w:rPr>
  </w:style>
  <w:style w:type="character" w:default="1" w:styleId="29">
    <w:name w:val="Default Paragraph Font"/>
    <w:semiHidden/>
    <w:unhideWhenUsed/>
    <w:qFormat/>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Indent 2"/>
    <w:basedOn w:val="1"/>
    <w:link w:val="51"/>
    <w:qFormat/>
    <w:uiPriority w:val="0"/>
    <w:pPr>
      <w:spacing w:after="120" w:line="480" w:lineRule="auto"/>
      <w:ind w:left="420" w:leftChars="200"/>
    </w:pPr>
    <w:rPr>
      <w:szCs w:val="24"/>
    </w:rPr>
  </w:style>
  <w:style w:type="paragraph" w:styleId="6">
    <w:name w:val="Normal Indent"/>
    <w:basedOn w:val="1"/>
    <w:link w:val="60"/>
    <w:qFormat/>
    <w:uiPriority w:val="0"/>
    <w:pPr>
      <w:ind w:firstLine="420" w:firstLineChars="200"/>
    </w:pPr>
    <w:rPr>
      <w:bCs/>
      <w:szCs w:val="24"/>
    </w:rPr>
  </w:style>
  <w:style w:type="paragraph" w:styleId="7">
    <w:name w:val="Document Map"/>
    <w:basedOn w:val="1"/>
    <w:link w:val="41"/>
    <w:unhideWhenUsed/>
    <w:qFormat/>
    <w:uiPriority w:val="99"/>
    <w:rPr>
      <w:rFonts w:ascii="宋体"/>
      <w:sz w:val="18"/>
      <w:szCs w:val="18"/>
    </w:rPr>
  </w:style>
  <w:style w:type="paragraph" w:styleId="8">
    <w:name w:val="annotation text"/>
    <w:basedOn w:val="1"/>
    <w:link w:val="40"/>
    <w:unhideWhenUsed/>
    <w:qFormat/>
    <w:uiPriority w:val="99"/>
    <w:pPr>
      <w:jc w:val="left"/>
    </w:pPr>
  </w:style>
  <w:style w:type="paragraph" w:styleId="9">
    <w:name w:val="Body Text 3"/>
    <w:basedOn w:val="1"/>
    <w:unhideWhenUsed/>
    <w:qFormat/>
    <w:uiPriority w:val="99"/>
    <w:rPr>
      <w:sz w:val="24"/>
    </w:rPr>
  </w:style>
  <w:style w:type="paragraph" w:styleId="10">
    <w:name w:val="Body Text"/>
    <w:basedOn w:val="1"/>
    <w:link w:val="74"/>
    <w:qFormat/>
    <w:uiPriority w:val="0"/>
    <w:pPr>
      <w:spacing w:line="400" w:lineRule="exact"/>
    </w:pPr>
    <w:rPr>
      <w:rFonts w:ascii="宋体" w:cs="宋体"/>
      <w:sz w:val="24"/>
      <w:szCs w:val="24"/>
    </w:rPr>
  </w:style>
  <w:style w:type="paragraph" w:styleId="11">
    <w:name w:val="Body Text Indent"/>
    <w:basedOn w:val="1"/>
    <w:link w:val="56"/>
    <w:qFormat/>
    <w:uiPriority w:val="0"/>
    <w:pPr>
      <w:snapToGrid w:val="0"/>
      <w:spacing w:before="120"/>
    </w:pPr>
    <w:rPr>
      <w:rFonts w:ascii="宋体" w:cs="宋体"/>
      <w:b/>
      <w:bCs/>
      <w:sz w:val="24"/>
      <w:szCs w:val="24"/>
    </w:rPr>
  </w:style>
  <w:style w:type="paragraph" w:styleId="12">
    <w:name w:val="Plain Text"/>
    <w:basedOn w:val="1"/>
    <w:link w:val="64"/>
    <w:qFormat/>
    <w:uiPriority w:val="0"/>
    <w:rPr>
      <w:rFonts w:ascii="宋体"/>
      <w:bCs/>
      <w:szCs w:val="24"/>
    </w:rPr>
  </w:style>
  <w:style w:type="paragraph" w:styleId="13">
    <w:name w:val="Date"/>
    <w:basedOn w:val="1"/>
    <w:next w:val="1"/>
    <w:unhideWhenUsed/>
    <w:qFormat/>
    <w:uiPriority w:val="99"/>
    <w:rPr>
      <w:sz w:val="28"/>
    </w:rPr>
  </w:style>
  <w:style w:type="paragraph" w:styleId="14">
    <w:name w:val="Balloon Text"/>
    <w:basedOn w:val="1"/>
    <w:link w:val="66"/>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semiHidden/>
    <w:unhideWhenUsed/>
    <w:qFormat/>
    <w:uiPriority w:val="39"/>
  </w:style>
  <w:style w:type="paragraph" w:styleId="18">
    <w:name w:val="List"/>
    <w:basedOn w:val="1"/>
    <w:unhideWhenUsed/>
    <w:qFormat/>
    <w:uiPriority w:val="99"/>
    <w:pPr>
      <w:snapToGrid w:val="0"/>
    </w:pPr>
  </w:style>
  <w:style w:type="paragraph" w:styleId="19">
    <w:name w:val="Body Text Indent 3"/>
    <w:basedOn w:val="1"/>
    <w:unhideWhenUsed/>
    <w:qFormat/>
    <w:uiPriority w:val="0"/>
    <w:pPr>
      <w:spacing w:after="120"/>
      <w:ind w:left="420" w:leftChars="200"/>
    </w:pPr>
    <w:rPr>
      <w:sz w:val="16"/>
      <w:szCs w:val="16"/>
    </w:rPr>
  </w:style>
  <w:style w:type="paragraph" w:styleId="20">
    <w:name w:val="toc 2"/>
    <w:basedOn w:val="1"/>
    <w:next w:val="1"/>
    <w:semiHidden/>
    <w:unhideWhenUsed/>
    <w:qFormat/>
    <w:uiPriority w:val="39"/>
    <w:pPr>
      <w:ind w:left="420" w:leftChars="200"/>
    </w:pPr>
  </w:style>
  <w:style w:type="paragraph" w:styleId="21">
    <w:name w:val="Body Text 2"/>
    <w:basedOn w:val="1"/>
    <w:link w:val="67"/>
    <w:unhideWhenUsed/>
    <w:qFormat/>
    <w:uiPriority w:val="99"/>
    <w:pPr>
      <w:spacing w:after="120" w:line="480" w:lineRule="auto"/>
    </w:pPr>
  </w:style>
  <w:style w:type="paragraph" w:styleId="2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24">
    <w:name w:val="Title"/>
    <w:basedOn w:val="1"/>
    <w:qFormat/>
    <w:uiPriority w:val="10"/>
    <w:pPr>
      <w:spacing w:before="60" w:after="60"/>
      <w:ind w:left="210" w:leftChars="100"/>
      <w:outlineLvl w:val="0"/>
    </w:pPr>
    <w:rPr>
      <w:rFonts w:ascii="Arial" w:hAnsi="Arial" w:cs="Arial"/>
      <w:b/>
      <w:bCs/>
      <w:sz w:val="24"/>
      <w:szCs w:val="32"/>
    </w:rPr>
  </w:style>
  <w:style w:type="paragraph" w:styleId="25">
    <w:name w:val="Body Text First Indent"/>
    <w:basedOn w:val="10"/>
    <w:unhideWhenUsed/>
    <w:qFormat/>
    <w:uiPriority w:val="99"/>
    <w:pPr>
      <w:ind w:firstLine="420" w:firstLineChars="100"/>
    </w:p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28">
    <w:name w:val="Table Simple 1"/>
    <w:basedOn w:val="26"/>
    <w:qFormat/>
    <w:uiPriority w:val="0"/>
    <w:pPr>
      <w:widowControl w:val="0"/>
      <w:ind w:firstLine="510"/>
      <w:jc w:val="both"/>
    </w:pPr>
    <w:tblPr>
      <w:tblBorders>
        <w:top w:val="single" w:color="008000" w:sz="12" w:space="0"/>
        <w:bottom w:val="single" w:color="008000" w:sz="12"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8000" w:sz="6" w:space="0"/>
          <w:right w:val="nil"/>
          <w:insideH w:val="nil"/>
          <w:insideV w:val="nil"/>
          <w:tl2br w:val="nil"/>
          <w:tr2bl w:val="nil"/>
        </w:tcBorders>
      </w:tcPr>
    </w:tblStylePr>
    <w:tblStylePr w:type="lastRow">
      <w:tblPr>
        <w:tblLayout w:type="fixed"/>
      </w:tblPr>
      <w:tcPr>
        <w:tcBorders>
          <w:top w:val="single" w:color="008000" w:sz="6" w:space="0"/>
          <w:left w:val="nil"/>
          <w:bottom w:val="nil"/>
          <w:right w:val="nil"/>
          <w:insideH w:val="nil"/>
          <w:insideV w:val="nil"/>
          <w:tl2br w:val="nil"/>
          <w:tr2bl w:val="nil"/>
        </w:tcBorders>
      </w:tcPr>
    </w:tblStylePr>
  </w:style>
  <w:style w:type="character" w:styleId="30">
    <w:name w:val="Strong"/>
    <w:basedOn w:val="29"/>
    <w:qFormat/>
    <w:uiPriority w:val="0"/>
    <w:rPr>
      <w:rFonts w:eastAsia="宋体"/>
      <w:b/>
      <w:bCs/>
      <w:kern w:val="2"/>
      <w:sz w:val="24"/>
      <w:szCs w:val="24"/>
      <w:lang w:val="en-US" w:eastAsia="zh-CN" w:bidi="ar-SA"/>
    </w:rPr>
  </w:style>
  <w:style w:type="character" w:styleId="31">
    <w:name w:val="page number"/>
    <w:basedOn w:val="29"/>
    <w:qFormat/>
    <w:uiPriority w:val="0"/>
  </w:style>
  <w:style w:type="character" w:styleId="32">
    <w:name w:val="FollowedHyperlink"/>
    <w:basedOn w:val="29"/>
    <w:unhideWhenUsed/>
    <w:qFormat/>
    <w:uiPriority w:val="99"/>
    <w:rPr>
      <w:color w:val="07519A"/>
      <w:u w:val="single"/>
    </w:rPr>
  </w:style>
  <w:style w:type="character" w:styleId="33">
    <w:name w:val="Emphasis"/>
    <w:basedOn w:val="29"/>
    <w:qFormat/>
    <w:uiPriority w:val="20"/>
    <w:rPr>
      <w:i/>
      <w:iCs/>
    </w:rPr>
  </w:style>
  <w:style w:type="character" w:styleId="34">
    <w:name w:val="Hyperlink"/>
    <w:basedOn w:val="29"/>
    <w:qFormat/>
    <w:uiPriority w:val="0"/>
    <w:rPr>
      <w:rFonts w:eastAsia="宋体"/>
      <w:bCs/>
      <w:color w:val="0000FF"/>
      <w:kern w:val="2"/>
      <w:sz w:val="24"/>
      <w:szCs w:val="24"/>
      <w:u w:val="single"/>
      <w:lang w:val="en-US" w:eastAsia="zh-CN" w:bidi="ar-SA"/>
    </w:rPr>
  </w:style>
  <w:style w:type="character" w:styleId="35">
    <w:name w:val="annotation reference"/>
    <w:basedOn w:val="29"/>
    <w:qFormat/>
    <w:uiPriority w:val="0"/>
    <w:rPr>
      <w:rFonts w:eastAsia="宋体"/>
      <w:bCs/>
      <w:kern w:val="2"/>
      <w:sz w:val="21"/>
      <w:szCs w:val="21"/>
      <w:lang w:val="en-US" w:eastAsia="zh-CN" w:bidi="ar-SA"/>
    </w:rPr>
  </w:style>
  <w:style w:type="paragraph" w:customStyle="1" w:styleId="36">
    <w:name w:val="Default"/>
    <w:qFormat/>
    <w:uiPriority w:val="0"/>
    <w:pPr>
      <w:widowControl w:val="0"/>
      <w:autoSpaceDE w:val="0"/>
      <w:autoSpaceDN w:val="0"/>
      <w:adjustRightInd w:val="0"/>
    </w:pPr>
    <w:rPr>
      <w:rFonts w:ascii="方正姚体" w:hAnsi="Times New Roman" w:eastAsia="方正姚体" w:cs="方正姚体"/>
      <w:color w:val="000000"/>
      <w:sz w:val="24"/>
      <w:szCs w:val="24"/>
      <w:lang w:val="en-US" w:eastAsia="zh-CN" w:bidi="ar-SA"/>
    </w:rPr>
  </w:style>
  <w:style w:type="paragraph" w:customStyle="1" w:styleId="37">
    <w:name w:val="报告表大标题"/>
    <w:basedOn w:val="1"/>
    <w:qFormat/>
    <w:uiPriority w:val="0"/>
    <w:pPr>
      <w:spacing w:line="360" w:lineRule="auto"/>
      <w:ind w:left="11" w:right="11"/>
    </w:pPr>
    <w:rPr>
      <w:rFonts w:eastAsia="黑体"/>
      <w:b/>
      <w:bCs/>
      <w:color w:val="000000"/>
      <w:sz w:val="28"/>
      <w:szCs w:val="28"/>
    </w:rPr>
  </w:style>
  <w:style w:type="paragraph" w:customStyle="1" w:styleId="38">
    <w:name w:val="1"/>
    <w:basedOn w:val="1"/>
    <w:next w:val="11"/>
    <w:qFormat/>
    <w:uiPriority w:val="0"/>
    <w:pPr>
      <w:spacing w:line="360" w:lineRule="auto"/>
      <w:ind w:firstLine="480" w:firstLineChars="200"/>
    </w:pPr>
    <w:rPr>
      <w:rFonts w:ascii="仿宋_GB2312" w:eastAsia="仿宋_GB2312"/>
      <w:sz w:val="24"/>
      <w:szCs w:val="24"/>
    </w:rPr>
  </w:style>
  <w:style w:type="character" w:customStyle="1" w:styleId="39">
    <w:name w:val="apple-converted-space"/>
    <w:basedOn w:val="29"/>
    <w:qFormat/>
    <w:uiPriority w:val="0"/>
    <w:rPr>
      <w:rFonts w:eastAsia="宋体"/>
      <w:bCs/>
      <w:kern w:val="2"/>
      <w:sz w:val="24"/>
      <w:szCs w:val="24"/>
      <w:lang w:val="en-US" w:eastAsia="zh-CN" w:bidi="ar-SA"/>
    </w:rPr>
  </w:style>
  <w:style w:type="character" w:customStyle="1" w:styleId="40">
    <w:name w:val="批注文字 Char"/>
    <w:basedOn w:val="29"/>
    <w:link w:val="8"/>
    <w:qFormat/>
    <w:uiPriority w:val="99"/>
    <w:rPr>
      <w:kern w:val="2"/>
      <w:sz w:val="21"/>
    </w:rPr>
  </w:style>
  <w:style w:type="character" w:customStyle="1" w:styleId="41">
    <w:name w:val="文档结构图 Char"/>
    <w:basedOn w:val="29"/>
    <w:link w:val="7"/>
    <w:semiHidden/>
    <w:qFormat/>
    <w:uiPriority w:val="99"/>
    <w:rPr>
      <w:rFonts w:ascii="宋体"/>
      <w:kern w:val="2"/>
      <w:sz w:val="18"/>
      <w:szCs w:val="18"/>
    </w:rPr>
  </w:style>
  <w:style w:type="character" w:customStyle="1" w:styleId="42">
    <w:name w:val="报告表 段 Char Char"/>
    <w:basedOn w:val="29"/>
    <w:link w:val="43"/>
    <w:qFormat/>
    <w:uiPriority w:val="0"/>
    <w:rPr>
      <w:rFonts w:ascii="宋体" w:cs="宋体"/>
      <w:bCs/>
      <w:kern w:val="2"/>
      <w:sz w:val="24"/>
      <w:szCs w:val="24"/>
    </w:rPr>
  </w:style>
  <w:style w:type="paragraph" w:customStyle="1" w:styleId="43">
    <w:name w:val="报告表 段"/>
    <w:basedOn w:val="1"/>
    <w:link w:val="42"/>
    <w:qFormat/>
    <w:uiPriority w:val="0"/>
    <w:pPr>
      <w:snapToGrid w:val="0"/>
      <w:spacing w:line="360" w:lineRule="auto"/>
      <w:ind w:firstLine="505"/>
    </w:pPr>
    <w:rPr>
      <w:rFonts w:ascii="宋体" w:cs="宋体"/>
      <w:bCs/>
      <w:sz w:val="24"/>
      <w:szCs w:val="24"/>
    </w:rPr>
  </w:style>
  <w:style w:type="character" w:customStyle="1" w:styleId="44">
    <w:name w:val="宋体 小四 Char Char"/>
    <w:basedOn w:val="29"/>
    <w:link w:val="45"/>
    <w:qFormat/>
    <w:uiPriority w:val="0"/>
    <w:rPr>
      <w:rFonts w:hAnsi="宋体"/>
      <w:bCs/>
      <w:kern w:val="2"/>
      <w:sz w:val="24"/>
      <w:szCs w:val="24"/>
    </w:rPr>
  </w:style>
  <w:style w:type="paragraph" w:customStyle="1" w:styleId="45">
    <w:name w:val="宋体 小四"/>
    <w:basedOn w:val="1"/>
    <w:link w:val="44"/>
    <w:qFormat/>
    <w:uiPriority w:val="0"/>
    <w:pPr>
      <w:spacing w:line="360" w:lineRule="auto"/>
      <w:ind w:firstLine="200" w:firstLineChars="200"/>
    </w:pPr>
    <w:rPr>
      <w:rFonts w:hAnsi="宋体"/>
      <w:bCs/>
      <w:sz w:val="24"/>
      <w:szCs w:val="24"/>
    </w:rPr>
  </w:style>
  <w:style w:type="character" w:customStyle="1" w:styleId="46">
    <w:name w:val="正文文本缩进 2 Char1"/>
    <w:basedOn w:val="29"/>
    <w:semiHidden/>
    <w:qFormat/>
    <w:uiPriority w:val="99"/>
    <w:rPr>
      <w:kern w:val="2"/>
      <w:sz w:val="21"/>
    </w:rPr>
  </w:style>
  <w:style w:type="character" w:customStyle="1" w:styleId="47">
    <w:name w:val="表格内容 Char"/>
    <w:link w:val="48"/>
    <w:qFormat/>
    <w:uiPriority w:val="0"/>
    <w:rPr>
      <w:snapToGrid w:val="0"/>
      <w:spacing w:val="6"/>
      <w:kern w:val="21"/>
      <w:sz w:val="21"/>
    </w:rPr>
  </w:style>
  <w:style w:type="paragraph" w:customStyle="1" w:styleId="48">
    <w:name w:val="表格内容"/>
    <w:basedOn w:val="1"/>
    <w:link w:val="47"/>
    <w:qFormat/>
    <w:uiPriority w:val="0"/>
    <w:pPr>
      <w:tabs>
        <w:tab w:val="left" w:pos="146"/>
      </w:tabs>
      <w:adjustRightInd w:val="0"/>
      <w:snapToGrid w:val="0"/>
      <w:spacing w:before="100" w:beforeAutospacing="1" w:after="100" w:afterAutospacing="1"/>
      <w:jc w:val="center"/>
    </w:pPr>
    <w:rPr>
      <w:snapToGrid w:val="0"/>
      <w:spacing w:val="6"/>
      <w:kern w:val="21"/>
    </w:rPr>
  </w:style>
  <w:style w:type="character" w:customStyle="1" w:styleId="49">
    <w:name w:val="font11"/>
    <w:basedOn w:val="29"/>
    <w:qFormat/>
    <w:uiPriority w:val="0"/>
    <w:rPr>
      <w:rFonts w:hint="eastAsia" w:ascii="宋体" w:hAnsi="宋体" w:eastAsia="宋体" w:cs="宋体"/>
      <w:color w:val="000000"/>
      <w:sz w:val="18"/>
      <w:szCs w:val="18"/>
      <w:u w:val="none"/>
    </w:rPr>
  </w:style>
  <w:style w:type="character" w:customStyle="1" w:styleId="50">
    <w:name w:val="纯文本 Char1"/>
    <w:basedOn w:val="29"/>
    <w:qFormat/>
    <w:uiPriority w:val="0"/>
    <w:rPr>
      <w:rFonts w:ascii="宋体" w:hAnsi="Courier New" w:cs="Courier New"/>
      <w:kern w:val="2"/>
      <w:sz w:val="21"/>
      <w:szCs w:val="21"/>
    </w:rPr>
  </w:style>
  <w:style w:type="character" w:customStyle="1" w:styleId="51">
    <w:name w:val="正文文本缩进 2 Char"/>
    <w:basedOn w:val="29"/>
    <w:link w:val="2"/>
    <w:qFormat/>
    <w:uiPriority w:val="0"/>
    <w:rPr>
      <w:kern w:val="2"/>
      <w:sz w:val="21"/>
      <w:szCs w:val="24"/>
    </w:rPr>
  </w:style>
  <w:style w:type="character" w:customStyle="1" w:styleId="52">
    <w:name w:val="报告表 小段 Char Char"/>
    <w:basedOn w:val="29"/>
    <w:link w:val="53"/>
    <w:qFormat/>
    <w:uiPriority w:val="0"/>
    <w:rPr>
      <w:rFonts w:ascii="宋体" w:cs="宋体"/>
      <w:bCs/>
      <w:kern w:val="2"/>
      <w:sz w:val="24"/>
      <w:szCs w:val="24"/>
    </w:rPr>
  </w:style>
  <w:style w:type="paragraph" w:customStyle="1" w:styleId="53">
    <w:name w:val="报告表 小段"/>
    <w:basedOn w:val="1"/>
    <w:link w:val="52"/>
    <w:qFormat/>
    <w:uiPriority w:val="0"/>
    <w:pPr>
      <w:spacing w:before="120" w:line="360" w:lineRule="auto"/>
      <w:ind w:firstLine="470" w:firstLineChars="196"/>
      <w:jc w:val="left"/>
    </w:pPr>
    <w:rPr>
      <w:rFonts w:ascii="宋体" w:cs="宋体"/>
      <w:bCs/>
      <w:sz w:val="24"/>
      <w:szCs w:val="24"/>
    </w:rPr>
  </w:style>
  <w:style w:type="character" w:customStyle="1" w:styleId="54">
    <w:name w:val="Char Char Char Char Char Char Char Char"/>
    <w:basedOn w:val="29"/>
    <w:link w:val="55"/>
    <w:qFormat/>
    <w:uiPriority w:val="0"/>
    <w:rPr>
      <w:bCs/>
      <w:kern w:val="2"/>
      <w:sz w:val="24"/>
      <w:szCs w:val="24"/>
    </w:rPr>
  </w:style>
  <w:style w:type="paragraph" w:customStyle="1" w:styleId="55">
    <w:name w:val="Char Char Char Char"/>
    <w:basedOn w:val="1"/>
    <w:link w:val="54"/>
    <w:qFormat/>
    <w:uiPriority w:val="0"/>
    <w:rPr>
      <w:bCs/>
      <w:sz w:val="24"/>
      <w:szCs w:val="24"/>
    </w:rPr>
  </w:style>
  <w:style w:type="character" w:customStyle="1" w:styleId="56">
    <w:name w:val="正文文本缩进 Char"/>
    <w:basedOn w:val="29"/>
    <w:link w:val="11"/>
    <w:qFormat/>
    <w:uiPriority w:val="0"/>
    <w:rPr>
      <w:rFonts w:ascii="宋体" w:cs="宋体"/>
      <w:b/>
      <w:bCs/>
      <w:kern w:val="2"/>
      <w:sz w:val="24"/>
      <w:szCs w:val="24"/>
    </w:rPr>
  </w:style>
  <w:style w:type="character" w:customStyle="1" w:styleId="57">
    <w:name w:val="font21"/>
    <w:basedOn w:val="29"/>
    <w:qFormat/>
    <w:uiPriority w:val="0"/>
    <w:rPr>
      <w:rFonts w:hint="default" w:ascii="Dialog" w:hAnsi="Dialog" w:eastAsia="Dialog" w:cs="Dialog"/>
      <w:color w:val="000000"/>
      <w:sz w:val="18"/>
      <w:szCs w:val="18"/>
      <w:u w:val="none"/>
    </w:rPr>
  </w:style>
  <w:style w:type="character" w:customStyle="1" w:styleId="58">
    <w:name w:val="标题 3 Char"/>
    <w:basedOn w:val="29"/>
    <w:link w:val="5"/>
    <w:qFormat/>
    <w:uiPriority w:val="0"/>
    <w:rPr>
      <w:b/>
      <w:bCs/>
      <w:kern w:val="2"/>
      <w:sz w:val="32"/>
      <w:szCs w:val="32"/>
    </w:rPr>
  </w:style>
  <w:style w:type="character" w:customStyle="1" w:styleId="59">
    <w:name w:val="正文缩进 Char1"/>
    <w:basedOn w:val="29"/>
    <w:qFormat/>
    <w:uiPriority w:val="0"/>
    <w:rPr>
      <w:bCs/>
      <w:kern w:val="2"/>
      <w:sz w:val="21"/>
      <w:szCs w:val="24"/>
    </w:rPr>
  </w:style>
  <w:style w:type="character" w:customStyle="1" w:styleId="60">
    <w:name w:val="正文缩进 Char"/>
    <w:basedOn w:val="29"/>
    <w:link w:val="6"/>
    <w:qFormat/>
    <w:uiPriority w:val="0"/>
    <w:rPr>
      <w:bCs/>
      <w:kern w:val="2"/>
      <w:sz w:val="21"/>
      <w:szCs w:val="24"/>
    </w:rPr>
  </w:style>
  <w:style w:type="character" w:customStyle="1" w:styleId="61">
    <w:name w:val="表文字居中 Char Char"/>
    <w:link w:val="62"/>
    <w:qFormat/>
    <w:uiPriority w:val="0"/>
    <w:rPr>
      <w:rFonts w:ascii="宋体" w:hAnsi="宋体"/>
      <w:kern w:val="2"/>
      <w:sz w:val="21"/>
      <w:szCs w:val="21"/>
    </w:rPr>
  </w:style>
  <w:style w:type="paragraph" w:customStyle="1" w:styleId="62">
    <w:name w:val="表文字居中"/>
    <w:basedOn w:val="1"/>
    <w:link w:val="61"/>
    <w:qFormat/>
    <w:uiPriority w:val="0"/>
    <w:pPr>
      <w:jc w:val="center"/>
    </w:pPr>
    <w:rPr>
      <w:rFonts w:ascii="宋体" w:hAnsi="宋体"/>
      <w:szCs w:val="21"/>
    </w:rPr>
  </w:style>
  <w:style w:type="character" w:customStyle="1" w:styleId="63">
    <w:name w:val="表格 32 Char"/>
    <w:basedOn w:val="29"/>
    <w:qFormat/>
    <w:uiPriority w:val="0"/>
    <w:rPr>
      <w:rFonts w:ascii="宋体" w:hAnsi="Impact" w:eastAsia="宋体"/>
      <w:bCs/>
      <w:kern w:val="24"/>
      <w:sz w:val="24"/>
      <w:szCs w:val="21"/>
      <w:lang w:val="en-US" w:eastAsia="zh-CN" w:bidi="ar-SA"/>
    </w:rPr>
  </w:style>
  <w:style w:type="character" w:customStyle="1" w:styleId="64">
    <w:name w:val="纯文本 Char"/>
    <w:basedOn w:val="29"/>
    <w:link w:val="12"/>
    <w:qFormat/>
    <w:uiPriority w:val="99"/>
    <w:rPr>
      <w:rFonts w:ascii="宋体"/>
      <w:bCs/>
      <w:kern w:val="2"/>
      <w:sz w:val="21"/>
      <w:szCs w:val="24"/>
    </w:rPr>
  </w:style>
  <w:style w:type="character" w:customStyle="1" w:styleId="65">
    <w:name w:val="h31"/>
    <w:basedOn w:val="29"/>
    <w:qFormat/>
    <w:uiPriority w:val="0"/>
    <w:rPr>
      <w:sz w:val="21"/>
      <w:szCs w:val="21"/>
    </w:rPr>
  </w:style>
  <w:style w:type="character" w:customStyle="1" w:styleId="66">
    <w:name w:val="批注框文本 Char"/>
    <w:basedOn w:val="29"/>
    <w:link w:val="14"/>
    <w:qFormat/>
    <w:uiPriority w:val="0"/>
    <w:rPr>
      <w:kern w:val="2"/>
      <w:sz w:val="18"/>
      <w:szCs w:val="18"/>
    </w:rPr>
  </w:style>
  <w:style w:type="character" w:customStyle="1" w:styleId="67">
    <w:name w:val="正文文本 2 Char"/>
    <w:basedOn w:val="29"/>
    <w:link w:val="21"/>
    <w:semiHidden/>
    <w:qFormat/>
    <w:uiPriority w:val="99"/>
    <w:rPr>
      <w:kern w:val="2"/>
      <w:sz w:val="21"/>
    </w:rPr>
  </w:style>
  <w:style w:type="character" w:customStyle="1" w:styleId="68">
    <w:name w:val="样式 君邦正文 + 蓝色2 Char"/>
    <w:link w:val="69"/>
    <w:qFormat/>
    <w:uiPriority w:val="0"/>
    <w:rPr>
      <w:color w:val="0000FF"/>
    </w:rPr>
  </w:style>
  <w:style w:type="paragraph" w:customStyle="1" w:styleId="69">
    <w:name w:val="样式 君邦正文 + 蓝色2"/>
    <w:basedOn w:val="70"/>
    <w:link w:val="68"/>
    <w:qFormat/>
    <w:uiPriority w:val="0"/>
    <w:pPr>
      <w:spacing w:after="0" w:line="240" w:lineRule="atLeast"/>
      <w:ind w:firstLine="0" w:firstLineChars="0"/>
      <w:jc w:val="center"/>
    </w:pPr>
    <w:rPr>
      <w:bCs w:val="0"/>
      <w:snapToGrid/>
      <w:color w:val="0000FF"/>
      <w:sz w:val="20"/>
      <w:szCs w:val="20"/>
    </w:rPr>
  </w:style>
  <w:style w:type="paragraph" w:customStyle="1" w:styleId="70">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szCs w:val="22"/>
      <w:lang w:val="en-US" w:eastAsia="zh-CN" w:bidi="ar-SA"/>
    </w:rPr>
  </w:style>
  <w:style w:type="character" w:customStyle="1" w:styleId="71">
    <w:name w:val="报告表  段 Char Char"/>
    <w:basedOn w:val="29"/>
    <w:link w:val="72"/>
    <w:qFormat/>
    <w:uiPriority w:val="0"/>
    <w:rPr>
      <w:rFonts w:ascii="宋体" w:cs="宋体"/>
      <w:bCs/>
      <w:kern w:val="2"/>
      <w:sz w:val="24"/>
      <w:szCs w:val="24"/>
    </w:rPr>
  </w:style>
  <w:style w:type="paragraph" w:customStyle="1" w:styleId="72">
    <w:name w:val="报告表  段"/>
    <w:basedOn w:val="1"/>
    <w:link w:val="71"/>
    <w:qFormat/>
    <w:uiPriority w:val="0"/>
    <w:pPr>
      <w:adjustRightInd w:val="0"/>
      <w:spacing w:line="360" w:lineRule="auto"/>
      <w:ind w:firstLine="505"/>
      <w:textAlignment w:val="baseline"/>
    </w:pPr>
    <w:rPr>
      <w:rFonts w:ascii="宋体" w:cs="宋体"/>
      <w:bCs/>
      <w:sz w:val="24"/>
      <w:szCs w:val="24"/>
    </w:rPr>
  </w:style>
  <w:style w:type="character" w:customStyle="1" w:styleId="73">
    <w:name w:val="标题 2 Char"/>
    <w:basedOn w:val="29"/>
    <w:link w:val="4"/>
    <w:qFormat/>
    <w:uiPriority w:val="0"/>
    <w:rPr>
      <w:rFonts w:ascii="宋体" w:hAnsi="Arial" w:eastAsia="楷体_GB2312"/>
      <w:b/>
      <w:kern w:val="24"/>
      <w:sz w:val="24"/>
      <w:szCs w:val="21"/>
    </w:rPr>
  </w:style>
  <w:style w:type="character" w:customStyle="1" w:styleId="74">
    <w:name w:val="正文文本 Char"/>
    <w:basedOn w:val="29"/>
    <w:link w:val="10"/>
    <w:qFormat/>
    <w:uiPriority w:val="0"/>
    <w:rPr>
      <w:rFonts w:ascii="宋体" w:cs="宋体"/>
      <w:kern w:val="2"/>
      <w:sz w:val="24"/>
      <w:szCs w:val="24"/>
    </w:rPr>
  </w:style>
  <w:style w:type="character" w:customStyle="1" w:styleId="75">
    <w:name w:val="表格 32 Char Char"/>
    <w:link w:val="76"/>
    <w:qFormat/>
    <w:uiPriority w:val="99"/>
    <w:rPr>
      <w:rFonts w:ascii="宋体" w:hAnsi="Impact"/>
      <w:kern w:val="24"/>
      <w:sz w:val="24"/>
      <w:szCs w:val="21"/>
      <w:lang w:val="en-US" w:eastAsia="zh-CN"/>
    </w:rPr>
  </w:style>
  <w:style w:type="paragraph" w:customStyle="1" w:styleId="76">
    <w:name w:val="表格 32"/>
    <w:basedOn w:val="1"/>
    <w:link w:val="75"/>
    <w:qFormat/>
    <w:uiPriority w:val="99"/>
    <w:pPr>
      <w:autoSpaceDE w:val="0"/>
      <w:autoSpaceDN w:val="0"/>
      <w:adjustRightInd w:val="0"/>
      <w:jc w:val="center"/>
      <w:textAlignment w:val="baseline"/>
    </w:pPr>
    <w:rPr>
      <w:rFonts w:ascii="宋体" w:hAnsi="Impact"/>
      <w:kern w:val="24"/>
      <w:sz w:val="24"/>
      <w:szCs w:val="21"/>
    </w:rPr>
  </w:style>
  <w:style w:type="character" w:customStyle="1" w:styleId="77">
    <w:name w:val="报告 Char Char Char"/>
    <w:basedOn w:val="29"/>
    <w:link w:val="78"/>
    <w:qFormat/>
    <w:uiPriority w:val="0"/>
    <w:rPr>
      <w:rFonts w:ascii="宋体" w:hAnsi="宋体"/>
      <w:b/>
      <w:bCs/>
      <w:kern w:val="2"/>
      <w:sz w:val="24"/>
      <w:szCs w:val="24"/>
    </w:rPr>
  </w:style>
  <w:style w:type="paragraph" w:customStyle="1" w:styleId="78">
    <w:name w:val="报告"/>
    <w:basedOn w:val="1"/>
    <w:link w:val="77"/>
    <w:qFormat/>
    <w:uiPriority w:val="0"/>
    <w:pPr>
      <w:widowControl/>
      <w:suppressAutoHyphens/>
      <w:overflowPunct w:val="0"/>
      <w:topLinePunct/>
      <w:adjustRightInd w:val="0"/>
      <w:snapToGrid w:val="0"/>
      <w:jc w:val="center"/>
      <w:textAlignment w:val="baseline"/>
    </w:pPr>
    <w:rPr>
      <w:rFonts w:ascii="宋体" w:hAnsi="宋体"/>
      <w:b/>
      <w:bCs/>
      <w:sz w:val="24"/>
      <w:szCs w:val="24"/>
    </w:rPr>
  </w:style>
  <w:style w:type="paragraph" w:customStyle="1" w:styleId="79">
    <w:name w:val="报告表小标题"/>
    <w:basedOn w:val="1"/>
    <w:qFormat/>
    <w:uiPriority w:val="0"/>
    <w:pPr>
      <w:snapToGrid w:val="0"/>
      <w:spacing w:before="100" w:beforeAutospacing="1" w:line="360" w:lineRule="auto"/>
    </w:pPr>
    <w:rPr>
      <w:rFonts w:ascii="宋体" w:cs="宋体"/>
      <w:b/>
      <w:bCs/>
      <w:color w:val="000000"/>
      <w:sz w:val="24"/>
      <w:szCs w:val="24"/>
    </w:rPr>
  </w:style>
  <w:style w:type="paragraph" w:customStyle="1" w:styleId="80">
    <w:name w:val="小四正文"/>
    <w:basedOn w:val="1"/>
    <w:qFormat/>
    <w:uiPriority w:val="0"/>
    <w:pPr>
      <w:spacing w:line="360" w:lineRule="auto"/>
      <w:ind w:firstLine="480" w:firstLineChars="200"/>
    </w:pPr>
    <w:rPr>
      <w:rFonts w:hAnsi="宋体"/>
      <w:kern w:val="0"/>
      <w:sz w:val="24"/>
    </w:rPr>
  </w:style>
  <w:style w:type="paragraph" w:customStyle="1" w:styleId="81">
    <w:name w:val="样式10"/>
    <w:basedOn w:val="1"/>
    <w:qFormat/>
    <w:uiPriority w:val="0"/>
    <w:pPr>
      <w:spacing w:line="360" w:lineRule="auto"/>
      <w:ind w:firstLine="480" w:firstLineChars="200"/>
    </w:pPr>
    <w:rPr>
      <w:rFonts w:ascii="宋体" w:hAnsi="宋体" w:eastAsia="Times New Roman"/>
      <w:sz w:val="24"/>
      <w:lang w:val="zh-CN"/>
    </w:rPr>
  </w:style>
  <w:style w:type="paragraph" w:customStyle="1" w:styleId="82">
    <w:name w:val="中文报告书样式"/>
    <w:basedOn w:val="1"/>
    <w:qFormat/>
    <w:uiPriority w:val="0"/>
    <w:pPr>
      <w:adjustRightInd w:val="0"/>
      <w:spacing w:line="480" w:lineRule="atLeast"/>
      <w:ind w:firstLine="482"/>
      <w:textAlignment w:val="baseline"/>
    </w:pPr>
    <w:rPr>
      <w:kern w:val="24"/>
      <w:sz w:val="24"/>
    </w:rPr>
  </w:style>
  <w:style w:type="paragraph" w:customStyle="1" w:styleId="83">
    <w:name w:val="样式 标题 3"/>
    <w:basedOn w:val="5"/>
    <w:next w:val="1"/>
    <w:qFormat/>
    <w:uiPriority w:val="0"/>
    <w:pPr>
      <w:spacing w:before="163" w:after="163"/>
      <w:jc w:val="left"/>
    </w:pPr>
    <w:rPr>
      <w:rFonts w:cs="宋体"/>
      <w:szCs w:val="24"/>
    </w:rPr>
  </w:style>
  <w:style w:type="paragraph" w:customStyle="1" w:styleId="84">
    <w:name w:val="表格1"/>
    <w:basedOn w:val="1"/>
    <w:next w:val="1"/>
    <w:qFormat/>
    <w:uiPriority w:val="0"/>
    <w:pPr>
      <w:topLinePunct/>
      <w:autoSpaceDE w:val="0"/>
      <w:autoSpaceDN w:val="0"/>
      <w:adjustRightInd w:val="0"/>
      <w:jc w:val="center"/>
      <w:textAlignment w:val="baseline"/>
    </w:pPr>
    <w:rPr>
      <w:rFonts w:ascii="宋体" w:hAnsi="Impact"/>
      <w:kern w:val="24"/>
      <w:sz w:val="28"/>
    </w:rPr>
  </w:style>
  <w:style w:type="paragraph" w:customStyle="1" w:styleId="85">
    <w:name w:val="表1表2"/>
    <w:basedOn w:val="1"/>
    <w:qFormat/>
    <w:uiPriority w:val="0"/>
    <w:pPr>
      <w:autoSpaceDE w:val="0"/>
      <w:autoSpaceDN w:val="0"/>
      <w:adjustRightInd w:val="0"/>
      <w:jc w:val="center"/>
      <w:textAlignment w:val="center"/>
    </w:pPr>
    <w:rPr>
      <w:rFonts w:eastAsia="仿宋体"/>
      <w:kern w:val="0"/>
      <w:sz w:val="24"/>
    </w:rPr>
  </w:style>
  <w:style w:type="paragraph" w:customStyle="1" w:styleId="86">
    <w:name w:val="正文3"/>
    <w:basedOn w:val="1"/>
    <w:qFormat/>
    <w:uiPriority w:val="0"/>
    <w:pPr>
      <w:adjustRightInd w:val="0"/>
      <w:snapToGrid w:val="0"/>
    </w:pPr>
  </w:style>
  <w:style w:type="paragraph" w:customStyle="1" w:styleId="87">
    <w:name w:val="样式 (中文) 仿宋_GB2312 小四 行距: 1.5 倍行距1"/>
    <w:basedOn w:val="1"/>
    <w:qFormat/>
    <w:uiPriority w:val="0"/>
    <w:pPr>
      <w:ind w:firstLine="480" w:firstLineChars="200"/>
      <w:jc w:val="left"/>
    </w:pPr>
    <w:rPr>
      <w:rFonts w:ascii="仿宋_GB2312" w:eastAsia="仿宋_GB2312" w:cs="宋体"/>
    </w:rPr>
  </w:style>
  <w:style w:type="paragraph" w:customStyle="1" w:styleId="88">
    <w:name w:val="段落A"/>
    <w:basedOn w:val="1"/>
    <w:qFormat/>
    <w:uiPriority w:val="0"/>
    <w:pPr>
      <w:spacing w:line="400" w:lineRule="exact"/>
      <w:ind w:firstLine="480" w:firstLineChars="200"/>
    </w:pPr>
  </w:style>
  <w:style w:type="paragraph" w:customStyle="1" w:styleId="89">
    <w:name w:val="纯文本1"/>
    <w:basedOn w:val="1"/>
    <w:qFormat/>
    <w:uiPriority w:val="0"/>
    <w:pPr>
      <w:jc w:val="center"/>
    </w:pPr>
    <w:rPr>
      <w:rFonts w:ascii="宋体" w:hAnsi="Courier New"/>
    </w:rPr>
  </w:style>
  <w:style w:type="paragraph" w:customStyle="1" w:styleId="90">
    <w:name w:val="样式11"/>
    <w:basedOn w:val="1"/>
    <w:qFormat/>
    <w:uiPriority w:val="0"/>
    <w:pPr>
      <w:spacing w:line="360" w:lineRule="auto"/>
      <w:ind w:firstLine="1157" w:firstLineChars="549"/>
    </w:pPr>
    <w:rPr>
      <w:rFonts w:ascii="宋体" w:hAnsi="宋体" w:eastAsia="Times New Roman"/>
      <w:b/>
      <w:szCs w:val="21"/>
      <w:lang w:val="zh-CN"/>
    </w:rPr>
  </w:style>
  <w:style w:type="paragraph" w:customStyle="1" w:styleId="91">
    <w:name w:val="新正文样式"/>
    <w:basedOn w:val="1"/>
    <w:qFormat/>
    <w:uiPriority w:val="0"/>
    <w:pPr>
      <w:tabs>
        <w:tab w:val="left" w:pos="567"/>
      </w:tabs>
      <w:ind w:firstLine="567"/>
    </w:pPr>
    <w:rPr>
      <w:spacing w:val="20"/>
    </w:rPr>
  </w:style>
  <w:style w:type="paragraph" w:customStyle="1" w:styleId="92">
    <w:name w:val="表格2"/>
    <w:basedOn w:val="84"/>
    <w:next w:val="1"/>
    <w:qFormat/>
    <w:uiPriority w:val="0"/>
    <w:pPr>
      <w:spacing w:beforeLines="5"/>
      <w:jc w:val="center"/>
    </w:pPr>
    <w:rPr>
      <w:rFonts w:ascii="宋体"/>
    </w:rPr>
  </w:style>
  <w:style w:type="paragraph" w:customStyle="1" w:styleId="93">
    <w:name w:val="表头"/>
    <w:basedOn w:val="1"/>
    <w:next w:val="1"/>
    <w:qFormat/>
    <w:uiPriority w:val="0"/>
    <w:pPr>
      <w:spacing w:before="120" w:after="120"/>
      <w:jc w:val="center"/>
    </w:pPr>
    <w:rPr>
      <w:b/>
      <w:sz w:val="24"/>
      <w:szCs w:val="24"/>
    </w:rPr>
  </w:style>
  <w:style w:type="paragraph" w:customStyle="1" w:styleId="94">
    <w:name w:val="报告表格内中"/>
    <w:basedOn w:val="1"/>
    <w:qFormat/>
    <w:uiPriority w:val="0"/>
    <w:pPr>
      <w:spacing w:before="100" w:beforeAutospacing="1"/>
      <w:jc w:val="center"/>
    </w:pPr>
    <w:rPr>
      <w:sz w:val="24"/>
      <w:szCs w:val="24"/>
    </w:rPr>
  </w:style>
  <w:style w:type="paragraph" w:customStyle="1" w:styleId="95">
    <w:name w:val="表名"/>
    <w:basedOn w:val="1"/>
    <w:qFormat/>
    <w:uiPriority w:val="0"/>
    <w:pPr>
      <w:adjustRightInd w:val="0"/>
      <w:spacing w:before="120" w:after="120" w:line="400" w:lineRule="atLeast"/>
      <w:jc w:val="center"/>
      <w:textAlignment w:val="baseline"/>
    </w:pPr>
    <w:rPr>
      <w:b/>
      <w:bCs/>
      <w:kern w:val="0"/>
    </w:rPr>
  </w:style>
  <w:style w:type="paragraph" w:customStyle="1" w:styleId="96">
    <w:name w:val="样式 样式 (中文) 仿宋_GB2312 居中1 + 小四"/>
    <w:basedOn w:val="97"/>
    <w:qFormat/>
    <w:uiPriority w:val="0"/>
    <w:rPr>
      <w:rFonts w:ascii="仿宋_GB2312"/>
      <w:sz w:val="21"/>
      <w:szCs w:val="21"/>
    </w:rPr>
  </w:style>
  <w:style w:type="paragraph" w:customStyle="1" w:styleId="97">
    <w:name w:val="样式 (中文) 仿宋_GB2312 居中1"/>
    <w:basedOn w:val="1"/>
    <w:qFormat/>
    <w:uiPriority w:val="0"/>
    <w:pPr>
      <w:jc w:val="center"/>
    </w:pPr>
    <w:rPr>
      <w:rFonts w:eastAsia="仿宋_GB2312" w:cs="宋体"/>
      <w:sz w:val="28"/>
    </w:rPr>
  </w:style>
  <w:style w:type="paragraph" w:customStyle="1" w:styleId="98">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kern w:val="0"/>
      <w:sz w:val="24"/>
    </w:rPr>
  </w:style>
  <w:style w:type="paragraph" w:customStyle="1" w:styleId="99">
    <w:name w:val="Char Char1"/>
    <w:basedOn w:val="1"/>
    <w:qFormat/>
    <w:uiPriority w:val="0"/>
    <w:pPr>
      <w:spacing w:line="360" w:lineRule="auto"/>
      <w:ind w:firstLine="200" w:firstLineChars="200"/>
    </w:pPr>
    <w:rPr>
      <w:rFonts w:ascii="宋体" w:hAnsi="宋体" w:cs="宋体"/>
      <w:sz w:val="24"/>
      <w:szCs w:val="24"/>
    </w:rPr>
  </w:style>
  <w:style w:type="paragraph" w:customStyle="1" w:styleId="100">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01">
    <w:name w:val="报告正文"/>
    <w:basedOn w:val="1"/>
    <w:qFormat/>
    <w:uiPriority w:val="0"/>
    <w:pPr>
      <w:spacing w:line="400" w:lineRule="exact"/>
      <w:ind w:firstLine="482" w:firstLineChars="200"/>
    </w:pPr>
    <w:rPr>
      <w:bCs/>
      <w:color w:val="000000"/>
      <w:kern w:val="0"/>
      <w:sz w:val="24"/>
    </w:rPr>
  </w:style>
  <w:style w:type="paragraph" w:customStyle="1" w:styleId="102">
    <w:name w:val="Char Char Char Char Char Char Char Char Char Char Char Char"/>
    <w:basedOn w:val="1"/>
    <w:qFormat/>
    <w:uiPriority w:val="0"/>
    <w:pPr>
      <w:widowControl/>
      <w:spacing w:after="160" w:line="240" w:lineRule="exact"/>
      <w:jc w:val="left"/>
    </w:pPr>
    <w:rPr>
      <w:bCs/>
      <w:sz w:val="24"/>
      <w:szCs w:val="24"/>
    </w:rPr>
  </w:style>
  <w:style w:type="paragraph" w:customStyle="1" w:styleId="103">
    <w:name w:val="Y1"/>
    <w:basedOn w:val="1"/>
    <w:qFormat/>
    <w:uiPriority w:val="0"/>
    <w:pPr>
      <w:spacing w:line="360" w:lineRule="auto"/>
      <w:jc w:val="left"/>
    </w:pPr>
    <w:rPr>
      <w:rFonts w:cs="宋体"/>
      <w:b/>
      <w:bCs/>
      <w:sz w:val="28"/>
    </w:rPr>
  </w:style>
  <w:style w:type="paragraph" w:customStyle="1" w:styleId="104">
    <w:name w:val="表正文111111"/>
    <w:basedOn w:val="1"/>
    <w:qFormat/>
    <w:uiPriority w:val="0"/>
    <w:pPr>
      <w:spacing w:line="360" w:lineRule="auto"/>
      <w:ind w:firstLine="480" w:firstLineChars="200"/>
    </w:pPr>
    <w:rPr>
      <w:rFonts w:ascii="宋体" w:hAnsi="宋体"/>
      <w:sz w:val="24"/>
      <w:szCs w:val="24"/>
    </w:rPr>
  </w:style>
  <w:style w:type="paragraph" w:customStyle="1" w:styleId="105">
    <w:name w:val="5文章(治)"/>
    <w:basedOn w:val="1"/>
    <w:qFormat/>
    <w:uiPriority w:val="0"/>
    <w:pPr>
      <w:spacing w:line="360" w:lineRule="auto"/>
      <w:ind w:firstLine="560" w:firstLineChars="200"/>
    </w:pPr>
    <w:rPr>
      <w:color w:val="000000"/>
      <w:sz w:val="24"/>
    </w:rPr>
  </w:style>
  <w:style w:type="paragraph" w:customStyle="1" w:styleId="106">
    <w:name w:val="Y2"/>
    <w:basedOn w:val="1"/>
    <w:qFormat/>
    <w:uiPriority w:val="0"/>
    <w:pPr>
      <w:spacing w:line="360" w:lineRule="auto"/>
      <w:ind w:firstLine="200" w:firstLineChars="200"/>
    </w:pPr>
    <w:rPr>
      <w:rFonts w:ascii="宋体" w:hAnsi="宋体" w:cs="宋体"/>
      <w:b/>
      <w:bCs/>
      <w:sz w:val="24"/>
    </w:rPr>
  </w:style>
  <w:style w:type="paragraph" w:customStyle="1" w:styleId="107">
    <w:name w:val="正文 03"/>
    <w:basedOn w:val="1"/>
    <w:qFormat/>
    <w:uiPriority w:val="0"/>
    <w:pPr>
      <w:autoSpaceDE w:val="0"/>
      <w:autoSpaceDN w:val="0"/>
      <w:adjustRightInd w:val="0"/>
      <w:textAlignment w:val="baseline"/>
    </w:pPr>
    <w:rPr>
      <w:rFonts w:eastAsia="楷体_GB2312"/>
      <w:kern w:val="0"/>
      <w:sz w:val="24"/>
    </w:rPr>
  </w:style>
  <w:style w:type="paragraph" w:customStyle="1" w:styleId="108">
    <w:name w:val="Char Char Char Char Char Char Char Char Char Char"/>
    <w:basedOn w:val="1"/>
    <w:qFormat/>
    <w:uiPriority w:val="0"/>
    <w:pPr>
      <w:snapToGrid w:val="0"/>
      <w:spacing w:line="360" w:lineRule="auto"/>
      <w:ind w:firstLine="200" w:firstLineChars="200"/>
    </w:pPr>
    <w:rPr>
      <w:rFonts w:ascii="宋体"/>
      <w:b/>
    </w:rPr>
  </w:style>
  <w:style w:type="paragraph" w:customStyle="1" w:styleId="109">
    <w:name w:val="缩进"/>
    <w:basedOn w:val="1"/>
    <w:qFormat/>
    <w:uiPriority w:val="0"/>
    <w:pPr>
      <w:autoSpaceDE w:val="0"/>
      <w:autoSpaceDN w:val="0"/>
      <w:adjustRightInd w:val="0"/>
      <w:spacing w:line="400" w:lineRule="atLeast"/>
      <w:ind w:firstLine="200" w:firstLineChars="200"/>
      <w:textAlignment w:val="baseline"/>
    </w:pPr>
    <w:rPr>
      <w:kern w:val="0"/>
      <w:sz w:val="24"/>
    </w:rPr>
  </w:style>
  <w:style w:type="paragraph" w:customStyle="1" w:styleId="110">
    <w:name w:val="表内容"/>
    <w:next w:val="1"/>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111">
    <w:name w:val="报告表内中"/>
    <w:basedOn w:val="1"/>
    <w:qFormat/>
    <w:uiPriority w:val="0"/>
    <w:pPr>
      <w:snapToGrid w:val="0"/>
      <w:spacing w:before="100" w:beforeAutospacing="1"/>
      <w:jc w:val="center"/>
    </w:pPr>
    <w:rPr>
      <w:rFonts w:ascii="宋体" w:cs="宋体"/>
      <w:color w:val="000000"/>
      <w:sz w:val="24"/>
      <w:szCs w:val="24"/>
    </w:rPr>
  </w:style>
  <w:style w:type="paragraph" w:customStyle="1" w:styleId="112">
    <w:name w:val="样式3"/>
    <w:basedOn w:val="18"/>
    <w:qFormat/>
    <w:uiPriority w:val="0"/>
    <w:pPr>
      <w:adjustRightInd w:val="0"/>
      <w:spacing w:line="460" w:lineRule="exact"/>
      <w:jc w:val="center"/>
    </w:pPr>
    <w:rPr>
      <w:rFonts w:ascii="宋体"/>
    </w:rPr>
  </w:style>
  <w:style w:type="paragraph" w:customStyle="1" w:styleId="113">
    <w:name w:val="zhang正文"/>
    <w:qFormat/>
    <w:uiPriority w:val="0"/>
    <w:pPr>
      <w:autoSpaceDE w:val="0"/>
      <w:autoSpaceDN w:val="0"/>
      <w:adjustRightInd w:val="0"/>
      <w:snapToGrid w:val="0"/>
      <w:spacing w:line="500" w:lineRule="exact"/>
      <w:ind w:firstLine="539"/>
      <w:textAlignment w:val="baseline"/>
    </w:pPr>
    <w:rPr>
      <w:rFonts w:ascii="Times New Roman" w:hAnsi="Times New Roman" w:eastAsia="楷体_GB2312" w:cs="Times New Roman"/>
      <w:sz w:val="28"/>
      <w:szCs w:val="22"/>
      <w:lang w:val="en-US" w:eastAsia="zh-CN" w:bidi="ar-SA"/>
    </w:rPr>
  </w:style>
  <w:style w:type="paragraph" w:customStyle="1" w:styleId="114">
    <w:name w:val="默认段落字体 Para Char Char Char Char Char Char Char Char Char Char"/>
    <w:basedOn w:val="1"/>
    <w:qFormat/>
    <w:uiPriority w:val="0"/>
    <w:pPr>
      <w:adjustRightInd w:val="0"/>
      <w:spacing w:line="360" w:lineRule="auto"/>
    </w:pPr>
    <w:rPr>
      <w:kern w:val="0"/>
      <w:sz w:val="24"/>
    </w:rPr>
  </w:style>
  <w:style w:type="paragraph" w:customStyle="1" w:styleId="115">
    <w:name w:val="Char"/>
    <w:basedOn w:val="1"/>
    <w:qFormat/>
    <w:uiPriority w:val="0"/>
    <w:rPr>
      <w:sz w:val="24"/>
      <w:szCs w:val="24"/>
    </w:rPr>
  </w:style>
  <w:style w:type="paragraph" w:customStyle="1" w:styleId="116">
    <w:name w:val="样式1"/>
    <w:basedOn w:val="1"/>
    <w:qFormat/>
    <w:uiPriority w:val="0"/>
    <w:pPr>
      <w:wordWrap w:val="0"/>
      <w:snapToGrid w:val="0"/>
      <w:spacing w:line="360" w:lineRule="auto"/>
      <w:ind w:firstLine="480" w:firstLineChars="200"/>
    </w:pPr>
    <w:rPr>
      <w:sz w:val="24"/>
      <w:szCs w:val="24"/>
    </w:rPr>
  </w:style>
  <w:style w:type="paragraph" w:customStyle="1" w:styleId="117">
    <w:name w:val="表格"/>
    <w:basedOn w:val="6"/>
    <w:qFormat/>
    <w:uiPriority w:val="0"/>
    <w:pPr>
      <w:snapToGrid w:val="0"/>
    </w:pPr>
  </w:style>
  <w:style w:type="paragraph" w:customStyle="1" w:styleId="118">
    <w:name w:val="标题3"/>
    <w:next w:val="1"/>
    <w:qFormat/>
    <w:uiPriority w:val="0"/>
    <w:pPr>
      <w:keepNext/>
      <w:keepLines/>
      <w:spacing w:before="80" w:line="360" w:lineRule="auto"/>
      <w:ind w:left="180"/>
      <w:outlineLvl w:val="2"/>
    </w:pPr>
    <w:rPr>
      <w:rFonts w:ascii="黑体" w:hAnsi="Times New Roman" w:eastAsia="黑体" w:cs="Times New Roman"/>
      <w:bCs/>
      <w:kern w:val="2"/>
      <w:sz w:val="24"/>
      <w:szCs w:val="22"/>
      <w:lang w:val="zh-CN" w:eastAsia="zh-CN" w:bidi="ar-SA"/>
    </w:rPr>
  </w:style>
  <w:style w:type="paragraph" w:customStyle="1" w:styleId="119">
    <w:name w:val="简单回函地址"/>
    <w:basedOn w:val="1"/>
    <w:qFormat/>
    <w:uiPriority w:val="0"/>
    <w:rPr>
      <w:szCs w:val="24"/>
    </w:rPr>
  </w:style>
  <w:style w:type="paragraph" w:customStyle="1" w:styleId="120">
    <w:name w:val="样式 样式 表1表2 表头格式 + 段前: 0.5 行 + 字距调整小四"/>
    <w:basedOn w:val="1"/>
    <w:qFormat/>
    <w:uiPriority w:val="0"/>
    <w:pPr>
      <w:tabs>
        <w:tab w:val="left" w:pos="1132"/>
      </w:tabs>
      <w:autoSpaceDE w:val="0"/>
      <w:autoSpaceDN w:val="0"/>
      <w:adjustRightInd w:val="0"/>
      <w:spacing w:before="120"/>
      <w:ind w:left="1132" w:hanging="570"/>
      <w:jc w:val="center"/>
      <w:textAlignment w:val="center"/>
    </w:pPr>
    <w:rPr>
      <w:rFonts w:eastAsia="黑体" w:cs="宋体"/>
      <w:snapToGrid w:val="0"/>
      <w:kern w:val="24"/>
      <w:sz w:val="24"/>
    </w:rPr>
  </w:style>
  <w:style w:type="paragraph" w:customStyle="1" w:styleId="121">
    <w:name w:val="报告表格内"/>
    <w:basedOn w:val="72"/>
    <w:qFormat/>
    <w:uiPriority w:val="0"/>
    <w:pPr>
      <w:spacing w:line="240" w:lineRule="auto"/>
      <w:ind w:hanging="8"/>
    </w:pPr>
    <w:rPr>
      <w:rFonts w:cs="Times New Roman"/>
      <w:szCs w:val="20"/>
    </w:rPr>
  </w:style>
  <w:style w:type="paragraph" w:customStyle="1" w:styleId="122">
    <w:name w:val="前言"/>
    <w:basedOn w:val="1"/>
    <w:qFormat/>
    <w:uiPriority w:val="0"/>
    <w:pPr>
      <w:pageBreakBefore/>
      <w:autoSpaceDE w:val="0"/>
      <w:autoSpaceDN w:val="0"/>
      <w:adjustRightInd w:val="0"/>
      <w:jc w:val="center"/>
      <w:textAlignment w:val="baseline"/>
    </w:pPr>
    <w:rPr>
      <w:rFonts w:ascii="黑体" w:hAnsi="Impact" w:eastAsia="黑体"/>
      <w:kern w:val="24"/>
      <w:sz w:val="32"/>
    </w:rPr>
  </w:style>
  <w:style w:type="paragraph" w:customStyle="1" w:styleId="123">
    <w:name w:val="表格的字"/>
    <w:basedOn w:val="1"/>
    <w:qFormat/>
    <w:uiPriority w:val="0"/>
    <w:pPr>
      <w:jc w:val="center"/>
    </w:pPr>
    <w:rPr>
      <w:szCs w:val="24"/>
    </w:rPr>
  </w:style>
  <w:style w:type="paragraph" w:customStyle="1" w:styleId="124">
    <w:name w:val="样式 首行缩进:  0.85 厘米 行距: 1.5 倍行距2"/>
    <w:basedOn w:val="1"/>
    <w:qFormat/>
    <w:uiPriority w:val="0"/>
    <w:pPr>
      <w:spacing w:line="360" w:lineRule="auto"/>
      <w:ind w:firstLine="480"/>
    </w:pPr>
    <w:rPr>
      <w:rFonts w:cs="宋体"/>
      <w:sz w:val="24"/>
      <w:szCs w:val="24"/>
    </w:rPr>
  </w:style>
  <w:style w:type="paragraph" w:customStyle="1" w:styleId="125">
    <w:name w:val="Char Char Char Char Char Char"/>
    <w:basedOn w:val="1"/>
    <w:qFormat/>
    <w:uiPriority w:val="0"/>
    <w:rPr>
      <w:sz w:val="24"/>
      <w:szCs w:val="24"/>
    </w:rPr>
  </w:style>
  <w:style w:type="paragraph" w:customStyle="1" w:styleId="126">
    <w:name w:val="默认段落字体 Para Char Char Char Char"/>
    <w:basedOn w:val="1"/>
    <w:qFormat/>
    <w:uiPriority w:val="0"/>
    <w:rPr>
      <w:szCs w:val="24"/>
    </w:rPr>
  </w:style>
  <w:style w:type="paragraph" w:customStyle="1" w:styleId="127">
    <w:name w:val="Char1"/>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28">
    <w:name w:val="样式 标题3 + Times New Roman 黑色"/>
    <w:basedOn w:val="118"/>
    <w:qFormat/>
    <w:uiPriority w:val="0"/>
    <w:pPr>
      <w:ind w:left="0"/>
    </w:pPr>
    <w:rPr>
      <w:rFonts w:ascii="Times New Roman"/>
      <w:bCs w:val="0"/>
      <w:color w:val="000000"/>
    </w:rPr>
  </w:style>
  <w:style w:type="paragraph" w:customStyle="1" w:styleId="129">
    <w:name w:val="Char Char Char Char Char Char Char Char Char Char1"/>
    <w:basedOn w:val="1"/>
    <w:qFormat/>
    <w:uiPriority w:val="0"/>
    <w:pPr>
      <w:spacing w:line="240" w:lineRule="exact"/>
      <w:ind w:firstLine="200" w:firstLineChars="200"/>
    </w:pPr>
    <w:rPr>
      <w:rFonts w:ascii="宋体" w:cs="宋体"/>
      <w:sz w:val="24"/>
      <w:szCs w:val="21"/>
    </w:rPr>
  </w:style>
  <w:style w:type="paragraph" w:customStyle="1" w:styleId="130">
    <w:name w:val="正文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1">
    <w:name w:val="p-1"/>
    <w:basedOn w:val="1"/>
    <w:qFormat/>
    <w:uiPriority w:val="0"/>
    <w:pPr>
      <w:spacing w:before="375" w:after="375" w:line="450" w:lineRule="atLeast"/>
      <w:ind w:firstLine="420"/>
      <w:jc w:val="left"/>
    </w:pPr>
    <w:rPr>
      <w:rFonts w:ascii="微软雅黑" w:hAnsi="微软雅黑" w:eastAsia="微软雅黑"/>
      <w:color w:val="666666"/>
      <w:kern w:val="0"/>
      <w:szCs w:val="21"/>
    </w:rPr>
  </w:style>
  <w:style w:type="paragraph" w:customStyle="1" w:styleId="132">
    <w:name w:val="样式 行距: 单倍行距"/>
    <w:basedOn w:val="1"/>
    <w:qFormat/>
    <w:uiPriority w:val="0"/>
    <w:pPr>
      <w:adjustRightInd w:val="0"/>
      <w:textAlignment w:val="baseline"/>
    </w:pPr>
    <w:rPr>
      <w:rFonts w:cs="宋体"/>
    </w:rPr>
  </w:style>
  <w:style w:type="paragraph" w:customStyle="1" w:styleId="133">
    <w:name w:val="TT表格文字01"/>
    <w:basedOn w:val="1"/>
    <w:qFormat/>
    <w:uiPriority w:val="0"/>
    <w:pPr>
      <w:widowControl/>
      <w:wordWrap w:val="0"/>
      <w:overflowPunct w:val="0"/>
      <w:topLinePunct/>
      <w:jc w:val="center"/>
    </w:pPr>
    <w:rPr>
      <w:snapToGrid w:val="0"/>
      <w:color w:val="000000"/>
    </w:rPr>
  </w:style>
  <w:style w:type="paragraph" w:customStyle="1" w:styleId="134">
    <w:name w:val="书正文"/>
    <w:basedOn w:val="1"/>
    <w:qFormat/>
    <w:uiPriority w:val="0"/>
    <w:pPr>
      <w:spacing w:line="500" w:lineRule="exact"/>
      <w:ind w:firstLine="640" w:firstLineChars="200"/>
    </w:pPr>
  </w:style>
  <w:style w:type="paragraph" w:customStyle="1" w:styleId="135">
    <w:name w:val="博泵1"/>
    <w:basedOn w:val="1"/>
    <w:qFormat/>
    <w:uiPriority w:val="0"/>
    <w:pPr>
      <w:adjustRightInd w:val="0"/>
      <w:spacing w:line="480" w:lineRule="exact"/>
      <w:ind w:firstLine="200" w:firstLineChars="200"/>
      <w:textAlignment w:val="baseline"/>
    </w:pPr>
    <w:rPr>
      <w:rFonts w:ascii="Calibri" w:cs="Arial"/>
      <w:color w:val="000000"/>
    </w:rPr>
  </w:style>
  <w:style w:type="paragraph" w:customStyle="1" w:styleId="136">
    <w:name w:val="新正文"/>
    <w:basedOn w:val="1"/>
    <w:qFormat/>
    <w:uiPriority w:val="0"/>
    <w:pPr>
      <w:tabs>
        <w:tab w:val="left" w:pos="8295"/>
      </w:tabs>
      <w:spacing w:line="460" w:lineRule="exact"/>
      <w:ind w:firstLine="200" w:firstLineChars="200"/>
    </w:pPr>
    <w:rPr>
      <w:rFonts w:ascii="宋体"/>
      <w:sz w:val="24"/>
    </w:rPr>
  </w:style>
  <w:style w:type="paragraph" w:customStyle="1" w:styleId="137">
    <w:name w:val="正1"/>
    <w:basedOn w:val="1"/>
    <w:qFormat/>
    <w:uiPriority w:val="0"/>
    <w:pPr>
      <w:spacing w:line="360" w:lineRule="auto"/>
      <w:ind w:firstLine="200" w:firstLineChars="200"/>
      <w:jc w:val="left"/>
    </w:pPr>
    <w:rPr>
      <w:rFonts w:eastAsia="楷体_GB2312"/>
      <w:sz w:val="24"/>
      <w:szCs w:val="24"/>
    </w:rPr>
  </w:style>
  <w:style w:type="paragraph" w:customStyle="1" w:styleId="138">
    <w:name w:val="表格文字"/>
    <w:qFormat/>
    <w:uiPriority w:val="0"/>
    <w:pPr>
      <w:spacing w:before="10" w:beforeLines="10" w:after="10" w:afterLines="10" w:line="0" w:lineRule="atLeast"/>
      <w:jc w:val="center"/>
    </w:pPr>
    <w:rPr>
      <w:rFonts w:ascii="Times New Roman" w:hAnsi="Times New Roman" w:eastAsia="宋体" w:cs="Times New Roman"/>
      <w:kern w:val="2"/>
      <w:sz w:val="18"/>
      <w:szCs w:val="21"/>
      <w:lang w:val="en-US" w:eastAsia="zh-CN" w:bidi="ar-SA"/>
    </w:rPr>
  </w:style>
  <w:style w:type="table" w:customStyle="1" w:styleId="139">
    <w:name w:val="标准表格"/>
    <w:basedOn w:val="26"/>
    <w:qFormat/>
    <w:uiPriority w:val="99"/>
    <w:pPr>
      <w:spacing w:before="74"/>
      <w:jc w:val="center"/>
    </w:pPr>
    <w:rPr>
      <w:sz w:val="18"/>
    </w:rPr>
    <w:tblPr>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fixed"/>
    </w:tblPr>
    <w:trPr>
      <w:jc w:val="center"/>
    </w:trPr>
    <w:tcPr>
      <w:shd w:val="clear" w:color="auto" w:fill="FFFFFF" w:themeFill="background1"/>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宋体"/>
        <w:sz w:val="18"/>
      </w:rPr>
      <w:tblPr>
        <w:tblLayout w:type="fixed"/>
      </w:tblPr>
      <w:trPr>
        <w:tblHeader/>
      </w:trPr>
    </w:tblStylePr>
    <w:tblStylePr w:type="firstCol">
      <w:pPr>
        <w:jc w:val="center"/>
      </w:pPr>
    </w:tblStylePr>
  </w:style>
  <w:style w:type="paragraph" w:customStyle="1" w:styleId="140">
    <w:name w:val="表格名称"/>
    <w:basedOn w:val="1"/>
    <w:qFormat/>
    <w:uiPriority w:val="0"/>
    <w:pPr>
      <w:jc w:val="center"/>
    </w:pPr>
    <w:rPr>
      <w:rFonts w:eastAsia="黑体"/>
    </w:rPr>
  </w:style>
  <w:style w:type="paragraph" w:customStyle="1" w:styleId="141">
    <w:name w:val="Table Paragraph"/>
    <w:basedOn w:val="1"/>
    <w:qFormat/>
    <w:uiPriority w:val="1"/>
    <w:pPr>
      <w:jc w:val="center"/>
    </w:pPr>
    <w:rPr>
      <w:rFonts w:ascii="宋体" w:hAnsi="宋体" w:eastAsia="宋体" w:cs="宋体"/>
      <w:lang w:val="zh-CN" w:eastAsia="zh-CN" w:bidi="zh-CN"/>
    </w:rPr>
  </w:style>
  <w:style w:type="paragraph" w:customStyle="1" w:styleId="142">
    <w:name w:val="正文首行缩近"/>
    <w:qFormat/>
    <w:uiPriority w:val="0"/>
    <w:pPr>
      <w:adjustRightInd w:val="0"/>
      <w:snapToGrid w:val="0"/>
      <w:spacing w:line="360" w:lineRule="auto"/>
      <w:ind w:firstLine="480" w:firstLineChars="200"/>
      <w:jc w:val="both"/>
    </w:pPr>
    <w:rPr>
      <w:rFonts w:ascii="Times New Roman" w:hAnsi="Times New Roman" w:eastAsia="宋体" w:cs="Times New Roman"/>
      <w:sz w:val="24"/>
      <w:lang w:val="en-US" w:eastAsia="zh-CN" w:bidi="ar-SA"/>
    </w:rPr>
  </w:style>
  <w:style w:type="paragraph" w:customStyle="1" w:styleId="143">
    <w:name w:val="1正文"/>
    <w:basedOn w:val="1"/>
    <w:qFormat/>
    <w:uiPriority w:val="0"/>
    <w:pPr>
      <w:spacing w:line="360" w:lineRule="auto"/>
      <w:ind w:firstLine="200" w:firstLineChars="200"/>
    </w:pPr>
    <w:rPr>
      <w:bCs/>
      <w:kern w:val="0"/>
      <w:sz w:val="24"/>
      <w:szCs w:val="24"/>
    </w:rPr>
  </w:style>
  <w:style w:type="paragraph" w:customStyle="1" w:styleId="144">
    <w:name w:val=" Char Char Char Char Char Char"/>
    <w:basedOn w:val="1"/>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png"/><Relationship Id="rId5" Type="http://schemas.openxmlformats.org/officeDocument/2006/relationships/theme" Target="theme/theme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footer" Target="footer1.xml"/><Relationship Id="rId39" Type="http://schemas.openxmlformats.org/officeDocument/2006/relationships/image" Target="media/image19.jpeg"/><Relationship Id="rId38" Type="http://schemas.openxmlformats.org/officeDocument/2006/relationships/image" Target="media/image18.wmf"/><Relationship Id="rId37" Type="http://schemas.openxmlformats.org/officeDocument/2006/relationships/oleObject" Target="embeddings/oleObject15.bin"/><Relationship Id="rId36" Type="http://schemas.openxmlformats.org/officeDocument/2006/relationships/image" Target="media/image17.wmf"/><Relationship Id="rId35" Type="http://schemas.openxmlformats.org/officeDocument/2006/relationships/oleObject" Target="embeddings/oleObject14.bin"/><Relationship Id="rId34" Type="http://schemas.openxmlformats.org/officeDocument/2006/relationships/oleObject" Target="embeddings/oleObject13.bin"/><Relationship Id="rId33" Type="http://schemas.openxmlformats.org/officeDocument/2006/relationships/image" Target="media/image16.wmf"/><Relationship Id="rId32" Type="http://schemas.openxmlformats.org/officeDocument/2006/relationships/oleObject" Target="embeddings/oleObject12.bin"/><Relationship Id="rId31" Type="http://schemas.openxmlformats.org/officeDocument/2006/relationships/image" Target="media/image15.wmf"/><Relationship Id="rId30" Type="http://schemas.openxmlformats.org/officeDocument/2006/relationships/oleObject" Target="embeddings/oleObject11.bin"/><Relationship Id="rId3" Type="http://schemas.openxmlformats.org/officeDocument/2006/relationships/header" Target="header1.xml"/><Relationship Id="rId29" Type="http://schemas.openxmlformats.org/officeDocument/2006/relationships/image" Target="media/image14.wmf"/><Relationship Id="rId28" Type="http://schemas.openxmlformats.org/officeDocument/2006/relationships/oleObject" Target="embeddings/oleObject10.bin"/><Relationship Id="rId27" Type="http://schemas.openxmlformats.org/officeDocument/2006/relationships/image" Target="media/image13.wmf"/><Relationship Id="rId26" Type="http://schemas.openxmlformats.org/officeDocument/2006/relationships/oleObject" Target="embeddings/oleObject9.bin"/><Relationship Id="rId25" Type="http://schemas.openxmlformats.org/officeDocument/2006/relationships/image" Target="media/image12.wmf"/><Relationship Id="rId24" Type="http://schemas.openxmlformats.org/officeDocument/2006/relationships/oleObject" Target="embeddings/oleObject8.bin"/><Relationship Id="rId23" Type="http://schemas.openxmlformats.org/officeDocument/2006/relationships/image" Target="media/image11.wmf"/><Relationship Id="rId22" Type="http://schemas.openxmlformats.org/officeDocument/2006/relationships/oleObject" Target="embeddings/oleObject7.bin"/><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6.bin"/><Relationship Id="rId16" Type="http://schemas.openxmlformats.org/officeDocument/2006/relationships/image" Target="media/image6.emf"/><Relationship Id="rId15" Type="http://schemas.openxmlformats.org/officeDocument/2006/relationships/oleObject" Target="embeddings/oleObject5.bin"/><Relationship Id="rId14" Type="http://schemas.openxmlformats.org/officeDocument/2006/relationships/image" Target="media/image5.emf"/><Relationship Id="rId13" Type="http://schemas.openxmlformats.org/officeDocument/2006/relationships/oleObject" Target="embeddings/oleObject4.bin"/><Relationship Id="rId12" Type="http://schemas.openxmlformats.org/officeDocument/2006/relationships/image" Target="media/image4.emf"/><Relationship Id="rId11" Type="http://schemas.openxmlformats.org/officeDocument/2006/relationships/oleObject" Target="embeddings/oleObject3.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1C3FC0-B9C0-4CBB-B607-576027DC23D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50</Pages>
  <Words>27202</Words>
  <Characters>7985</Characters>
  <Lines>66</Lines>
  <Paragraphs>70</Paragraphs>
  <TotalTime>30</TotalTime>
  <ScaleCrop>false</ScaleCrop>
  <LinksUpToDate>false</LinksUpToDate>
  <CharactersWithSpaces>35117</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2017-05-18T02:22:00Z</dcterms:created>
  <dc:creator>User</dc:creator>
  <cp:lastModifiedBy>邱恩威</cp:lastModifiedBy>
  <cp:lastPrinted>2019-09-21T09:07:49Z</cp:lastPrinted>
  <dcterms:modified xsi:type="dcterms:W3CDTF">2019-09-21T09:24:20Z</dcterms:modified>
  <dc:title>1</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